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621030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587375</wp:posOffset>
            </wp:positionV>
            <wp:extent cx="714819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13335"/>
                    </a:xfrm>
                    <a:prstGeom prst="rect">
                      <a:avLst/>
                    </a:prstGeom>
                    <a:noFill/>
                  </pic:spPr>
                </pic:pic>
              </a:graphicData>
            </a:graphic>
          </wp:anchor>
        </w:drawing>
        <w:t>UNITED STATES</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6"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w:t>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68"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March 6, 2025</w:t>
      </w:r>
    </w:p>
    <w:p>
      <w:pPr>
        <w:spacing w:after="0" w:line="24"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Tradeweb Markets Inc.</w:t>
      </w:r>
    </w:p>
    <w:p>
      <w:pPr>
        <w:spacing w:after="0" w:line="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(Exact name of registrant as specified in charter)</w:t>
      </w:r>
    </w:p>
    <w:p>
      <w:pPr>
        <w:spacing w:after="0" w:line="22"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w:t>
      </w:r>
    </w:p>
    <w:p>
      <w:pPr>
        <w:spacing w:after="0" w:line="264" w:lineRule="exact"/>
        <w:rPr>
          <w:sz w:val="24"/>
          <w:szCs w:val="24"/>
          <w:color w:val="auto"/>
        </w:rPr>
      </w:pPr>
    </w:p>
    <w:tbl>
      <w:tblPr>
        <w:tblLayout w:type="fixed"/>
        <w:tblInd w:w="1120" w:type="dxa"/>
        <w:tblCellMar>
          <w:top w:w="0" w:type="dxa"/>
          <w:left w:w="0" w:type="dxa"/>
          <w:bottom w:w="0" w:type="dxa"/>
          <w:right w:w="0" w:type="dxa"/>
        </w:tblCellMar>
      </w:tblPr>
      <w:tr>
        <w:trPr>
          <w:trHeight w:val="204"/>
        </w:trPr>
        <w:tc>
          <w:tcPr>
            <w:tcW w:w="3980" w:type="dxa"/>
            <w:vAlign w:val="bottom"/>
          </w:tcPr>
          <w:p>
            <w:pPr>
              <w:jc w:val="center"/>
              <w:ind w:right="236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360" w:type="dxa"/>
            <w:vAlign w:val="bottom"/>
          </w:tcPr>
          <w:p>
            <w:pPr>
              <w:jc w:val="center"/>
              <w:ind w:right="1189"/>
              <w:spacing w:after="0"/>
              <w:rPr>
                <w:sz w:val="20"/>
                <w:szCs w:val="20"/>
                <w:color w:val="auto"/>
              </w:rPr>
            </w:pPr>
            <w:r>
              <w:rPr>
                <w:rFonts w:ascii="Times New Roman" w:cs="Times New Roman" w:eastAsia="Times New Roman" w:hAnsi="Times New Roman"/>
                <w:sz w:val="14"/>
                <w:szCs w:val="14"/>
                <w:b w:val="1"/>
                <w:bCs w:val="1"/>
                <w:color w:val="auto"/>
              </w:rPr>
              <w:t>001-38860</w:t>
            </w:r>
          </w:p>
        </w:tc>
        <w:tc>
          <w:tcPr>
            <w:tcW w:w="248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83-2456358</w:t>
            </w:r>
          </w:p>
        </w:tc>
        <w:tc>
          <w:tcPr>
            <w:tcW w:w="0" w:type="dxa"/>
            <w:vAlign w:val="bottom"/>
          </w:tcPr>
          <w:p>
            <w:pPr>
              <w:spacing w:after="0"/>
              <w:rPr>
                <w:sz w:val="1"/>
                <w:szCs w:val="1"/>
                <w:color w:val="auto"/>
              </w:rPr>
            </w:pPr>
          </w:p>
        </w:tc>
      </w:tr>
      <w:tr>
        <w:trPr>
          <w:trHeight w:val="159"/>
        </w:trPr>
        <w:tc>
          <w:tcPr>
            <w:tcW w:w="3980" w:type="dxa"/>
            <w:vAlign w:val="bottom"/>
          </w:tcPr>
          <w:p>
            <w:pPr>
              <w:jc w:val="center"/>
              <w:ind w:right="2369"/>
              <w:spacing w:after="0" w:line="159" w:lineRule="exact"/>
              <w:rPr>
                <w:sz w:val="20"/>
                <w:szCs w:val="20"/>
                <w:color w:val="auto"/>
              </w:rPr>
            </w:pPr>
            <w:r>
              <w:rPr>
                <w:rFonts w:ascii="Times New Roman" w:cs="Times New Roman" w:eastAsia="Times New Roman" w:hAnsi="Times New Roman"/>
                <w:sz w:val="14"/>
                <w:szCs w:val="14"/>
                <w:color w:val="auto"/>
              </w:rPr>
              <w:t>(State or Other Jurisdiction</w:t>
            </w:r>
          </w:p>
        </w:tc>
        <w:tc>
          <w:tcPr>
            <w:tcW w:w="2360" w:type="dxa"/>
            <w:vAlign w:val="bottom"/>
          </w:tcPr>
          <w:p>
            <w:pPr>
              <w:jc w:val="center"/>
              <w:ind w:right="1189"/>
              <w:spacing w:after="0" w:line="159" w:lineRule="exact"/>
              <w:rPr>
                <w:sz w:val="20"/>
                <w:szCs w:val="20"/>
                <w:color w:val="auto"/>
              </w:rPr>
            </w:pPr>
            <w:r>
              <w:rPr>
                <w:rFonts w:ascii="Times New Roman" w:cs="Times New Roman" w:eastAsia="Times New Roman" w:hAnsi="Times New Roman"/>
                <w:sz w:val="14"/>
                <w:szCs w:val="14"/>
                <w:color w:val="auto"/>
              </w:rPr>
              <w:t>(Commission</w:t>
            </w:r>
          </w:p>
        </w:tc>
        <w:tc>
          <w:tcPr>
            <w:tcW w:w="2480" w:type="dxa"/>
            <w:vAlign w:val="bottom"/>
          </w:tcPr>
          <w:p>
            <w:pPr>
              <w:jc w:val="center"/>
              <w:ind w:left="1329"/>
              <w:spacing w:after="0" w:line="15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95"/>
        </w:trPr>
        <w:tc>
          <w:tcPr>
            <w:tcW w:w="3980" w:type="dxa"/>
            <w:vAlign w:val="bottom"/>
          </w:tcPr>
          <w:p>
            <w:pPr>
              <w:jc w:val="center"/>
              <w:ind w:right="2369"/>
              <w:spacing w:after="0"/>
              <w:rPr>
                <w:sz w:val="20"/>
                <w:szCs w:val="20"/>
                <w:color w:val="auto"/>
              </w:rPr>
            </w:pPr>
            <w:r>
              <w:rPr>
                <w:rFonts w:ascii="Times New Roman" w:cs="Times New Roman" w:eastAsia="Times New Roman" w:hAnsi="Times New Roman"/>
                <w:sz w:val="14"/>
                <w:szCs w:val="14"/>
                <w:color w:val="auto"/>
              </w:rPr>
              <w:t>of Incorporation)</w:t>
            </w:r>
          </w:p>
        </w:tc>
        <w:tc>
          <w:tcPr>
            <w:tcW w:w="2360" w:type="dxa"/>
            <w:vAlign w:val="bottom"/>
          </w:tcPr>
          <w:p>
            <w:pPr>
              <w:jc w:val="center"/>
              <w:ind w:right="1189"/>
              <w:spacing w:after="0"/>
              <w:rPr>
                <w:sz w:val="20"/>
                <w:szCs w:val="20"/>
                <w:color w:val="auto"/>
              </w:rPr>
            </w:pPr>
            <w:r>
              <w:rPr>
                <w:rFonts w:ascii="Times New Roman" w:cs="Times New Roman" w:eastAsia="Times New Roman" w:hAnsi="Times New Roman"/>
                <w:sz w:val="14"/>
                <w:szCs w:val="14"/>
                <w:color w:val="auto"/>
              </w:rPr>
              <w:t>File Number)</w:t>
            </w:r>
          </w:p>
        </w:tc>
        <w:tc>
          <w:tcPr>
            <w:tcW w:w="2480" w:type="dxa"/>
            <w:vAlign w:val="bottom"/>
          </w:tcPr>
          <w:p>
            <w:pPr>
              <w:jc w:val="center"/>
              <w:ind w:left="1349"/>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196"/>
        </w:trPr>
        <w:tc>
          <w:tcPr>
            <w:tcW w:w="3980" w:type="dxa"/>
            <w:vAlign w:val="bottom"/>
          </w:tcPr>
          <w:p>
            <w:pPr>
              <w:jc w:val="center"/>
              <w:ind w:left="1249"/>
              <w:spacing w:after="0"/>
              <w:rPr>
                <w:sz w:val="20"/>
                <w:szCs w:val="20"/>
                <w:color w:val="auto"/>
              </w:rPr>
            </w:pPr>
            <w:r>
              <w:rPr>
                <w:rFonts w:ascii="Times New Roman" w:cs="Times New Roman" w:eastAsia="Times New Roman" w:hAnsi="Times New Roman"/>
                <w:sz w:val="14"/>
                <w:szCs w:val="14"/>
                <w:b w:val="1"/>
                <w:bCs w:val="1"/>
                <w:color w:val="auto"/>
                <w:w w:val="99"/>
              </w:rPr>
              <w:t>1177 Avenue of the Americas</w:t>
            </w:r>
          </w:p>
        </w:tc>
        <w:tc>
          <w:tcPr>
            <w:tcW w:w="2360" w:type="dxa"/>
            <w:vAlign w:val="bottom"/>
          </w:tcPr>
          <w:p>
            <w:pPr>
              <w:spacing w:after="0"/>
              <w:rPr>
                <w:sz w:val="17"/>
                <w:szCs w:val="17"/>
                <w:color w:val="auto"/>
              </w:rPr>
            </w:pPr>
          </w:p>
        </w:tc>
        <w:tc>
          <w:tcPr>
            <w:tcW w:w="2480" w:type="dxa"/>
            <w:vAlign w:val="bottom"/>
            <w:vMerge w:val="restart"/>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10036</w:t>
            </w:r>
          </w:p>
        </w:tc>
        <w:tc>
          <w:tcPr>
            <w:tcW w:w="0" w:type="dxa"/>
            <w:vAlign w:val="bottom"/>
          </w:tcPr>
          <w:p>
            <w:pPr>
              <w:spacing w:after="0"/>
              <w:rPr>
                <w:sz w:val="1"/>
                <w:szCs w:val="1"/>
                <w:color w:val="auto"/>
              </w:rPr>
            </w:pPr>
          </w:p>
        </w:tc>
      </w:tr>
      <w:tr>
        <w:trPr>
          <w:trHeight w:val="186"/>
        </w:trPr>
        <w:tc>
          <w:tcPr>
            <w:tcW w:w="3980" w:type="dxa"/>
            <w:vAlign w:val="bottom"/>
          </w:tcPr>
          <w:p>
            <w:pPr>
              <w:jc w:val="center"/>
              <w:ind w:left="1229"/>
              <w:spacing w:after="0"/>
              <w:rPr>
                <w:sz w:val="20"/>
                <w:szCs w:val="20"/>
                <w:color w:val="auto"/>
              </w:rPr>
            </w:pPr>
            <w:r>
              <w:rPr>
                <w:rFonts w:ascii="Times New Roman" w:cs="Times New Roman" w:eastAsia="Times New Roman" w:hAnsi="Times New Roman"/>
                <w:sz w:val="14"/>
                <w:szCs w:val="14"/>
                <w:b w:val="1"/>
                <w:bCs w:val="1"/>
                <w:color w:val="auto"/>
                <w:w w:val="99"/>
              </w:rPr>
              <w:t>New York, New York</w:t>
            </w:r>
          </w:p>
        </w:tc>
        <w:tc>
          <w:tcPr>
            <w:tcW w:w="2360" w:type="dxa"/>
            <w:vAlign w:val="bottom"/>
          </w:tcPr>
          <w:p>
            <w:pPr>
              <w:spacing w:after="0"/>
              <w:rPr>
                <w:sz w:val="16"/>
                <w:szCs w:val="16"/>
                <w:color w:val="auto"/>
              </w:rPr>
            </w:pPr>
          </w:p>
        </w:tc>
        <w:tc>
          <w:tcPr>
            <w:tcW w:w="2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80" w:type="dxa"/>
            <w:vAlign w:val="bottom"/>
          </w:tcPr>
          <w:p>
            <w:pPr>
              <w:jc w:val="center"/>
              <w:ind w:left="124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360" w:type="dxa"/>
            <w:vAlign w:val="bottom"/>
          </w:tcPr>
          <w:p>
            <w:pPr>
              <w:spacing w:after="0"/>
              <w:rPr>
                <w:sz w:val="16"/>
                <w:szCs w:val="16"/>
                <w:color w:val="auto"/>
              </w:rPr>
            </w:pPr>
          </w:p>
        </w:tc>
        <w:tc>
          <w:tcPr>
            <w:tcW w:w="2480" w:type="dxa"/>
            <w:vAlign w:val="bottom"/>
          </w:tcPr>
          <w:p>
            <w:pPr>
              <w:jc w:val="center"/>
              <w:ind w:left="1349"/>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bl>
    <w:p>
      <w:pPr>
        <w:spacing w:after="0" w:line="1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(646) 430-6000</w:t>
      </w:r>
    </w:p>
    <w:p>
      <w:pPr>
        <w:spacing w:after="0" w:line="25"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w:t>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280" w:hanging="261"/>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51" w:lineRule="exact"/>
        <w:rPr>
          <w:rFonts w:ascii="MS PGothic" w:cs="MS PGothic" w:eastAsia="MS PGothic" w:hAnsi="MS PGothic"/>
          <w:sz w:val="14"/>
          <w:szCs w:val="14"/>
          <w:color w:val="auto"/>
        </w:rPr>
      </w:pPr>
    </w:p>
    <w:p>
      <w:pPr>
        <w:ind w:left="280" w:hanging="261"/>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51" w:lineRule="exact"/>
        <w:rPr>
          <w:rFonts w:ascii="MS PGothic" w:cs="MS PGothic" w:eastAsia="MS PGothic" w:hAnsi="MS PGothic"/>
          <w:sz w:val="14"/>
          <w:szCs w:val="14"/>
          <w:color w:val="auto"/>
        </w:rPr>
      </w:pPr>
    </w:p>
    <w:p>
      <w:pPr>
        <w:ind w:left="280" w:hanging="261"/>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51" w:lineRule="exact"/>
        <w:rPr>
          <w:rFonts w:ascii="MS PGothic" w:cs="MS PGothic" w:eastAsia="MS PGothic" w:hAnsi="MS PGothic"/>
          <w:sz w:val="14"/>
          <w:szCs w:val="14"/>
          <w:color w:val="auto"/>
        </w:rPr>
      </w:pPr>
    </w:p>
    <w:p>
      <w:pPr>
        <w:ind w:left="280" w:hanging="261"/>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60" w:type="dxa"/>
            <w:vAlign w:val="bottom"/>
            <w:gridSpan w:val="2"/>
            <w:vMerge w:val="continue"/>
          </w:tcPr>
          <w:p>
            <w:pPr>
              <w:spacing w:after="0"/>
              <w:rPr>
                <w:sz w:val="16"/>
                <w:szCs w:val="16"/>
                <w:color w:val="auto"/>
              </w:rPr>
            </w:pPr>
          </w:p>
        </w:tc>
        <w:tc>
          <w:tcPr>
            <w:tcW w:w="3280" w:type="dxa"/>
            <w:vAlign w:val="bottom"/>
            <w:gridSpan w:val="2"/>
            <w:vMerge w:val="continue"/>
          </w:tcPr>
          <w:p>
            <w:pPr>
              <w:spacing w:after="0"/>
              <w:rPr>
                <w:sz w:val="16"/>
                <w:szCs w:val="16"/>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w:t>
            </w:r>
          </w:p>
        </w:tc>
        <w:tc>
          <w:tcPr>
            <w:tcW w:w="400" w:type="dxa"/>
            <w:vAlign w:val="bottom"/>
          </w:tcPr>
          <w:p>
            <w:pPr>
              <w:spacing w:after="0"/>
              <w:rPr>
                <w:sz w:val="15"/>
                <w:szCs w:val="15"/>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TW</w:t>
            </w:r>
          </w:p>
        </w:tc>
        <w:tc>
          <w:tcPr>
            <w:tcW w:w="420" w:type="dxa"/>
            <w:vAlign w:val="bottom"/>
          </w:tcPr>
          <w:p>
            <w:pPr>
              <w:spacing w:after="0"/>
              <w:rPr>
                <w:sz w:val="15"/>
                <w:szCs w:val="15"/>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bl>
    <w:p>
      <w:pPr>
        <w:spacing w:after="0" w:line="226" w:lineRule="exact"/>
        <w:rPr>
          <w:sz w:val="24"/>
          <w:szCs w:val="24"/>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10" w:lineRule="exact"/>
        <w:rPr>
          <w:sz w:val="24"/>
          <w:szCs w:val="24"/>
          <w:color w:val="auto"/>
        </w:rPr>
      </w:pPr>
    </w:p>
    <w:p>
      <w:pPr>
        <w:ind w:right="180"/>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506095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20320</wp:posOffset>
            </wp:positionV>
            <wp:extent cx="7148195"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0</wp:posOffset>
            </wp:positionV>
            <wp:extent cx="71481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40"/>
          </w:cols>
          <w:pgMar w:left="300" w:top="1215"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5.02. Departure of Directors or Certain Officers; Election of Directors; Appointment of Certain Officers; Compensatory Arrangements of Certain Officers.</w:t>
      </w:r>
    </w:p>
    <w:p>
      <w:pPr>
        <w:spacing w:after="0" w:line="19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4"/>
          <w:szCs w:val="14"/>
          <w:color w:val="auto"/>
        </w:rPr>
        <w:t>On March 6, 2025, the Board of Directors (the “Board”) of Tradeweb Markets Inc. (the “Company”) appointed Mr. Rich Repetto, age 67, as a Class II director, effective as of such date. Mr. Repetto will hold office until the annual meeting of stockholders to be held in 2027 and until his successor shall be elected and qualified or until his earlier death, resignation, retirement, disqualification or removal. Mr. Repetto was also appointed as a member of the Audit and Risk Committee of the Board effective as of March 6, 2025.</w:t>
      </w:r>
    </w:p>
    <w:p>
      <w:pPr>
        <w:spacing w:after="0" w:line="157"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4"/>
          <w:szCs w:val="14"/>
          <w:color w:val="auto"/>
        </w:rPr>
        <w:t>Mr. Repetto was designated to serve on the Board by Refinitiv Parent Limited (“Refinitiv”), our controlling stockholder, pursuant to Refinitiv’s director designation right as set forth in Section 2.1 of that certain Stockholders Agreement, dated as of April 8, 2019, by and among the Company and the stockholders named therein. Mr. Repetto does not have any family relationships with any director or executive officer of the Company and there are no transactions in which Mr. Repetto has an interest requiring disclosure under Item 404(a) of Regulation S-K.</w:t>
      </w:r>
    </w:p>
    <w:p>
      <w:pPr>
        <w:spacing w:after="0" w:line="157"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4"/>
          <w:szCs w:val="14"/>
          <w:color w:val="auto"/>
        </w:rPr>
        <w:t>In connection with his appointment to the Board, Mr. Repetto will be entitled to receive an annual cash retainer of $100,000, an annual equity award of restricted stock units with a value of $150,000, and a cash retainer of $15,000 as a member of the Audit and Risk Committee, in each case, prorated to reflect days of service and in accordance with the Company’s non-employee director compensation program.</w:t>
      </w:r>
    </w:p>
    <w:p>
      <w:pPr>
        <w:spacing w:after="0" w:line="163"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4"/>
          <w:szCs w:val="14"/>
          <w:color w:val="auto"/>
        </w:rPr>
        <w:t>Mr. Repetto served as Managing Director and Senior Research Analyst at Piper Sandler Corporation, a global investment bank, from January 2020 to June 2023 and as a Principal at Sandler O'Neill and Partners, the predecessor entity to Piper Sandler Corporation, from November 2003 to January 2020. Mr. Repetto has over 25 years of experience covering electronic trading and financial technology companies, having received many accolades during his career, including the Financial Times/StarMine “Global Analyst of the Year” from the Financial Times in 2010. Mr. Repetto has been employed by Cornerstone Financial Technology Management, a technology enhanced investment fund, since December 2023. Mr. Repetto serves as a member of the Board of Directors and a member of the Audit Committee of Interactive Brokers Group, Inc. Mr. Repetto received a Bachelor of Science degree from the United States Military Academy at West Point and an M.B.A. from The Wharton School of the University of Pennsylvania. Mr. Repetto is qualified to serve on our Board due to his deep knowledge of our industry and business.</w:t>
      </w:r>
    </w:p>
    <w:p>
      <w:pPr>
        <w:spacing w:after="0" w:line="164" w:lineRule="exact"/>
        <w:rPr>
          <w:sz w:val="20"/>
          <w:szCs w:val="20"/>
          <w:color w:val="auto"/>
        </w:rPr>
      </w:pPr>
    </w:p>
    <w:p>
      <w:pPr>
        <w:ind w:right="120" w:firstLine="509"/>
        <w:spacing w:after="0" w:line="271" w:lineRule="auto"/>
        <w:rPr>
          <w:sz w:val="20"/>
          <w:szCs w:val="20"/>
          <w:color w:val="auto"/>
        </w:rPr>
      </w:pPr>
      <w:r>
        <w:rPr>
          <w:rFonts w:ascii="Times New Roman" w:cs="Times New Roman" w:eastAsia="Times New Roman" w:hAnsi="Times New Roman"/>
          <w:sz w:val="14"/>
          <w:szCs w:val="14"/>
          <w:color w:val="auto"/>
        </w:rPr>
        <w:t>The Company will enter into its standard form of indemnification agreement for directors and officers, a copy of which was previously filed as Exhibit 10.16 to the Company’s Registration Statement on Form S-1 (File No. 333-230115) and is incorporated herein by reference, with Mr. Repetto.</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91" w:lineRule="exact"/>
        <w:rPr>
          <w:sz w:val="20"/>
          <w:szCs w:val="20"/>
          <w:color w:val="auto"/>
        </w:rPr>
      </w:pPr>
    </w:p>
    <w:p>
      <w:pPr>
        <w:ind w:right="60" w:firstLine="509"/>
        <w:spacing w:after="0" w:line="271" w:lineRule="auto"/>
        <w:rPr>
          <w:sz w:val="20"/>
          <w:szCs w:val="20"/>
          <w:color w:val="auto"/>
        </w:rPr>
      </w:pPr>
      <w:r>
        <w:rPr>
          <w:rFonts w:ascii="Times New Roman" w:cs="Times New Roman" w:eastAsia="Times New Roman" w:hAnsi="Times New Roman"/>
          <w:sz w:val="14"/>
          <w:szCs w:val="14"/>
          <w:color w:val="auto"/>
        </w:rPr>
        <w:t>On March 7, 2025, the Company issued a press release announcing the appointment of Rich Repetto. A copy of the press release is attached as Exhibit 99.1 hereto and is incorporated herein by reference.</w:t>
      </w:r>
    </w:p>
    <w:p>
      <w:pPr>
        <w:spacing w:after="0" w:line="13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In accordance with General Instruction B.2 of Form 8-K, the information in this Item 7.01 of this Current Report on Form 8-K, including Exhibit 99.1 attached hereto, shall not be deemed “filed” for the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set forth by specific reference in such a filing.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558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Exhibit Description</w:t>
            </w:r>
          </w:p>
        </w:tc>
      </w:tr>
      <w:tr>
        <w:trPr>
          <w:trHeight w:val="175"/>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47"/>
        </w:trPr>
        <w:tc>
          <w:tcPr>
            <w:tcW w:w="17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420" w:type="dxa"/>
            <w:vAlign w:val="bottom"/>
            <w:tcBorders>
              <w:top w:val="single" w:sz="8" w:color="auto"/>
            </w:tcBorders>
            <w:gridSpan w:val="3"/>
          </w:tcPr>
          <w:p>
            <w:pPr>
              <w:spacing w:after="0" w:line="147" w:lineRule="exact"/>
              <w:rPr>
                <w:rFonts w:ascii="Times New Roman" w:cs="Times New Roman" w:eastAsia="Times New Roman" w:hAnsi="Times New Roman"/>
                <w:sz w:val="14"/>
                <w:szCs w:val="14"/>
                <w:color w:val="0000FF"/>
              </w:rPr>
            </w:pPr>
            <w:hyperlink r:id="rId13">
              <w:r>
                <w:rPr>
                  <w:rFonts w:ascii="Times New Roman" w:cs="Times New Roman" w:eastAsia="Times New Roman" w:hAnsi="Times New Roman"/>
                  <w:sz w:val="14"/>
                  <w:szCs w:val="14"/>
                  <w:color w:val="0000FF"/>
                </w:rPr>
                <w:t>Form of Indemnification Agreement (incorporated by reference to Exhibit 10.16 to the Company’s Registration Statement on Form S-1 (File No. 333-230115)).</w:t>
              </w:r>
            </w:hyperlink>
          </w:p>
        </w:tc>
      </w:tr>
      <w:tr>
        <w:trPr>
          <w:trHeight w:val="160"/>
        </w:trPr>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Press Release of Tradeweb Markets Inc., dated as of March 7, 2025.</w:t>
            </w:r>
          </w:p>
        </w:tc>
        <w:tc>
          <w:tcPr>
            <w:tcW w:w="380" w:type="dxa"/>
            <w:vAlign w:val="bottom"/>
          </w:tcPr>
          <w:p>
            <w:pPr>
              <w:spacing w:after="0"/>
              <w:rPr>
                <w:sz w:val="13"/>
                <w:szCs w:val="13"/>
                <w:color w:val="auto"/>
              </w:rPr>
            </w:pPr>
          </w:p>
        </w:tc>
      </w:tr>
      <w:tr>
        <w:trPr>
          <w:trHeight w:val="20"/>
        </w:trPr>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r>
      <w:tr>
        <w:trPr>
          <w:trHeight w:val="213"/>
        </w:trPr>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1742"/>
        </w:trPr>
        <w:tc>
          <w:tcPr>
            <w:tcW w:w="1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 w:name="page3"/>
    <w:bookmarkEnd w:id="2"/>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6860" w:type="dxa"/>
            <w:vAlign w:val="bottom"/>
            <w:gridSpan w:val="2"/>
          </w:tcPr>
          <w:p>
            <w:pPr>
              <w:ind w:left="2440"/>
              <w:spacing w:after="0"/>
              <w:rPr>
                <w:sz w:val="20"/>
                <w:szCs w:val="20"/>
                <w:color w:val="auto"/>
              </w:rPr>
            </w:pPr>
            <w:r>
              <w:rPr>
                <w:rFonts w:ascii="Times New Roman" w:cs="Times New Roman" w:eastAsia="Times New Roman" w:hAnsi="Times New Roman"/>
                <w:sz w:val="14"/>
                <w:szCs w:val="14"/>
                <w:color w:val="auto"/>
              </w:rPr>
              <w:t>TRADEWEB MARKETS INC.</w:t>
            </w:r>
          </w:p>
        </w:tc>
      </w:tr>
      <w:tr>
        <w:trPr>
          <w:trHeight w:val="414"/>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Date: March 7, 2025</w:t>
            </w:r>
          </w:p>
        </w:tc>
        <w:tc>
          <w:tcPr>
            <w:tcW w:w="6860" w:type="dxa"/>
            <w:vAlign w:val="bottom"/>
            <w:gridSpan w:val="2"/>
          </w:tcPr>
          <w:p>
            <w:pPr>
              <w:ind w:left="2440"/>
              <w:spacing w:after="0"/>
              <w:rPr>
                <w:sz w:val="20"/>
                <w:szCs w:val="20"/>
                <w:color w:val="auto"/>
              </w:rPr>
            </w:pPr>
            <w:r>
              <w:rPr>
                <w:rFonts w:ascii="Times New Roman" w:cs="Times New Roman" w:eastAsia="Times New Roman" w:hAnsi="Times New Roman"/>
                <w:sz w:val="14"/>
                <w:szCs w:val="14"/>
                <w:color w:val="auto"/>
              </w:rPr>
              <w:t>By:    /s/ Douglas Friedman</w:t>
            </w:r>
          </w:p>
        </w:tc>
      </w:tr>
      <w:tr>
        <w:trPr>
          <w:trHeight w:val="22"/>
        </w:trPr>
        <w:tc>
          <w:tcPr>
            <w:tcW w:w="36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175"/>
        </w:trPr>
        <w:tc>
          <w:tcPr>
            <w:tcW w:w="36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Douglas Friedman</w:t>
            </w:r>
          </w:p>
        </w:tc>
      </w:tr>
      <w:tr>
        <w:trPr>
          <w:trHeight w:val="198"/>
        </w:trPr>
        <w:tc>
          <w:tcPr>
            <w:tcW w:w="36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General Counsel</w:t>
            </w:r>
          </w:p>
        </w:tc>
      </w:tr>
    </w:tbl>
    <w:p>
      <w:pPr>
        <w:sectPr>
          <w:pgSz w:w="11900" w:h="16838" w:orient="portrait"/>
          <w:cols w:equalWidth="0" w:num="1">
            <w:col w:w="10480"/>
          </w:cols>
          <w:pgMar w:left="820" w:top="1110" w:right="5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3" Type="http://schemas.openxmlformats.org/officeDocument/2006/relationships/hyperlink" Target="https://www.sec.gov/Archives/edgar/data/1758730/000114420419015706/tv515721_ex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2025-03-07T07:54:15Z</dcterms:created>
  <dcterms:modified xsi:type="dcterms:W3CDTF">2025-03-07T07:54:15Z</dcterms:modified>
</cp:coreProperties>
</file>