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Timothy Knowland, GC Corporate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London Stock Exchange Group plc, 10 Paternoster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EC4M 7LS</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(0) 20 7797 1000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Levitt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Freshfields US LLP, 3 World Trade Center, 175 Greenwich 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277-4000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Sebastian Fain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Freshfields US LLP, 3 World Trade Center, 175 Greenwich 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277-4000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Refinitiv US PME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22,988,329.00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Refinitiv US LLC</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22,988,329.00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LSEGA,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22,988,329.00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LSEG US Holdco,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22,988,329.00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22,988,329.00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Refinitiv TW Holdings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96,933,192.00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96,933,192.00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96,933,192.00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Refinitiv Parent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119,921,521.00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119,921,521.00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119,921,521.00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London Stock Exchange Group plc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119,921,521.00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119,921,521.00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119,921,521.00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NEW YORK , 10036.</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8 (this "Amendment No. 8") amends and supplements the beneficial</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ownership statement on Schedule 13D originally filed on February 8, 2021 (the "Original Statement"), as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("Amendment No. 1") filed on March 1, 2021, Amendment No. 2 ("Amendment No. 2") filed on March 12, 2021, Amendment No. 3 ("Amendment No. 3") filed on June 30, 2021, Amendment No. 4 ("Amendment No. 4") filed on July 8, 2022, Amendment No. 5 ("Amendment No. 5") filed on February 22, 2023,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("Amendment No. 6") filed on January 3, 2024 and Amendment No. 7 ("Amendment No. 7") filed on September 19, 2024 on behalf of (i) Refinitiv US PME LLC, a Delaware limited liability company, (ii) Refinitiv US LLC, a Delaware limited liability company, (iii) LSEGA, Inc. a Delaware corporation, (iv) LSEG US Holdco, Inc., a Delaware corporation, (v) Refinitiv TW Holdings Ltd., a Cayman Islands exempted company, (vi) Refinitiv Parent Limited, a Cayman Islands exempted company, and (vii) London Stock Exchange Group plc, a public limited company organized in England and Wales. Each of the foregoing entities is hereinafter individually referred to as a "Reporting Person" and collectively as the "Reporting Persons." The Original Statement, as amended by Amendment No. 1, Amendment No. 2, Amendment No. 3, Amendment No. 4, Amendment No. 5, Amendment No. 6,</w:t>
      </w:r>
    </w:p>
    <w:p>
      <w:pPr>
        <w:sectPr>
          <w:pgSz w:w="11900" w:h="16838" w:orient="portrait"/>
          <w:cols w:equalWidth="0" w:num="1">
            <w:col w:w="11160"/>
          </w:cols>
          <w:pgMar w:left="360" w:top="111" w:right="379" w:bottom="0" w:gutter="0" w:footer="0" w:header="0"/>
          <w:type w:val="continuous"/>
        </w:sectPr>
      </w:pPr>
    </w:p>
    <w:bookmarkStart w:id="7" w:name="page8"/>
    <w:bookmarkEnd w:id="7"/>
    <w:p>
      <w:pPr>
        <w:jc w:val="both"/>
        <w:ind w:left="960"/>
        <w:spacing w:after="0" w:line="268" w:lineRule="auto"/>
        <w:rPr>
          <w:sz w:val="20"/>
          <w:szCs w:val="20"/>
          <w:color w:val="auto"/>
        </w:rPr>
      </w:pPr>
      <w:r>
        <w:rPr>
          <w:rFonts w:ascii="Times New Roman" w:cs="Times New Roman" w:eastAsia="Times New Roman" w:hAnsi="Times New Roman"/>
          <w:sz w:val="21"/>
          <w:szCs w:val="21"/>
          <w:color w:val="auto"/>
        </w:rPr>
        <w:t>Amendment No. 7 and this Amendment No. 8 (the "Schedule 13D"), relates to the Class A Common Stock, par value $0.00001 per share (the "Class A Common Stock"), of Tradeweb Markets Inc., a Delaware corporation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Schedule I attached to the Original Statement and any amendment thereto is hereby replaced and superseded in its entirety by Schedule I attached hereto.</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6" w:lineRule="auto"/>
        <w:rPr>
          <w:sz w:val="20"/>
          <w:szCs w:val="20"/>
          <w:color w:val="auto"/>
        </w:rPr>
      </w:pPr>
      <w:r>
        <w:rPr>
          <w:rFonts w:ascii="Times New Roman" w:cs="Times New Roman" w:eastAsia="Times New Roman" w:hAnsi="Times New Roman"/>
          <w:sz w:val="22"/>
          <w:szCs w:val="22"/>
          <w:color w:val="auto"/>
        </w:rPr>
        <w:t>The penultimate paragraph of Item 4 is hereby supplemented by adding the below disclosure immediately prior to the last sentence in such paragraph: On March 6, 2025, the Board of the Issuer appointed Rich Repetto as a Class II director, effective March 6, 2025. Mr. Repetto will hold office until the annual meeting of the Issuer's stockholders to be held in 2027 and until his successor shall be elected and qualified or until his earlier death, resignation, retirement, disqualification or removal. Mr. Repetto was designated to serve on the Board by Refinitiv Parent pursuant to the Stockholders Agreement.</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9" w:lineRule="auto"/>
        <w:rPr>
          <w:sz w:val="20"/>
          <w:szCs w:val="20"/>
          <w:color w:val="auto"/>
        </w:rPr>
      </w:pPr>
      <w:r>
        <w:rPr>
          <w:rFonts w:ascii="Times New Roman" w:cs="Times New Roman" w:eastAsia="Times New Roman" w:hAnsi="Times New Roman"/>
          <w:sz w:val="21"/>
          <w:szCs w:val="21"/>
          <w:color w:val="auto"/>
        </w:rPr>
        <w:t>The first two sentences of paragraphs (a) and (b) of Item 5 are hereby amended and restated as follows: (a) and (b) Calculations of the percentage of shares of Class A Common Stock beneficially owned assume that 116,163,963 shares of Class A Common Stock were outstanding as of January 31, 2025, as reported in the Issuer's Annual Report</w:t>
      </w:r>
    </w:p>
    <w:p>
      <w:pPr>
        <w:spacing w:after="0" w:line="1" w:lineRule="exact"/>
        <w:rPr>
          <w:sz w:val="20"/>
          <w:szCs w:val="20"/>
          <w:color w:val="auto"/>
        </w:rPr>
      </w:pPr>
    </w:p>
    <w:p>
      <w:pPr>
        <w:ind w:left="920" w:right="1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on Form 10-K filed with the Securities and Exchange Commission on February 7, 2025,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Schedule I: Additional Information Concerning the Reporting Persons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Refinitiv US PME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Refinitiv US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LSEGA,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LSEG US Holdco,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Refinitiv TW Holdings Ltd.</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Refinitiv Parent Limited</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Teresa Hogan as Attorney-in-Fact</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London Stock Exchange Group plc</w:t>
      </w:r>
    </w:p>
    <w:p>
      <w:pPr>
        <w:sectPr>
          <w:pgSz w:w="11900" w:h="16838" w:orient="portrait"/>
          <w:cols w:equalWidth="0" w:num="1">
            <w:col w:w="11160"/>
          </w:cols>
          <w:pgMar w:left="360" w:top="111" w:right="379" w:bottom="0" w:gutter="0" w:footer="0" w:header="0"/>
        </w:sectPr>
      </w:pPr>
    </w:p>
    <w:bookmarkStart w:id="8" w:name="page9"/>
    <w:bookmarkEnd w:id="8"/>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Hogan</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Name/Title: Teresa Hogan as Attorney-in-Fact</w:t>
      </w:r>
    </w:p>
    <w:p>
      <w:pPr>
        <w:spacing w:after="0" w:line="56"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ectPr>
          <w:pgSz w:w="11900" w:h="16838" w:orient="portrait"/>
          <w:cols w:equalWidth="0" w:num="1">
            <w:col w:w="9019"/>
          </w:cols>
          <w:pgMar w:left="1440" w:top="18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ADDITIONAL INFORMATION CONCERNING THE REPORTING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London Stock Exchange Group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39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Schwimmer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Director, LSEG</w:t>
            </w:r>
          </w:p>
        </w:tc>
        <w:tc>
          <w:tcPr>
            <w:tcW w:w="2240" w:type="dxa"/>
            <w:vAlign w:val="bottom"/>
          </w:tcPr>
          <w:p>
            <w:pPr>
              <w:spacing w:after="0"/>
              <w:rPr>
                <w:sz w:val="20"/>
                <w:szCs w:val="20"/>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Michel-Alain Proch</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Director, LSEG</w:t>
            </w:r>
          </w:p>
        </w:tc>
        <w:tc>
          <w:tcPr>
            <w:tcW w:w="2240" w:type="dxa"/>
            <w:vAlign w:val="bottom"/>
          </w:tcPr>
          <w:p>
            <w:pPr>
              <w:spacing w:after="0"/>
              <w:rPr>
                <w:sz w:val="20"/>
                <w:szCs w:val="20"/>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Balbir Bakhshi</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Risk Officer,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Johnson</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Counsel,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Erica Bourne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People Officer,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Maguire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Group Head, LSEG Markets and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CEO, LCH Group</w:t>
            </w:r>
          </w:p>
        </w:tc>
        <w:tc>
          <w:tcPr>
            <w:tcW w:w="2240" w:type="dxa"/>
            <w:vAlign w:val="bottom"/>
          </w:tcPr>
          <w:p>
            <w:pPr>
              <w:spacing w:after="0"/>
              <w:rPr>
                <w:sz w:val="20"/>
                <w:szCs w:val="20"/>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Pascal Boillat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Operating Officer,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Switzerland</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 Lefferts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Group Head of Sales &amp; Account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Management, LSEG</w:t>
            </w:r>
          </w:p>
        </w:tc>
        <w:tc>
          <w:tcPr>
            <w:tcW w:w="2240" w:type="dxa"/>
            <w:vAlign w:val="bottom"/>
          </w:tcPr>
          <w:p>
            <w:pPr>
              <w:spacing w:after="0"/>
              <w:rPr>
                <w:sz w:val="20"/>
                <w:szCs w:val="20"/>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Irfan Hussain</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Information Officer,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Robert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Great Britain</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70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David Schwimmer</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Director, LSEG</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Michel-Alain Proch</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Director, LSEG</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Dominic William Blakemore</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Chief Executive Officer of</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Compass Group PLC</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Martin Johannes Brand</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 of Blackstone Capital Partners,</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Blackstone Inc.</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Professor Kathleen DeRose</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Non-Executive Director of Experian</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30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plc, Non-Executive Director of</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Enfusion Inc. and Non -Executive</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of Voya Financial, Inc.</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Clinical Associate Professor of</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at the New York University</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Leonard N. Stern School of Business</w:t>
            </w:r>
          </w:p>
        </w:tc>
        <w:tc>
          <w:tcPr>
            <w:tcW w:w="23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Innovation</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Tsega Gebreyes</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Founding Director, Satya Capital</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Ethiopia</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Limited</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Scott David Guthrie</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Microsoft</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Cloud and AI Group</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Cressida Mary Hogg CBE</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 of the Board of Directors of</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BAE Systems plc</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Dr. Val Rahmani</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Non-Executive Director at</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Great Britain</w:t>
            </w:r>
          </w:p>
        </w:tc>
      </w:tr>
      <w:tr>
        <w:trPr>
          <w:trHeight w:val="216"/>
        </w:trPr>
        <w:tc>
          <w:tcPr>
            <w:tcW w:w="230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RenaissanceRe Holdings Limited</w:t>
            </w:r>
          </w:p>
        </w:tc>
        <w:tc>
          <w:tcPr>
            <w:tcW w:w="23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Non-Executive Director of</w:t>
            </w:r>
          </w:p>
        </w:tc>
        <w:tc>
          <w:tcPr>
            <w:tcW w:w="23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Entrust</w:t>
            </w:r>
          </w:p>
        </w:tc>
        <w:tc>
          <w:tcPr>
            <w:tcW w:w="23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William Vereker</w:t>
            </w: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London Stock Exchange Group plc, 10</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Santander UK</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230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Paternoster Square, London, EC4M 7LS</w:t>
            </w:r>
          </w:p>
        </w:tc>
        <w:tc>
          <w:tcPr>
            <w:tcW w:w="30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US PME LLC</w:t>
            </w: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52"/>
        </w:trPr>
        <w:tc>
          <w:tcPr>
            <w:tcW w:w="17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760" w:type="dxa"/>
            <w:vAlign w:val="bottom"/>
            <w:gridSpan w:val="2"/>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410"/>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Kayleigh Pettit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Legal, D&amp;A Americas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4"/>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Martin Cramer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Group Corporate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Development</w:t>
            </w:r>
          </w:p>
        </w:tc>
        <w:tc>
          <w:tcPr>
            <w:tcW w:w="2240" w:type="dxa"/>
            <w:vAlign w:val="bottom"/>
          </w:tcPr>
          <w:p>
            <w:pPr>
              <w:spacing w:after="0"/>
              <w:rPr>
                <w:sz w:val="20"/>
                <w:szCs w:val="20"/>
                <w:color w:val="auto"/>
              </w:rPr>
            </w:pPr>
          </w:p>
        </w:tc>
      </w:tr>
      <w:tr>
        <w:trPr>
          <w:trHeight w:val="392"/>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US LLC</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2"/>
        </w:trPr>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200" w:type="dxa"/>
            <w:vAlign w:val="bottom"/>
            <w:gridSpan w:val="4"/>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410"/>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Kayleigh Pettit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Legal, D&amp;A Americas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4"/>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Martin Cramer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Group Corporate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Development</w:t>
            </w:r>
          </w:p>
        </w:tc>
        <w:tc>
          <w:tcPr>
            <w:tcW w:w="2240" w:type="dxa"/>
            <w:vAlign w:val="bottom"/>
          </w:tcPr>
          <w:p>
            <w:pPr>
              <w:spacing w:after="0"/>
              <w:rPr>
                <w:sz w:val="20"/>
                <w:szCs w:val="20"/>
                <w:color w:val="auto"/>
              </w:rPr>
            </w:pPr>
          </w:p>
        </w:tc>
      </w:tr>
      <w:tr>
        <w:trPr>
          <w:trHeight w:val="39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LSEGA, Inc.</w:t>
            </w:r>
          </w:p>
        </w:tc>
        <w:tc>
          <w:tcPr>
            <w:tcW w:w="1520" w:type="dxa"/>
            <w:vAlign w:val="bottom"/>
            <w:gridSpan w:val="5"/>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2"/>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410"/>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Kayleigh Pettit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Legal, D&amp;A Americas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4"/>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Martin Cramer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Group Corporate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Development</w:t>
            </w:r>
          </w:p>
        </w:tc>
        <w:tc>
          <w:tcPr>
            <w:tcW w:w="2240" w:type="dxa"/>
            <w:vAlign w:val="bottom"/>
          </w:tcPr>
          <w:p>
            <w:pPr>
              <w:spacing w:after="0"/>
              <w:rPr>
                <w:sz w:val="20"/>
                <w:szCs w:val="20"/>
                <w:color w:val="auto"/>
              </w:rPr>
            </w:pPr>
          </w:p>
        </w:tc>
      </w:tr>
      <w:tr>
        <w:trPr>
          <w:trHeight w:val="391"/>
        </w:trPr>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LSEG US Holdco, Inc.</w:t>
            </w:r>
          </w:p>
        </w:tc>
        <w:tc>
          <w:tcPr>
            <w:tcW w:w="780" w:type="dxa"/>
            <w:vAlign w:val="bottom"/>
            <w:gridSpan w:val="3"/>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410"/>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Kayleigh Pettit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Legal, D&amp;A Americas</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4"/>
        </w:trPr>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Martin Cramer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28 Liberty Street New York, NY 10005</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Head of Group Corporate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Development</w:t>
            </w:r>
          </w:p>
        </w:tc>
        <w:tc>
          <w:tcPr>
            <w:tcW w:w="2240" w:type="dxa"/>
            <w:vAlign w:val="bottom"/>
          </w:tcPr>
          <w:p>
            <w:pPr>
              <w:spacing w:after="0"/>
              <w:rPr>
                <w:sz w:val="20"/>
                <w:szCs w:val="20"/>
                <w:color w:val="auto"/>
              </w:rPr>
            </w:pPr>
          </w:p>
        </w:tc>
      </w:tr>
      <w:tr>
        <w:trPr>
          <w:trHeight w:val="675"/>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TW Holdings Ltd.</w:t>
            </w: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52"/>
        </w:trPr>
        <w:tc>
          <w:tcPr>
            <w:tcW w:w="2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480" w:type="dxa"/>
            <w:vAlign w:val="bottom"/>
            <w:gridSpan w:val="2"/>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391"/>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Timothy Knowland</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Five Canada Square, Canary Wharf, London</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Counsel, Corporate,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E14 5AQ</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Peter Thorn</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Five Canada Square, Canary Wharf, London</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Global Transfer Pricing Controller,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E14 5AQ</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LSEG</w:t>
            </w:r>
          </w:p>
        </w:tc>
        <w:tc>
          <w:tcPr>
            <w:tcW w:w="2240" w:type="dxa"/>
            <w:vAlign w:val="bottom"/>
          </w:tcPr>
          <w:p>
            <w:pPr>
              <w:spacing w:after="0"/>
              <w:rPr>
                <w:sz w:val="20"/>
                <w:szCs w:val="20"/>
                <w:color w:val="auto"/>
              </w:rPr>
            </w:pPr>
          </w:p>
        </w:tc>
      </w:tr>
      <w:tr>
        <w:trPr>
          <w:trHeight w:val="392"/>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Refinitiv Parent Limited</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700" w:type="dxa"/>
            <w:vAlign w:val="bottom"/>
            <w:gridSpan w:val="3"/>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Address</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2"/>
        </w:trPr>
        <w:tc>
          <w:tcPr>
            <w:tcW w:w="2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r>
      <w:tr>
        <w:trPr>
          <w:trHeight w:val="391"/>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Timothy Knowland</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Five Canada Square, Canary Wharf, London</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General Counsel, Corporate, LSEG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E14 5AQ</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Peter Thorn</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Five Canada Square, Canary Wharf, London</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Global Transfer Pricing Controller,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4"/>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E14 5AQ</w:t>
            </w:r>
          </w:p>
        </w:tc>
        <w:tc>
          <w:tcPr>
            <w:tcW w:w="3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LSEG</w:t>
            </w:r>
          </w:p>
        </w:tc>
        <w:tc>
          <w:tcPr>
            <w:tcW w:w="22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best knowledge of the Reporting Persons, none of the individuals listed above beneficially owns any Class A Common Stock of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2025-03-10T16:24:55Z</dcterms:created>
  <dcterms:modified xsi:type="dcterms:W3CDTF">2025-03-10T16:24:55Z</dcterms:modified>
</cp:coreProperties>
</file>