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525145</wp:posOffset>
            </wp:positionH>
            <wp:positionV relativeFrom="page">
              <wp:posOffset>157480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200660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210185</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8-K/A</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color w:val="auto"/>
        </w:rPr>
        <w:t>Amendment No.1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207010</wp:posOffset>
            </wp:positionV>
            <wp:extent cx="162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222885</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Tradeweb Markets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210185</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ectPr>
          <w:pgSz w:w="11900" w:h="16838" w:orient="portrait"/>
          <w:cols w:equalWidth="0" w:num="1">
            <w:col w:w="10240"/>
          </w:cols>
          <w:pgMar w:left="820" w:top="436" w:right="839" w:bottom="1440" w:gutter="0" w:footer="0" w:header="0"/>
        </w:sectPr>
      </w:pPr>
    </w:p>
    <w:p>
      <w:pPr>
        <w:spacing w:after="0" w:line="200" w:lineRule="exact"/>
        <w:rPr>
          <w:sz w:val="24"/>
          <w:szCs w:val="24"/>
          <w:color w:val="auto"/>
        </w:rPr>
      </w:pPr>
    </w:p>
    <w:p>
      <w:pPr>
        <w:spacing w:after="0" w:line="397" w:lineRule="exact"/>
        <w:rPr>
          <w:sz w:val="24"/>
          <w:szCs w:val="24"/>
          <w:color w:val="auto"/>
        </w:rPr>
      </w:pPr>
    </w:p>
    <w:p>
      <w:pPr>
        <w:ind w:left="1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1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7"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001-38860</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5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83-2456358</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7"/>
          <w:szCs w:val="17"/>
          <w:color w:val="auto"/>
        </w:rPr>
        <w:t>(I.R.S. Employer</w:t>
      </w:r>
    </w:p>
    <w:p>
      <w:pPr>
        <w:spacing w:after="0" w:line="21"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Identification No.)</w:t>
      </w:r>
    </w:p>
    <w:p>
      <w:pPr>
        <w:spacing w:after="0" w:line="175" w:lineRule="exact"/>
        <w:rPr>
          <w:sz w:val="24"/>
          <w:szCs w:val="24"/>
          <w:color w:val="auto"/>
        </w:rPr>
      </w:pPr>
    </w:p>
    <w:p>
      <w:pPr>
        <w:sectPr>
          <w:pgSz w:w="11900" w:h="16838" w:orient="portrait"/>
          <w:cols w:equalWidth="0" w:num="3">
            <w:col w:w="3920" w:space="720"/>
            <w:col w:w="2520" w:space="720"/>
            <w:col w:w="2360"/>
          </w:cols>
          <w:pgMar w:left="820" w:top="436" w:right="839" w:bottom="1440" w:gutter="0" w:footer="0" w:header="0"/>
          <w:type w:val="continuous"/>
        </w:sectPr>
      </w:pPr>
    </w:p>
    <w:p>
      <w:pPr>
        <w:jc w:val="center"/>
        <w:ind w:right="1420"/>
        <w:spacing w:after="0"/>
        <w:rPr>
          <w:sz w:val="20"/>
          <w:szCs w:val="20"/>
          <w:color w:val="auto"/>
        </w:rPr>
      </w:pPr>
      <w:r>
        <w:rPr>
          <w:rFonts w:ascii="Arial" w:cs="Arial" w:eastAsia="Arial" w:hAnsi="Arial"/>
          <w:sz w:val="18"/>
          <w:szCs w:val="18"/>
          <w:b w:val="1"/>
          <w:bCs w:val="1"/>
          <w:color w:val="auto"/>
        </w:rPr>
        <w:t>1177 Avenue of the Americas</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4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160"/>
        <w:spacing w:after="0"/>
        <w:rPr>
          <w:sz w:val="20"/>
          <w:szCs w:val="20"/>
          <w:color w:val="auto"/>
        </w:rPr>
      </w:pPr>
      <w:r>
        <w:rPr>
          <w:rFonts w:ascii="Arial" w:cs="Arial" w:eastAsia="Arial" w:hAnsi="Arial"/>
          <w:sz w:val="18"/>
          <w:szCs w:val="18"/>
          <w:b w:val="1"/>
          <w:bCs w:val="1"/>
          <w:color w:val="auto"/>
        </w:rPr>
        <w:t>10036</w:t>
      </w:r>
    </w:p>
    <w:p>
      <w:pPr>
        <w:spacing w:after="0" w:line="27" w:lineRule="exact"/>
        <w:rPr>
          <w:sz w:val="24"/>
          <w:szCs w:val="24"/>
          <w:color w:val="auto"/>
        </w:rPr>
      </w:pPr>
    </w:p>
    <w:p>
      <w:pPr>
        <w:jc w:val="center"/>
        <w:ind w:right="2160"/>
        <w:spacing w:after="0"/>
        <w:rPr>
          <w:sz w:val="20"/>
          <w:szCs w:val="20"/>
          <w:color w:val="auto"/>
        </w:rPr>
      </w:pPr>
      <w:r>
        <w:rPr>
          <w:rFonts w:ascii="Arial" w:cs="Arial" w:eastAsia="Arial" w:hAnsi="Arial"/>
          <w:sz w:val="16"/>
          <w:szCs w:val="16"/>
          <w:color w:val="auto"/>
        </w:rPr>
        <w:t>(Zip Code)</w:t>
      </w:r>
    </w:p>
    <w:p>
      <w:pPr>
        <w:spacing w:after="0" w:line="162" w:lineRule="exact"/>
        <w:rPr>
          <w:sz w:val="24"/>
          <w:szCs w:val="24"/>
          <w:color w:val="auto"/>
        </w:rPr>
      </w:pPr>
    </w:p>
    <w:p>
      <w:pPr>
        <w:sectPr>
          <w:pgSz w:w="11900" w:h="16838" w:orient="portrait"/>
          <w:cols w:equalWidth="0" w:num="2">
            <w:col w:w="6560" w:space="720"/>
            <w:col w:w="2960"/>
          </w:cols>
          <w:pgMar w:left="820" w:top="436" w:right="839" w:bottom="1440" w:gutter="0" w:footer="0" w:header="0"/>
          <w:type w:val="continuous"/>
        </w:sect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430-6000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171450</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380" w:hanging="377"/>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00" w:hanging="397"/>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00" w:hanging="397"/>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right="1820" w:firstLine="3"/>
        <w:spacing w:after="0" w:line="488" w:lineRule="auto"/>
        <w:tabs>
          <w:tab w:leader="none" w:pos="38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40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Title of each class</w:t>
            </w:r>
          </w:p>
        </w:tc>
        <w:tc>
          <w:tcPr>
            <w:tcW w:w="2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Trading Symbol(s)</w:t>
            </w:r>
          </w:p>
        </w:tc>
        <w:tc>
          <w:tcPr>
            <w:tcW w:w="3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Name of each exchange on which</w:t>
            </w:r>
          </w:p>
        </w:tc>
        <w:tc>
          <w:tcPr>
            <w:tcW w:w="0" w:type="dxa"/>
            <w:vAlign w:val="bottom"/>
          </w:tcPr>
          <w:p>
            <w:pPr>
              <w:spacing w:after="0"/>
              <w:rPr>
                <w:sz w:val="1"/>
                <w:szCs w:val="1"/>
                <w:color w:val="auto"/>
              </w:rPr>
            </w:pPr>
          </w:p>
        </w:tc>
      </w:tr>
      <w:tr>
        <w:trPr>
          <w:trHeight w:val="171"/>
        </w:trPr>
        <w:tc>
          <w:tcPr>
            <w:tcW w:w="4060" w:type="dxa"/>
            <w:vAlign w:val="bottom"/>
            <w:gridSpan w:val="2"/>
            <w:vMerge w:val="continue"/>
          </w:tcPr>
          <w:p>
            <w:pPr>
              <w:spacing w:after="0"/>
              <w:rPr>
                <w:sz w:val="14"/>
                <w:szCs w:val="14"/>
                <w:color w:val="auto"/>
              </w:rPr>
            </w:pPr>
          </w:p>
        </w:tc>
        <w:tc>
          <w:tcPr>
            <w:tcW w:w="2900" w:type="dxa"/>
            <w:vAlign w:val="bottom"/>
            <w:gridSpan w:val="2"/>
            <w:vMerge w:val="continue"/>
          </w:tcPr>
          <w:p>
            <w:pPr>
              <w:spacing w:after="0"/>
              <w:rPr>
                <w:sz w:val="14"/>
                <w:szCs w:val="14"/>
                <w:color w:val="auto"/>
              </w:rPr>
            </w:pPr>
          </w:p>
        </w:tc>
        <w:tc>
          <w:tcPr>
            <w:tcW w:w="3280" w:type="dxa"/>
            <w:vAlign w:val="bottom"/>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0" w:type="dxa"/>
            <w:vAlign w:val="bottom"/>
          </w:tcPr>
          <w:p>
            <w:pPr>
              <w:spacing w:after="0"/>
              <w:rPr>
                <w:sz w:val="1"/>
                <w:szCs w:val="1"/>
                <w:color w:val="auto"/>
              </w:rPr>
            </w:pPr>
          </w:p>
        </w:tc>
      </w:tr>
      <w:tr>
        <w:trPr>
          <w:trHeight w:val="224"/>
        </w:trPr>
        <w:tc>
          <w:tcPr>
            <w:tcW w:w="3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Class A common stock, par value $0.00001</w:t>
            </w:r>
          </w:p>
        </w:tc>
        <w:tc>
          <w:tcPr>
            <w:tcW w:w="200" w:type="dxa"/>
            <w:vAlign w:val="bottom"/>
          </w:tcPr>
          <w:p>
            <w:pPr>
              <w:spacing w:after="0"/>
              <w:rPr>
                <w:sz w:val="19"/>
                <w:szCs w:val="19"/>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TW</w:t>
            </w:r>
          </w:p>
        </w:tc>
        <w:tc>
          <w:tcPr>
            <w:tcW w:w="200" w:type="dxa"/>
            <w:vAlign w:val="bottom"/>
          </w:tcPr>
          <w:p>
            <w:pPr>
              <w:spacing w:after="0"/>
              <w:rPr>
                <w:sz w:val="19"/>
                <w:szCs w:val="19"/>
                <w:color w:val="auto"/>
              </w:rPr>
            </w:pPr>
          </w:p>
        </w:tc>
        <w:tc>
          <w:tcPr>
            <w:tcW w:w="3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c>
          <w:tcPr>
            <w:tcW w:w="0" w:type="dxa"/>
            <w:vAlign w:val="bottom"/>
          </w:tcPr>
          <w:p>
            <w:pPr>
              <w:spacing w:after="0"/>
              <w:rPr>
                <w:sz w:val="1"/>
                <w:szCs w:val="1"/>
                <w:color w:val="auto"/>
              </w:rPr>
            </w:pPr>
          </w:p>
        </w:tc>
      </w:tr>
    </w:tbl>
    <w:p>
      <w:pPr>
        <w:spacing w:after="0" w:line="174"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4" w:lineRule="exact"/>
        <w:rPr>
          <w:sz w:val="24"/>
          <w:szCs w:val="24"/>
          <w:color w:val="auto"/>
        </w:rPr>
      </w:pPr>
    </w:p>
    <w:p>
      <w:pPr>
        <w:ind w:left="80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67" w:lineRule="exact"/>
        <w:rPr>
          <w:sz w:val="24"/>
          <w:szCs w:val="24"/>
          <w:color w:val="auto"/>
        </w:rPr>
      </w:pPr>
    </w:p>
    <w:p>
      <w:pPr>
        <w:ind w:right="18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124460</wp:posOffset>
            </wp:positionV>
            <wp:extent cx="6497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141605</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664845</wp:posOffset>
            </wp:positionV>
            <wp:extent cx="649795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40"/>
          </w:cols>
          <w:pgMar w:left="820" w:top="436" w:right="839" w:bottom="144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40" w:right="79" w:firstLine="648"/>
        <w:spacing w:after="0" w:line="257" w:lineRule="auto"/>
        <w:rPr>
          <w:sz w:val="20"/>
          <w:szCs w:val="20"/>
          <w:color w:val="auto"/>
        </w:rPr>
      </w:pPr>
      <w:r>
        <w:rPr>
          <w:rFonts w:ascii="Arial" w:cs="Arial" w:eastAsia="Arial" w:hAnsi="Arial"/>
          <w:sz w:val="18"/>
          <w:szCs w:val="18"/>
          <w:color w:val="auto"/>
        </w:rPr>
        <w:t>Due to an error made by its third-party filing agent, Tradeweb Markets Inc. (the “Company”) is furnishing this Amendment No. 1 (this “Amended Report”) to the Current Report on Form 8-K furnished by the Company earlier on May 7, 2020 (the “Original Report”) to correct and replace the press release attached as Exhibit 99.1 to the Original Report. This Amended Report is being furnished solely to attach the correct version of such press release. The text of Item 2.02 from the Original Report is unchanged.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ind w:left="40"/>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left="40" w:right="199" w:firstLine="648"/>
        <w:spacing w:after="0" w:line="263" w:lineRule="auto"/>
        <w:rPr>
          <w:sz w:val="20"/>
          <w:szCs w:val="20"/>
          <w:color w:val="auto"/>
        </w:rPr>
      </w:pPr>
      <w:r>
        <w:rPr>
          <w:rFonts w:ascii="Arial" w:cs="Arial" w:eastAsia="Arial" w:hAnsi="Arial"/>
          <w:sz w:val="18"/>
          <w:szCs w:val="18"/>
          <w:color w:val="auto"/>
        </w:rPr>
        <w:t>On May 7, 2020, Tradeweb Markets Inc. (the “Company”) issued a press release, a copy of which is furnished as Exhibit 99.1 hereto and incorporated herein by reference, announcing financial results for the quarter ended March 31, 2020.</w:t>
      </w:r>
    </w:p>
    <w:p>
      <w:pPr>
        <w:spacing w:after="0" w:line="184" w:lineRule="exact"/>
        <w:rPr>
          <w:sz w:val="20"/>
          <w:szCs w:val="20"/>
          <w:color w:val="auto"/>
        </w:rPr>
      </w:pPr>
    </w:p>
    <w:p>
      <w:pPr>
        <w:ind w:left="40" w:right="199" w:firstLine="648"/>
        <w:spacing w:after="0" w:line="275" w:lineRule="auto"/>
        <w:rPr>
          <w:sz w:val="20"/>
          <w:szCs w:val="20"/>
          <w:color w:val="auto"/>
        </w:rPr>
      </w:pPr>
      <w:r>
        <w:rPr>
          <w:rFonts w:ascii="Arial" w:cs="Arial" w:eastAsia="Arial" w:hAnsi="Arial"/>
          <w:sz w:val="17"/>
          <w:szCs w:val="17"/>
          <w:color w:val="auto"/>
        </w:rPr>
        <w:t>In accordance with General Instruction B.2 of Form 8-K, the information in this Item 2.02 of this Current Report on Form 8-K/A, including Exhibit 99.1 attached hereto,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40"/>
        <w:spacing w:after="0"/>
        <w:tabs>
          <w:tab w:leader="none" w:pos="42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760" w:type="dxa"/>
            <w:vAlign w:val="bottom"/>
            <w:vMerge w:val="restart"/>
          </w:tcPr>
          <w:p>
            <w:pPr>
              <w:jc w:val="right"/>
              <w:ind w:right="3196"/>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7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4"/>
                <w:szCs w:val="24"/>
                <w:color w:val="auto"/>
              </w:rPr>
            </w:pPr>
          </w:p>
        </w:tc>
        <w:tc>
          <w:tcPr>
            <w:tcW w:w="7760" w:type="dxa"/>
            <w:vAlign w:val="bottom"/>
            <w:tcBorders>
              <w:top w:val="single" w:sz="8" w:color="auto"/>
            </w:tcBorders>
          </w:tcPr>
          <w:p>
            <w:pPr>
              <w:jc w:val="right"/>
              <w:ind w:right="3296"/>
              <w:spacing w:after="0"/>
              <w:rPr>
                <w:rFonts w:ascii="Arial" w:cs="Arial" w:eastAsia="Arial" w:hAnsi="Arial"/>
                <w:sz w:val="18"/>
                <w:szCs w:val="18"/>
                <w:u w:val="single" w:color="auto"/>
                <w:color w:val="0000EE"/>
                <w:w w:val="89"/>
              </w:rPr>
            </w:pPr>
            <w:hyperlink w:anchor="page5">
              <w:r>
                <w:rPr>
                  <w:rFonts w:ascii="Arial" w:cs="Arial" w:eastAsia="Arial" w:hAnsi="Arial"/>
                  <w:sz w:val="18"/>
                  <w:szCs w:val="18"/>
                  <w:u w:val="single" w:color="auto"/>
                  <w:color w:val="0000EE"/>
                  <w:w w:val="89"/>
                </w:rPr>
                <w:t>Press Release of Tradeweb Markets Inc., dated May 7, 2020.</w:t>
              </w:r>
            </w:hyperlink>
          </w:p>
        </w:tc>
        <w:tc>
          <w:tcPr>
            <w:tcW w:w="0" w:type="dxa"/>
            <w:vAlign w:val="bottom"/>
          </w:tcPr>
          <w:p>
            <w:pPr>
              <w:spacing w:after="0"/>
              <w:rPr>
                <w:sz w:val="1"/>
                <w:szCs w:val="1"/>
                <w:color w:val="auto"/>
              </w:rPr>
            </w:pPr>
          </w:p>
        </w:tc>
      </w:tr>
      <w:tr>
        <w:trPr>
          <w:trHeight w:val="864"/>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760" w:type="dxa"/>
            <w:vAlign w:val="bottom"/>
          </w:tcPr>
          <w:p>
            <w:pPr>
              <w:jc w:val="right"/>
              <w:ind w:right="4336"/>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19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40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p>
        </w:tc>
        <w:tc>
          <w:tcPr>
            <w:tcW w:w="6040" w:type="dxa"/>
            <w:vAlign w:val="bottom"/>
            <w:gridSpan w:val="2"/>
          </w:tcPr>
          <w:p>
            <w:pPr>
              <w:ind w:left="1520"/>
              <w:spacing w:after="0"/>
              <w:rPr>
                <w:sz w:val="20"/>
                <w:szCs w:val="20"/>
                <w:color w:val="auto"/>
              </w:rPr>
            </w:pPr>
            <w:r>
              <w:rPr>
                <w:rFonts w:ascii="Arial" w:cs="Arial" w:eastAsia="Arial" w:hAnsi="Arial"/>
                <w:sz w:val="18"/>
                <w:szCs w:val="18"/>
                <w:color w:val="auto"/>
              </w:rPr>
              <w:t>TRADEWEB MARKETS INC.</w:t>
            </w:r>
          </w:p>
        </w:tc>
      </w:tr>
      <w:tr>
        <w:trPr>
          <w:trHeight w:val="648"/>
        </w:trPr>
        <w:tc>
          <w:tcPr>
            <w:tcW w:w="2880" w:type="dxa"/>
            <w:vAlign w:val="bottom"/>
          </w:tcPr>
          <w:p>
            <w:pPr>
              <w:spacing w:after="0"/>
              <w:rPr>
                <w:sz w:val="20"/>
                <w:szCs w:val="20"/>
                <w:color w:val="auto"/>
              </w:rPr>
            </w:pPr>
            <w:r>
              <w:rPr>
                <w:rFonts w:ascii="Arial" w:cs="Arial" w:eastAsia="Arial" w:hAnsi="Arial"/>
                <w:sz w:val="18"/>
                <w:szCs w:val="18"/>
                <w:color w:val="auto"/>
              </w:rPr>
              <w:t>Date: May 7, 2020</w:t>
            </w:r>
          </w:p>
        </w:tc>
        <w:tc>
          <w:tcPr>
            <w:tcW w:w="6040" w:type="dxa"/>
            <w:vAlign w:val="bottom"/>
            <w:gridSpan w:val="2"/>
          </w:tcPr>
          <w:p>
            <w:pPr>
              <w:ind w:left="1520"/>
              <w:spacing w:after="0"/>
              <w:rPr>
                <w:sz w:val="20"/>
                <w:szCs w:val="20"/>
                <w:color w:val="auto"/>
              </w:rPr>
            </w:pPr>
            <w:r>
              <w:rPr>
                <w:rFonts w:ascii="Arial" w:cs="Arial" w:eastAsia="Arial" w:hAnsi="Arial"/>
                <w:sz w:val="18"/>
                <w:szCs w:val="18"/>
                <w:color w:val="auto"/>
              </w:rPr>
              <w:t>By:  /s/ Douglas Friedman</w:t>
            </w:r>
          </w:p>
        </w:tc>
      </w:tr>
      <w:tr>
        <w:trPr>
          <w:trHeight w:val="195"/>
        </w:trPr>
        <w:tc>
          <w:tcPr>
            <w:tcW w:w="28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Douglas Friedman</w:t>
            </w:r>
          </w:p>
        </w:tc>
      </w:tr>
      <w:tr>
        <w:trPr>
          <w:trHeight w:val="230"/>
        </w:trPr>
        <w:tc>
          <w:tcPr>
            <w:tcW w:w="28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Title: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 w:name="page5"/>
    <w:bookmarkEnd w:id="4"/>
    <w:p>
      <w:pPr>
        <w:ind w:left="4980"/>
        <w:spacing w:after="0"/>
        <w:tabs>
          <w:tab w:leader="none" w:pos="7420" w:val="left"/>
        </w:tabs>
        <w:rPr>
          <w:sz w:val="20"/>
          <w:szCs w:val="20"/>
          <w:color w:val="auto"/>
        </w:rPr>
      </w:pPr>
      <w:r>
        <w:rPr>
          <w:rFonts w:ascii="Arial" w:cs="Arial" w:eastAsia="Arial" w:hAnsi="Arial"/>
          <w:sz w:val="16"/>
          <w:szCs w:val="16"/>
          <w:b w:val="1"/>
          <w:bCs w:val="1"/>
          <w:color w:val="083566"/>
        </w:rPr>
        <w:drawing>
          <wp:anchor simplePos="0" relativeHeight="251657728" behindDoc="1" locked="0" layoutInCell="0" allowOverlap="1">
            <wp:simplePos x="0" y="0"/>
            <wp:positionH relativeFrom="page">
              <wp:posOffset>628015</wp:posOffset>
            </wp:positionH>
            <wp:positionV relativeFrom="page">
              <wp:posOffset>217805</wp:posOffset>
            </wp:positionV>
            <wp:extent cx="1808480" cy="600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808480" cy="600075"/>
                    </a:xfrm>
                    <a:prstGeom prst="rect">
                      <a:avLst/>
                    </a:prstGeom>
                    <a:noFill/>
                  </pic:spPr>
                </pic:pic>
              </a:graphicData>
            </a:graphic>
          </wp:anchor>
        </w:drawing>
        <w:t>Investor Relations</w:t>
      </w:r>
      <w:r>
        <w:rPr>
          <w:sz w:val="20"/>
          <w:szCs w:val="20"/>
          <w:color w:val="auto"/>
        </w:rPr>
        <w:tab/>
      </w:r>
      <w:r>
        <w:rPr>
          <w:rFonts w:ascii="Arial" w:cs="Arial" w:eastAsia="Arial" w:hAnsi="Arial"/>
          <w:sz w:val="14"/>
          <w:szCs w:val="14"/>
          <w:b w:val="1"/>
          <w:bCs w:val="1"/>
          <w:color w:val="083566"/>
        </w:rPr>
        <w:t>Media Relations</w:t>
      </w:r>
    </w:p>
    <w:p>
      <w:pPr>
        <w:spacing w:after="0" w:line="26" w:lineRule="exact"/>
        <w:rPr>
          <w:sz w:val="20"/>
          <w:szCs w:val="20"/>
          <w:color w:val="auto"/>
        </w:rPr>
      </w:pPr>
    </w:p>
    <w:p>
      <w:pPr>
        <w:jc w:val="right"/>
        <w:ind w:right="300"/>
        <w:spacing w:after="0"/>
        <w:tabs>
          <w:tab w:leader="none" w:pos="2160" w:val="left"/>
        </w:tabs>
        <w:rPr>
          <w:sz w:val="20"/>
          <w:szCs w:val="20"/>
          <w:color w:val="auto"/>
        </w:rPr>
      </w:pPr>
      <w:r>
        <w:rPr>
          <w:rFonts w:ascii="Arial" w:cs="Arial" w:eastAsia="Arial" w:hAnsi="Arial"/>
          <w:sz w:val="16"/>
          <w:szCs w:val="16"/>
          <w:color w:val="auto"/>
        </w:rPr>
        <w:t>Ashley Serrao + 1 646 430 6027</w:t>
      </w:r>
      <w:r>
        <w:rPr>
          <w:sz w:val="20"/>
          <w:szCs w:val="20"/>
          <w:color w:val="auto"/>
        </w:rPr>
        <w:tab/>
      </w:r>
      <w:r>
        <w:rPr>
          <w:rFonts w:ascii="Arial" w:cs="Arial" w:eastAsia="Arial" w:hAnsi="Arial"/>
          <w:sz w:val="14"/>
          <w:szCs w:val="14"/>
          <w:color w:val="auto"/>
        </w:rPr>
        <w:t>Daniel Noonan + 1 646 767 4677</w:t>
      </w:r>
    </w:p>
    <w:p>
      <w:pPr>
        <w:spacing w:after="0" w:line="19" w:lineRule="exact"/>
        <w:rPr>
          <w:sz w:val="20"/>
          <w:szCs w:val="20"/>
          <w:color w:val="auto"/>
        </w:rPr>
      </w:pPr>
    </w:p>
    <w:p>
      <w:pPr>
        <w:ind w:left="4980"/>
        <w:spacing w:after="0"/>
        <w:tabs>
          <w:tab w:leader="none" w:pos="7420" w:val="left"/>
        </w:tabs>
        <w:rPr>
          <w:sz w:val="20"/>
          <w:szCs w:val="20"/>
          <w:color w:val="auto"/>
        </w:rPr>
      </w:pPr>
      <w:r>
        <w:rPr>
          <w:rFonts w:ascii="Arial" w:cs="Arial" w:eastAsia="Arial" w:hAnsi="Arial"/>
          <w:sz w:val="15"/>
          <w:szCs w:val="15"/>
          <w:color w:val="auto"/>
        </w:rPr>
        <w:t>Ashley.Serrao@Tradeweb.com</w:t>
      </w:r>
      <w:r>
        <w:rPr>
          <w:sz w:val="20"/>
          <w:szCs w:val="20"/>
          <w:color w:val="auto"/>
        </w:rPr>
        <w:tab/>
      </w:r>
      <w:r>
        <w:rPr>
          <w:rFonts w:ascii="Arial" w:cs="Arial" w:eastAsia="Arial" w:hAnsi="Arial"/>
          <w:sz w:val="15"/>
          <w:szCs w:val="15"/>
          <w:color w:val="auto"/>
        </w:rPr>
        <w:t>Daniel.Noonan@Tradeweb.com</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5"/>
          <w:szCs w:val="25"/>
          <w:b w:val="1"/>
          <w:bCs w:val="1"/>
          <w:color w:val="00ADCB"/>
        </w:rPr>
        <w:t>TRADEWEB REPORTS FIRST QUARTER 2020 FINANCIAL RESULTS</w:t>
      </w:r>
    </w:p>
    <w:p>
      <w:pPr>
        <w:spacing w:after="0" w:line="244"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b w:val="1"/>
          <w:bCs w:val="1"/>
          <w:color w:val="auto"/>
        </w:rPr>
        <w:t xml:space="preserve">New York, May 7, 2020 </w:t>
      </w:r>
      <w:r>
        <w:rPr>
          <w:rFonts w:ascii="Arial" w:cs="Arial" w:eastAsia="Arial" w:hAnsi="Arial"/>
          <w:sz w:val="16"/>
          <w:szCs w:val="16"/>
          <w:color w:val="auto"/>
        </w:rPr>
        <w:t>– Tradeweb Markets Inc. (Nasdaq: TW), a leading, global operator of electronic marketplaces for rates, credit,</w:t>
      </w:r>
      <w:r>
        <w:rPr>
          <w:rFonts w:ascii="Arial" w:cs="Arial" w:eastAsia="Arial" w:hAnsi="Arial"/>
          <w:sz w:val="16"/>
          <w:szCs w:val="16"/>
          <w:b w:val="1"/>
          <w:bCs w:val="1"/>
          <w:color w:val="auto"/>
        </w:rPr>
        <w:t xml:space="preserve"> </w:t>
      </w:r>
      <w:r>
        <w:rPr>
          <w:rFonts w:ascii="Arial" w:cs="Arial" w:eastAsia="Arial" w:hAnsi="Arial"/>
          <w:sz w:val="16"/>
          <w:szCs w:val="16"/>
          <w:color w:val="auto"/>
        </w:rPr>
        <w:t>equities and money markets, today reported financial results for the quarter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-8890</wp:posOffset>
            </wp:positionV>
            <wp:extent cx="2880360" cy="25114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80360" cy="2511425"/>
                    </a:xfrm>
                    <a:prstGeom prst="rect">
                      <a:avLst/>
                    </a:prstGeom>
                    <a:noFill/>
                  </pic:spPr>
                </pic:pic>
              </a:graphicData>
            </a:graphic>
          </wp:anchor>
        </w:drawing>
      </w:r>
    </w:p>
    <w:p>
      <w:pPr>
        <w:sectPr>
          <w:pgSz w:w="11900" w:h="16838" w:orient="portrait"/>
          <w:cols w:equalWidth="0" w:num="1">
            <w:col w:w="9920"/>
          </w:cols>
          <w:pgMar w:left="980" w:top="490" w:right="999" w:bottom="1440" w:gutter="0" w:footer="0" w:header="0"/>
        </w:sectPr>
      </w:pPr>
    </w:p>
    <w:p>
      <w:pPr>
        <w:spacing w:after="0" w:line="142" w:lineRule="exact"/>
        <w:rPr>
          <w:sz w:val="20"/>
          <w:szCs w:val="20"/>
          <w:color w:val="auto"/>
        </w:rPr>
      </w:pPr>
    </w:p>
    <w:p>
      <w:pPr>
        <w:spacing w:after="0" w:line="254" w:lineRule="auto"/>
        <w:rPr>
          <w:sz w:val="20"/>
          <w:szCs w:val="20"/>
          <w:color w:val="auto"/>
        </w:rPr>
      </w:pPr>
      <w:r>
        <w:rPr>
          <w:rFonts w:ascii="Arial" w:cs="Arial" w:eastAsia="Arial" w:hAnsi="Arial"/>
          <w:sz w:val="16"/>
          <w:szCs w:val="16"/>
          <w:b w:val="1"/>
          <w:bCs w:val="1"/>
          <w:color w:val="auto"/>
        </w:rPr>
        <w:t xml:space="preserve">$897.8 billion </w:t>
      </w:r>
      <w:r>
        <w:rPr>
          <w:rFonts w:ascii="Arial" w:cs="Arial" w:eastAsia="Arial" w:hAnsi="Arial"/>
          <w:sz w:val="16"/>
          <w:szCs w:val="16"/>
          <w:color w:val="auto"/>
        </w:rPr>
        <w:t>in average daily volume (“ADV”), a quarterly record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an increase of </w:t>
      </w:r>
      <w:r>
        <w:rPr>
          <w:rFonts w:ascii="Arial" w:cs="Arial" w:eastAsia="Arial" w:hAnsi="Arial"/>
          <w:sz w:val="16"/>
          <w:szCs w:val="16"/>
          <w:b w:val="1"/>
          <w:bCs w:val="1"/>
          <w:color w:val="auto"/>
        </w:rPr>
        <w:t>39.0%</w:t>
      </w:r>
      <w:r>
        <w:rPr>
          <w:rFonts w:ascii="Arial" w:cs="Arial" w:eastAsia="Arial" w:hAnsi="Arial"/>
          <w:sz w:val="16"/>
          <w:szCs w:val="16"/>
          <w:color w:val="auto"/>
        </w:rPr>
        <w:t xml:space="preserve"> year over year including </w:t>
      </w:r>
      <w:r>
        <w:rPr>
          <w:rFonts w:ascii="Arial" w:cs="Arial" w:eastAsia="Arial" w:hAnsi="Arial"/>
          <w:sz w:val="16"/>
          <w:szCs w:val="16"/>
          <w:b w:val="1"/>
          <w:bCs w:val="1"/>
          <w:color w:val="auto"/>
        </w:rPr>
        <w:t>$1.0 trillion</w:t>
      </w:r>
      <w:r>
        <w:rPr>
          <w:rFonts w:ascii="Arial" w:cs="Arial" w:eastAsia="Arial" w:hAnsi="Arial"/>
          <w:sz w:val="16"/>
          <w:szCs w:val="16"/>
          <w:color w:val="auto"/>
        </w:rPr>
        <w:t xml:space="preserve"> ADV record in March. Quarterly records for ADV in U.S. treasuries, European government bonds, mortgages, long-tenor swaps, U.S. and European credit, credit derivatives, repos, U.S. and European ETFs, and equity derivatives</w:t>
      </w:r>
    </w:p>
    <w:p>
      <w:pPr>
        <w:spacing w:after="0" w:line="74" w:lineRule="exact"/>
        <w:rPr>
          <w:sz w:val="20"/>
          <w:szCs w:val="20"/>
          <w:color w:val="auto"/>
        </w:rPr>
      </w:pPr>
    </w:p>
    <w:p>
      <w:pPr>
        <w:ind w:left="60" w:right="220" w:hanging="44"/>
        <w:spacing w:after="0" w:line="286" w:lineRule="auto"/>
        <w:rPr>
          <w:sz w:val="20"/>
          <w:szCs w:val="20"/>
          <w:color w:val="auto"/>
        </w:rPr>
      </w:pPr>
      <w:r>
        <w:rPr>
          <w:rFonts w:ascii="Arial" w:cs="Arial" w:eastAsia="Arial" w:hAnsi="Arial"/>
          <w:sz w:val="16"/>
          <w:szCs w:val="16"/>
          <w:b w:val="1"/>
          <w:bCs w:val="1"/>
          <w:color w:val="auto"/>
        </w:rPr>
        <w:t xml:space="preserve">$234.6 million </w:t>
      </w:r>
      <w:r>
        <w:rPr>
          <w:rFonts w:ascii="Arial" w:cs="Arial" w:eastAsia="Arial" w:hAnsi="Arial"/>
          <w:sz w:val="16"/>
          <w:szCs w:val="16"/>
          <w:color w:val="auto"/>
        </w:rPr>
        <w:t>quarterly record gross revenues increased</w:t>
      </w:r>
      <w:r>
        <w:rPr>
          <w:rFonts w:ascii="Arial" w:cs="Arial" w:eastAsia="Arial" w:hAnsi="Arial"/>
          <w:sz w:val="16"/>
          <w:szCs w:val="16"/>
          <w:b w:val="1"/>
          <w:bCs w:val="1"/>
          <w:color w:val="auto"/>
        </w:rPr>
        <w:t xml:space="preserve"> 25.6% </w:t>
      </w:r>
      <w:r>
        <w:rPr>
          <w:rFonts w:ascii="Arial" w:cs="Arial" w:eastAsia="Arial" w:hAnsi="Arial"/>
          <w:sz w:val="16"/>
          <w:szCs w:val="16"/>
          <w:color w:val="auto"/>
        </w:rPr>
        <w:t>(</w:t>
      </w:r>
      <w:r>
        <w:rPr>
          <w:rFonts w:ascii="Arial" w:cs="Arial" w:eastAsia="Arial" w:hAnsi="Arial"/>
          <w:sz w:val="16"/>
          <w:szCs w:val="16"/>
          <w:b w:val="1"/>
          <w:bCs w:val="1"/>
          <w:color w:val="auto"/>
        </w:rPr>
        <w:t>26.3%</w:t>
      </w:r>
      <w:r>
        <w:rPr>
          <w:rFonts w:ascii="Arial" w:cs="Arial" w:eastAsia="Arial" w:hAnsi="Arial"/>
          <w:sz w:val="16"/>
          <w:szCs w:val="16"/>
          <w:color w:val="auto"/>
        </w:rPr>
        <w:t xml:space="preserve"> on a constant currency basis)</w:t>
      </w:r>
    </w:p>
    <w:p>
      <w:pPr>
        <w:spacing w:after="0" w:line="48"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b w:val="1"/>
          <w:bCs w:val="1"/>
          <w:color w:val="auto"/>
        </w:rPr>
        <w:t xml:space="preserve">$62.5 million </w:t>
      </w:r>
      <w:r>
        <w:rPr>
          <w:rFonts w:ascii="Arial" w:cs="Arial" w:eastAsia="Arial" w:hAnsi="Arial"/>
          <w:sz w:val="16"/>
          <w:szCs w:val="16"/>
          <w:color w:val="auto"/>
        </w:rPr>
        <w:t>net income and</w:t>
      </w:r>
      <w:r>
        <w:rPr>
          <w:rFonts w:ascii="Arial" w:cs="Arial" w:eastAsia="Arial" w:hAnsi="Arial"/>
          <w:sz w:val="16"/>
          <w:szCs w:val="16"/>
          <w:b w:val="1"/>
          <w:bCs w:val="1"/>
          <w:color w:val="auto"/>
        </w:rPr>
        <w:t xml:space="preserve"> $85.4 million </w:t>
      </w:r>
      <w:r>
        <w:rPr>
          <w:rFonts w:ascii="Arial" w:cs="Arial" w:eastAsia="Arial" w:hAnsi="Arial"/>
          <w:sz w:val="16"/>
          <w:szCs w:val="16"/>
          <w:color w:val="auto"/>
        </w:rPr>
        <w:t>adjusted net income,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increases of </w:t>
      </w:r>
      <w:r>
        <w:rPr>
          <w:rFonts w:ascii="Arial" w:cs="Arial" w:eastAsia="Arial" w:hAnsi="Arial"/>
          <w:sz w:val="16"/>
          <w:szCs w:val="16"/>
          <w:b w:val="1"/>
          <w:bCs w:val="1"/>
          <w:color w:val="auto"/>
        </w:rPr>
        <w:t>47.5%</w:t>
      </w:r>
      <w:r>
        <w:rPr>
          <w:rFonts w:ascii="Arial" w:cs="Arial" w:eastAsia="Arial" w:hAnsi="Arial"/>
          <w:sz w:val="16"/>
          <w:szCs w:val="16"/>
          <w:color w:val="auto"/>
        </w:rPr>
        <w:t xml:space="preserve"> and </w:t>
      </w:r>
      <w:r>
        <w:rPr>
          <w:rFonts w:ascii="Arial" w:cs="Arial" w:eastAsia="Arial" w:hAnsi="Arial"/>
          <w:sz w:val="16"/>
          <w:szCs w:val="16"/>
          <w:b w:val="1"/>
          <w:bCs w:val="1"/>
          <w:color w:val="auto"/>
        </w:rPr>
        <w:t>63.6%</w:t>
      </w:r>
      <w:r>
        <w:rPr>
          <w:rFonts w:ascii="Arial" w:cs="Arial" w:eastAsia="Arial" w:hAnsi="Arial"/>
          <w:sz w:val="16"/>
          <w:szCs w:val="16"/>
          <w:color w:val="auto"/>
        </w:rPr>
        <w:t xml:space="preserve"> respectively from the prior year period</w:t>
      </w:r>
    </w:p>
    <w:p>
      <w:pPr>
        <w:spacing w:after="0" w:line="63"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b w:val="1"/>
          <w:bCs w:val="1"/>
          <w:color w:val="auto"/>
        </w:rPr>
        <w:t xml:space="preserve">51.0% </w:t>
      </w:r>
      <w:r>
        <w:rPr>
          <w:rFonts w:ascii="Arial" w:cs="Arial" w:eastAsia="Arial" w:hAnsi="Arial"/>
          <w:sz w:val="16"/>
          <w:szCs w:val="16"/>
          <w:color w:val="auto"/>
        </w:rPr>
        <w:t>adjusted EBITDA margin for the quarter compared to</w:t>
      </w:r>
      <w:r>
        <w:rPr>
          <w:rFonts w:ascii="Arial" w:cs="Arial" w:eastAsia="Arial" w:hAnsi="Arial"/>
          <w:sz w:val="16"/>
          <w:szCs w:val="16"/>
          <w:b w:val="1"/>
          <w:bCs w:val="1"/>
          <w:color w:val="auto"/>
        </w:rPr>
        <w:t xml:space="preserve"> 43.0% </w:t>
      </w:r>
      <w:r>
        <w:rPr>
          <w:rFonts w:ascii="Arial" w:cs="Arial" w:eastAsia="Arial" w:hAnsi="Arial"/>
          <w:sz w:val="16"/>
          <w:szCs w:val="16"/>
          <w:color w:val="auto"/>
        </w:rPr>
        <w:t>for the prior year period</w:t>
      </w:r>
    </w:p>
    <w:p>
      <w:pPr>
        <w:spacing w:after="0" w:line="48"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$0.25 </w:t>
      </w:r>
      <w:r>
        <w:rPr>
          <w:rFonts w:ascii="Arial" w:cs="Arial" w:eastAsia="Arial" w:hAnsi="Arial"/>
          <w:sz w:val="16"/>
          <w:szCs w:val="16"/>
          <w:color w:val="auto"/>
        </w:rPr>
        <w:t>earnings per diluted share (“Diluted EPS”) and</w:t>
      </w:r>
      <w:r>
        <w:rPr>
          <w:rFonts w:ascii="Arial" w:cs="Arial" w:eastAsia="Arial" w:hAnsi="Arial"/>
          <w:sz w:val="16"/>
          <w:szCs w:val="16"/>
          <w:b w:val="1"/>
          <w:bCs w:val="1"/>
          <w:color w:val="auto"/>
        </w:rPr>
        <w:t xml:space="preserve"> $0.37 </w:t>
      </w:r>
      <w:r>
        <w:rPr>
          <w:rFonts w:ascii="Arial" w:cs="Arial" w:eastAsia="Arial" w:hAnsi="Arial"/>
          <w:sz w:val="16"/>
          <w:szCs w:val="16"/>
          <w:color w:val="auto"/>
        </w:rPr>
        <w:t>adjusted</w:t>
      </w:r>
      <w:r>
        <w:rPr>
          <w:rFonts w:ascii="Arial" w:cs="Arial" w:eastAsia="Arial" w:hAnsi="Arial"/>
          <w:sz w:val="16"/>
          <w:szCs w:val="16"/>
          <w:b w:val="1"/>
          <w:bCs w:val="1"/>
          <w:color w:val="auto"/>
        </w:rPr>
        <w:t xml:space="preserve"> </w:t>
      </w:r>
      <w:r>
        <w:rPr>
          <w:rFonts w:ascii="Arial" w:cs="Arial" w:eastAsia="Arial" w:hAnsi="Arial"/>
          <w:sz w:val="16"/>
          <w:szCs w:val="16"/>
          <w:color w:val="auto"/>
        </w:rPr>
        <w:t>diluted earnings per share</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$0.08 </w:t>
      </w:r>
      <w:r>
        <w:rPr>
          <w:rFonts w:ascii="Arial" w:cs="Arial" w:eastAsia="Arial" w:hAnsi="Arial"/>
          <w:sz w:val="16"/>
          <w:szCs w:val="16"/>
          <w:color w:val="auto"/>
        </w:rPr>
        <w:t>per share quarterly cash dividend declared</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40" w:type="dxa"/>
            <w:vAlign w:val="bottom"/>
            <w:shd w:val="clear" w:color="auto" w:fill="083566"/>
          </w:tcPr>
          <w:p>
            <w:pPr>
              <w:spacing w:after="0"/>
              <w:rPr>
                <w:sz w:val="20"/>
                <w:szCs w:val="20"/>
                <w:color w:val="auto"/>
              </w:rPr>
            </w:pPr>
            <w:r>
              <w:rPr>
                <w:rFonts w:ascii="Arial" w:cs="Arial" w:eastAsia="Arial" w:hAnsi="Arial"/>
                <w:sz w:val="17"/>
                <w:szCs w:val="17"/>
                <w:b w:val="1"/>
                <w:bCs w:val="1"/>
                <w:color w:val="FFFFFF"/>
              </w:rPr>
              <w:t>SELECT</w:t>
            </w:r>
          </w:p>
        </w:tc>
        <w:tc>
          <w:tcPr>
            <w:tcW w:w="140" w:type="dxa"/>
            <w:vAlign w:val="bottom"/>
            <w:shd w:val="clear" w:color="auto" w:fill="083566"/>
          </w:tcPr>
          <w:p>
            <w:pPr>
              <w:spacing w:after="0"/>
              <w:rPr>
                <w:sz w:val="16"/>
                <w:szCs w:val="16"/>
                <w:color w:val="auto"/>
              </w:rPr>
            </w:pPr>
          </w:p>
        </w:tc>
        <w:tc>
          <w:tcPr>
            <w:tcW w:w="440" w:type="dxa"/>
            <w:vAlign w:val="bottom"/>
            <w:shd w:val="clear" w:color="auto" w:fill="083566"/>
          </w:tcPr>
          <w:p>
            <w:pPr>
              <w:spacing w:after="0"/>
              <w:rPr>
                <w:sz w:val="16"/>
                <w:szCs w:val="16"/>
                <w:color w:val="auto"/>
              </w:rPr>
            </w:pPr>
          </w:p>
        </w:tc>
        <w:tc>
          <w:tcPr>
            <w:tcW w:w="160" w:type="dxa"/>
            <w:vAlign w:val="bottom"/>
            <w:shd w:val="clear" w:color="auto" w:fill="083566"/>
          </w:tcPr>
          <w:p>
            <w:pPr>
              <w:spacing w:after="0"/>
              <w:rPr>
                <w:sz w:val="16"/>
                <w:szCs w:val="16"/>
                <w:color w:val="auto"/>
              </w:rPr>
            </w:pPr>
          </w:p>
        </w:tc>
        <w:tc>
          <w:tcPr>
            <w:tcW w:w="180" w:type="dxa"/>
            <w:vAlign w:val="bottom"/>
            <w:shd w:val="clear" w:color="auto" w:fill="083566"/>
          </w:tcPr>
          <w:p>
            <w:pPr>
              <w:spacing w:after="0"/>
              <w:rPr>
                <w:sz w:val="16"/>
                <w:szCs w:val="16"/>
                <w:color w:val="auto"/>
              </w:rPr>
            </w:pPr>
          </w:p>
        </w:tc>
        <w:tc>
          <w:tcPr>
            <w:tcW w:w="440" w:type="dxa"/>
            <w:vAlign w:val="bottom"/>
            <w:shd w:val="clear" w:color="auto" w:fill="083566"/>
          </w:tcPr>
          <w:p>
            <w:pPr>
              <w:spacing w:after="0"/>
              <w:rPr>
                <w:sz w:val="16"/>
                <w:szCs w:val="16"/>
                <w:color w:val="auto"/>
              </w:rPr>
            </w:pPr>
          </w:p>
        </w:tc>
        <w:tc>
          <w:tcPr>
            <w:tcW w:w="180" w:type="dxa"/>
            <w:vAlign w:val="bottom"/>
            <w:shd w:val="clear" w:color="auto" w:fill="083566"/>
          </w:tcPr>
          <w:p>
            <w:pPr>
              <w:spacing w:after="0"/>
              <w:rPr>
                <w:sz w:val="16"/>
                <w:szCs w:val="16"/>
                <w:color w:val="auto"/>
              </w:rPr>
            </w:pPr>
          </w:p>
        </w:tc>
        <w:tc>
          <w:tcPr>
            <w:tcW w:w="880" w:type="dxa"/>
            <w:vAlign w:val="bottom"/>
            <w:shd w:val="clear" w:color="auto" w:fill="083566"/>
          </w:tcPr>
          <w:p>
            <w:pPr>
              <w:spacing w:after="0"/>
              <w:rPr>
                <w:sz w:val="16"/>
                <w:szCs w:val="16"/>
                <w:color w:val="auto"/>
              </w:rPr>
            </w:pPr>
          </w:p>
        </w:tc>
        <w:tc>
          <w:tcPr>
            <w:tcW w:w="800" w:type="dxa"/>
            <w:vAlign w:val="bottom"/>
            <w:shd w:val="clear" w:color="auto" w:fill="083566"/>
          </w:tcPr>
          <w:p>
            <w:pPr>
              <w:jc w:val="center"/>
              <w:spacing w:after="0"/>
              <w:rPr>
                <w:sz w:val="20"/>
                <w:szCs w:val="20"/>
                <w:color w:val="auto"/>
              </w:rPr>
            </w:pPr>
            <w:r>
              <w:rPr>
                <w:rFonts w:ascii="Arial" w:cs="Arial" w:eastAsia="Arial" w:hAnsi="Arial"/>
                <w:sz w:val="17"/>
                <w:szCs w:val="17"/>
                <w:b w:val="1"/>
                <w:bCs w:val="1"/>
                <w:color w:val="FFFFFF"/>
                <w:w w:val="89"/>
              </w:rPr>
              <w:t>Constant</w:t>
            </w:r>
          </w:p>
        </w:tc>
        <w:tc>
          <w:tcPr>
            <w:tcW w:w="0" w:type="dxa"/>
            <w:vAlign w:val="bottom"/>
          </w:tcPr>
          <w:p>
            <w:pPr>
              <w:spacing w:after="0"/>
              <w:rPr>
                <w:sz w:val="1"/>
                <w:szCs w:val="1"/>
                <w:color w:val="auto"/>
              </w:rPr>
            </w:pPr>
          </w:p>
        </w:tc>
      </w:tr>
      <w:tr>
        <w:trPr>
          <w:trHeight w:val="202"/>
        </w:trPr>
        <w:tc>
          <w:tcPr>
            <w:tcW w:w="1640" w:type="dxa"/>
            <w:vAlign w:val="bottom"/>
            <w:shd w:val="clear" w:color="auto" w:fill="083566"/>
          </w:tcPr>
          <w:p>
            <w:pPr>
              <w:spacing w:after="0"/>
              <w:rPr>
                <w:sz w:val="20"/>
                <w:szCs w:val="20"/>
                <w:color w:val="auto"/>
              </w:rPr>
            </w:pPr>
            <w:r>
              <w:rPr>
                <w:rFonts w:ascii="Arial" w:cs="Arial" w:eastAsia="Arial" w:hAnsi="Arial"/>
                <w:sz w:val="17"/>
                <w:szCs w:val="17"/>
                <w:b w:val="1"/>
                <w:bCs w:val="1"/>
                <w:color w:val="FFFFFF"/>
              </w:rPr>
              <w:t>FINANCIAL</w:t>
            </w:r>
          </w:p>
        </w:tc>
        <w:tc>
          <w:tcPr>
            <w:tcW w:w="140" w:type="dxa"/>
            <w:vAlign w:val="bottom"/>
            <w:shd w:val="clear" w:color="auto" w:fill="083566"/>
          </w:tcPr>
          <w:p>
            <w:pPr>
              <w:spacing w:after="0"/>
              <w:rPr>
                <w:sz w:val="17"/>
                <w:szCs w:val="17"/>
                <w:color w:val="auto"/>
              </w:rPr>
            </w:pPr>
          </w:p>
        </w:tc>
        <w:tc>
          <w:tcPr>
            <w:tcW w:w="440" w:type="dxa"/>
            <w:vAlign w:val="bottom"/>
            <w:shd w:val="clear" w:color="auto" w:fill="083566"/>
          </w:tcPr>
          <w:p>
            <w:pPr>
              <w:spacing w:after="0"/>
              <w:rPr>
                <w:sz w:val="17"/>
                <w:szCs w:val="17"/>
                <w:color w:val="auto"/>
              </w:rPr>
            </w:pPr>
          </w:p>
        </w:tc>
        <w:tc>
          <w:tcPr>
            <w:tcW w:w="160" w:type="dxa"/>
            <w:vAlign w:val="bottom"/>
            <w:shd w:val="clear" w:color="auto" w:fill="083566"/>
          </w:tcPr>
          <w:p>
            <w:pPr>
              <w:spacing w:after="0"/>
              <w:rPr>
                <w:sz w:val="17"/>
                <w:szCs w:val="17"/>
                <w:color w:val="auto"/>
              </w:rPr>
            </w:pPr>
          </w:p>
        </w:tc>
        <w:tc>
          <w:tcPr>
            <w:tcW w:w="180" w:type="dxa"/>
            <w:vAlign w:val="bottom"/>
            <w:shd w:val="clear" w:color="auto" w:fill="083566"/>
          </w:tcPr>
          <w:p>
            <w:pPr>
              <w:spacing w:after="0"/>
              <w:rPr>
                <w:sz w:val="17"/>
                <w:szCs w:val="17"/>
                <w:color w:val="auto"/>
              </w:rPr>
            </w:pPr>
          </w:p>
        </w:tc>
        <w:tc>
          <w:tcPr>
            <w:tcW w:w="440" w:type="dxa"/>
            <w:vAlign w:val="bottom"/>
            <w:shd w:val="clear" w:color="auto" w:fill="083566"/>
          </w:tcPr>
          <w:p>
            <w:pPr>
              <w:spacing w:after="0"/>
              <w:rPr>
                <w:sz w:val="17"/>
                <w:szCs w:val="17"/>
                <w:color w:val="auto"/>
              </w:rPr>
            </w:pPr>
          </w:p>
        </w:tc>
        <w:tc>
          <w:tcPr>
            <w:tcW w:w="180" w:type="dxa"/>
            <w:vAlign w:val="bottom"/>
            <w:shd w:val="clear" w:color="auto" w:fill="083566"/>
          </w:tcPr>
          <w:p>
            <w:pPr>
              <w:spacing w:after="0"/>
              <w:rPr>
                <w:sz w:val="17"/>
                <w:szCs w:val="17"/>
                <w:color w:val="auto"/>
              </w:rPr>
            </w:pPr>
          </w:p>
        </w:tc>
        <w:tc>
          <w:tcPr>
            <w:tcW w:w="880" w:type="dxa"/>
            <w:vAlign w:val="bottom"/>
            <w:shd w:val="clear" w:color="auto" w:fill="083566"/>
          </w:tcPr>
          <w:p>
            <w:pPr>
              <w:spacing w:after="0"/>
              <w:rPr>
                <w:sz w:val="17"/>
                <w:szCs w:val="17"/>
                <w:color w:val="auto"/>
              </w:rPr>
            </w:pPr>
          </w:p>
        </w:tc>
        <w:tc>
          <w:tcPr>
            <w:tcW w:w="800" w:type="dxa"/>
            <w:vAlign w:val="bottom"/>
            <w:shd w:val="clear" w:color="auto" w:fill="083566"/>
          </w:tcPr>
          <w:p>
            <w:pPr>
              <w:jc w:val="center"/>
              <w:spacing w:after="0"/>
              <w:rPr>
                <w:sz w:val="20"/>
                <w:szCs w:val="20"/>
                <w:color w:val="auto"/>
              </w:rPr>
            </w:pPr>
            <w:r>
              <w:rPr>
                <w:rFonts w:ascii="Arial" w:cs="Arial" w:eastAsia="Arial" w:hAnsi="Arial"/>
                <w:sz w:val="17"/>
                <w:szCs w:val="17"/>
                <w:b w:val="1"/>
                <w:bCs w:val="1"/>
                <w:color w:val="FFFFFF"/>
                <w:w w:val="93"/>
              </w:rPr>
              <w:t>Currency</w:t>
            </w:r>
          </w:p>
        </w:tc>
        <w:tc>
          <w:tcPr>
            <w:tcW w:w="0" w:type="dxa"/>
            <w:vAlign w:val="bottom"/>
          </w:tcPr>
          <w:p>
            <w:pPr>
              <w:spacing w:after="0"/>
              <w:rPr>
                <w:sz w:val="1"/>
                <w:szCs w:val="1"/>
                <w:color w:val="auto"/>
              </w:rPr>
            </w:pPr>
          </w:p>
        </w:tc>
      </w:tr>
      <w:tr>
        <w:trPr>
          <w:trHeight w:val="214"/>
        </w:trPr>
        <w:tc>
          <w:tcPr>
            <w:tcW w:w="1640" w:type="dxa"/>
            <w:vAlign w:val="bottom"/>
            <w:shd w:val="clear" w:color="auto" w:fill="083566"/>
          </w:tcPr>
          <w:p>
            <w:pPr>
              <w:spacing w:after="0"/>
              <w:rPr>
                <w:sz w:val="20"/>
                <w:szCs w:val="20"/>
                <w:color w:val="auto"/>
              </w:rPr>
            </w:pPr>
            <w:r>
              <w:rPr>
                <w:rFonts w:ascii="Arial" w:cs="Arial" w:eastAsia="Arial" w:hAnsi="Arial"/>
                <w:sz w:val="17"/>
                <w:szCs w:val="17"/>
                <w:b w:val="1"/>
                <w:bCs w:val="1"/>
                <w:color w:val="FFFFFF"/>
              </w:rPr>
              <w:t>RESULTS</w:t>
            </w:r>
          </w:p>
        </w:tc>
        <w:tc>
          <w:tcPr>
            <w:tcW w:w="140" w:type="dxa"/>
            <w:vAlign w:val="bottom"/>
            <w:shd w:val="clear" w:color="auto" w:fill="083566"/>
          </w:tcPr>
          <w:p>
            <w:pPr>
              <w:spacing w:after="0"/>
              <w:rPr>
                <w:sz w:val="18"/>
                <w:szCs w:val="18"/>
                <w:color w:val="auto"/>
              </w:rPr>
            </w:pPr>
          </w:p>
        </w:tc>
        <w:tc>
          <w:tcPr>
            <w:tcW w:w="600" w:type="dxa"/>
            <w:vAlign w:val="bottom"/>
            <w:gridSpan w:val="2"/>
            <w:shd w:val="clear" w:color="auto" w:fill="083566"/>
          </w:tcPr>
          <w:p>
            <w:pPr>
              <w:jc w:val="center"/>
              <w:ind w:right="15"/>
              <w:spacing w:after="0"/>
              <w:rPr>
                <w:sz w:val="20"/>
                <w:szCs w:val="20"/>
                <w:color w:val="auto"/>
              </w:rPr>
            </w:pPr>
            <w:r>
              <w:rPr>
                <w:rFonts w:ascii="Arial" w:cs="Arial" w:eastAsia="Arial" w:hAnsi="Arial"/>
                <w:sz w:val="17"/>
                <w:szCs w:val="17"/>
                <w:b w:val="1"/>
                <w:bCs w:val="1"/>
                <w:color w:val="FFFFFF"/>
                <w:w w:val="91"/>
              </w:rPr>
              <w:t>1Q20</w:t>
            </w:r>
          </w:p>
        </w:tc>
        <w:tc>
          <w:tcPr>
            <w:tcW w:w="180" w:type="dxa"/>
            <w:vAlign w:val="bottom"/>
            <w:shd w:val="clear" w:color="auto" w:fill="083566"/>
          </w:tcPr>
          <w:p>
            <w:pPr>
              <w:spacing w:after="0"/>
              <w:rPr>
                <w:sz w:val="18"/>
                <w:szCs w:val="18"/>
                <w:color w:val="auto"/>
              </w:rPr>
            </w:pPr>
          </w:p>
        </w:tc>
        <w:tc>
          <w:tcPr>
            <w:tcW w:w="620" w:type="dxa"/>
            <w:vAlign w:val="bottom"/>
            <w:gridSpan w:val="2"/>
            <w:shd w:val="clear" w:color="auto" w:fill="083566"/>
          </w:tcPr>
          <w:p>
            <w:pPr>
              <w:jc w:val="center"/>
              <w:spacing w:after="0"/>
              <w:rPr>
                <w:sz w:val="20"/>
                <w:szCs w:val="20"/>
                <w:color w:val="auto"/>
              </w:rPr>
            </w:pPr>
            <w:r>
              <w:rPr>
                <w:rFonts w:ascii="Arial" w:cs="Arial" w:eastAsia="Arial" w:hAnsi="Arial"/>
                <w:sz w:val="17"/>
                <w:szCs w:val="17"/>
                <w:b w:val="1"/>
                <w:bCs w:val="1"/>
                <w:color w:val="FFFFFF"/>
                <w:w w:val="91"/>
              </w:rPr>
              <w:t>1Q19</w:t>
            </w:r>
          </w:p>
        </w:tc>
        <w:tc>
          <w:tcPr>
            <w:tcW w:w="880" w:type="dxa"/>
            <w:vAlign w:val="bottom"/>
            <w:shd w:val="clear" w:color="auto" w:fill="083566"/>
          </w:tcPr>
          <w:p>
            <w:pPr>
              <w:jc w:val="right"/>
              <w:ind w:right="159"/>
              <w:spacing w:after="0"/>
              <w:rPr>
                <w:sz w:val="20"/>
                <w:szCs w:val="20"/>
                <w:color w:val="auto"/>
              </w:rPr>
            </w:pPr>
            <w:r>
              <w:rPr>
                <w:rFonts w:ascii="Arial" w:cs="Arial" w:eastAsia="Arial" w:hAnsi="Arial"/>
                <w:sz w:val="17"/>
                <w:szCs w:val="17"/>
                <w:b w:val="1"/>
                <w:bCs w:val="1"/>
                <w:color w:val="FFFFFF"/>
                <w:w w:val="99"/>
              </w:rPr>
              <w:t>Change</w:t>
            </w:r>
          </w:p>
        </w:tc>
        <w:tc>
          <w:tcPr>
            <w:tcW w:w="800" w:type="dxa"/>
            <w:vAlign w:val="bottom"/>
            <w:shd w:val="clear" w:color="auto" w:fill="083566"/>
          </w:tcPr>
          <w:p>
            <w:pPr>
              <w:jc w:val="center"/>
              <w:spacing w:after="0"/>
              <w:rPr>
                <w:sz w:val="20"/>
                <w:szCs w:val="20"/>
                <w:color w:val="auto"/>
              </w:rPr>
            </w:pPr>
            <w:r>
              <w:rPr>
                <w:rFonts w:ascii="Arial" w:cs="Arial" w:eastAsia="Arial" w:hAnsi="Arial"/>
                <w:sz w:val="17"/>
                <w:szCs w:val="17"/>
                <w:b w:val="1"/>
                <w:bCs w:val="1"/>
                <w:color w:val="FFFFFF"/>
                <w:w w:val="94"/>
              </w:rPr>
              <w:t xml:space="preserve">Growth </w:t>
            </w:r>
            <w:r>
              <w:rPr>
                <w:rFonts w:ascii="Arial" w:cs="Arial" w:eastAsia="Arial" w:hAnsi="Arial"/>
                <w:sz w:val="8"/>
                <w:szCs w:val="8"/>
                <w:b w:val="1"/>
                <w:bCs w:val="1"/>
                <w:color w:val="FFFFFF"/>
                <w:w w:val="94"/>
              </w:rPr>
              <w:t>(1)</w:t>
            </w:r>
          </w:p>
        </w:tc>
        <w:tc>
          <w:tcPr>
            <w:tcW w:w="0" w:type="dxa"/>
            <w:vAlign w:val="bottom"/>
          </w:tcPr>
          <w:p>
            <w:pPr>
              <w:spacing w:after="0"/>
              <w:rPr>
                <w:sz w:val="1"/>
                <w:szCs w:val="1"/>
                <w:color w:val="auto"/>
              </w:rPr>
            </w:pPr>
          </w:p>
        </w:tc>
      </w:tr>
      <w:tr>
        <w:trPr>
          <w:trHeight w:val="212"/>
        </w:trPr>
        <w:tc>
          <w:tcPr>
            <w:tcW w:w="4060" w:type="dxa"/>
            <w:vAlign w:val="bottom"/>
            <w:gridSpan w:val="8"/>
            <w:shd w:val="clear" w:color="auto" w:fill="083566"/>
          </w:tcPr>
          <w:p>
            <w:pPr>
              <w:spacing w:after="0"/>
              <w:rPr>
                <w:sz w:val="20"/>
                <w:szCs w:val="20"/>
                <w:color w:val="auto"/>
              </w:rPr>
            </w:pPr>
            <w:r>
              <w:rPr>
                <w:rFonts w:ascii="Arial" w:cs="Arial" w:eastAsia="Arial" w:hAnsi="Arial"/>
                <w:sz w:val="16"/>
                <w:szCs w:val="16"/>
                <w:color w:val="FFFFFF"/>
                <w:w w:val="94"/>
              </w:rPr>
              <w:t>(dollars in thousands except per share amounts)(Unaudited)</w:t>
            </w:r>
          </w:p>
        </w:tc>
        <w:tc>
          <w:tcPr>
            <w:tcW w:w="800" w:type="dxa"/>
            <w:vAlign w:val="bottom"/>
            <w:shd w:val="clear" w:color="auto" w:fill="083566"/>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80" w:type="dxa"/>
            <w:vAlign w:val="bottom"/>
            <w:gridSpan w:val="2"/>
            <w:shd w:val="clear" w:color="auto" w:fill="BDD7EE"/>
          </w:tcPr>
          <w:p>
            <w:pPr>
              <w:spacing w:after="0"/>
              <w:rPr>
                <w:sz w:val="20"/>
                <w:szCs w:val="20"/>
                <w:color w:val="auto"/>
              </w:rPr>
            </w:pPr>
            <w:r>
              <w:rPr>
                <w:rFonts w:ascii="Arial" w:cs="Arial" w:eastAsia="Arial" w:hAnsi="Arial"/>
                <w:sz w:val="16"/>
                <w:szCs w:val="16"/>
                <w:color w:val="auto"/>
                <w:w w:val="93"/>
              </w:rPr>
              <w:t>GAAP Financial Measures</w:t>
            </w:r>
          </w:p>
        </w:tc>
        <w:tc>
          <w:tcPr>
            <w:tcW w:w="440" w:type="dxa"/>
            <w:vAlign w:val="bottom"/>
            <w:shd w:val="clear" w:color="auto" w:fill="BDD7EE"/>
          </w:tcPr>
          <w:p>
            <w:pPr>
              <w:spacing w:after="0"/>
              <w:rPr>
                <w:sz w:val="17"/>
                <w:szCs w:val="17"/>
                <w:color w:val="auto"/>
              </w:rPr>
            </w:pPr>
          </w:p>
        </w:tc>
        <w:tc>
          <w:tcPr>
            <w:tcW w:w="160" w:type="dxa"/>
            <w:vAlign w:val="bottom"/>
            <w:shd w:val="clear" w:color="auto" w:fill="BDD7EE"/>
          </w:tcPr>
          <w:p>
            <w:pPr>
              <w:spacing w:after="0"/>
              <w:rPr>
                <w:sz w:val="17"/>
                <w:szCs w:val="17"/>
                <w:color w:val="auto"/>
              </w:rPr>
            </w:pPr>
          </w:p>
        </w:tc>
        <w:tc>
          <w:tcPr>
            <w:tcW w:w="180" w:type="dxa"/>
            <w:vAlign w:val="bottom"/>
            <w:shd w:val="clear" w:color="auto" w:fill="BDD7EE"/>
          </w:tcPr>
          <w:p>
            <w:pPr>
              <w:spacing w:after="0"/>
              <w:rPr>
                <w:sz w:val="17"/>
                <w:szCs w:val="17"/>
                <w:color w:val="auto"/>
              </w:rPr>
            </w:pPr>
          </w:p>
        </w:tc>
        <w:tc>
          <w:tcPr>
            <w:tcW w:w="440" w:type="dxa"/>
            <w:vAlign w:val="bottom"/>
            <w:shd w:val="clear" w:color="auto" w:fill="BDD7EE"/>
          </w:tcPr>
          <w:p>
            <w:pPr>
              <w:spacing w:after="0"/>
              <w:rPr>
                <w:sz w:val="17"/>
                <w:szCs w:val="17"/>
                <w:color w:val="auto"/>
              </w:rPr>
            </w:pPr>
          </w:p>
        </w:tc>
        <w:tc>
          <w:tcPr>
            <w:tcW w:w="180" w:type="dxa"/>
            <w:vAlign w:val="bottom"/>
            <w:shd w:val="clear" w:color="auto" w:fill="BDD7EE"/>
          </w:tcPr>
          <w:p>
            <w:pPr>
              <w:spacing w:after="0"/>
              <w:rPr>
                <w:sz w:val="17"/>
                <w:szCs w:val="17"/>
                <w:color w:val="auto"/>
              </w:rPr>
            </w:pPr>
          </w:p>
        </w:tc>
        <w:tc>
          <w:tcPr>
            <w:tcW w:w="880" w:type="dxa"/>
            <w:vAlign w:val="bottom"/>
            <w:shd w:val="clear" w:color="auto" w:fill="BDD7EE"/>
          </w:tcPr>
          <w:p>
            <w:pPr>
              <w:spacing w:after="0"/>
              <w:rPr>
                <w:sz w:val="17"/>
                <w:szCs w:val="17"/>
                <w:color w:val="auto"/>
              </w:rPr>
            </w:pPr>
          </w:p>
        </w:tc>
        <w:tc>
          <w:tcPr>
            <w:tcW w:w="800" w:type="dxa"/>
            <w:vAlign w:val="bottom"/>
            <w:shd w:val="clear" w:color="auto" w:fill="BDD7EE"/>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1640" w:type="dxa"/>
            <w:vAlign w:val="bottom"/>
          </w:tcPr>
          <w:p>
            <w:pPr>
              <w:spacing w:after="0"/>
              <w:rPr>
                <w:sz w:val="20"/>
                <w:szCs w:val="20"/>
                <w:color w:val="auto"/>
              </w:rPr>
            </w:pPr>
            <w:r>
              <w:rPr>
                <w:rFonts w:ascii="Arial" w:cs="Arial" w:eastAsia="Arial" w:hAnsi="Arial"/>
                <w:sz w:val="16"/>
                <w:szCs w:val="16"/>
                <w:color w:val="auto"/>
              </w:rPr>
              <w:t>Gross revenue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jc w:val="right"/>
              <w:ind w:right="15"/>
              <w:spacing w:after="0"/>
              <w:rPr>
                <w:sz w:val="20"/>
                <w:szCs w:val="20"/>
                <w:color w:val="auto"/>
              </w:rPr>
            </w:pPr>
            <w:r>
              <w:rPr>
                <w:rFonts w:ascii="Arial" w:cs="Arial" w:eastAsia="Arial" w:hAnsi="Arial"/>
                <w:sz w:val="16"/>
                <w:szCs w:val="16"/>
                <w:color w:val="auto"/>
                <w:w w:val="89"/>
              </w:rPr>
              <w:t>234,606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5"/>
              <w:spacing w:after="0"/>
              <w:rPr>
                <w:sz w:val="20"/>
                <w:szCs w:val="20"/>
                <w:color w:val="auto"/>
              </w:rPr>
            </w:pPr>
            <w:r>
              <w:rPr>
                <w:rFonts w:ascii="Arial" w:cs="Arial" w:eastAsia="Arial" w:hAnsi="Arial"/>
                <w:sz w:val="16"/>
                <w:szCs w:val="16"/>
                <w:color w:val="auto"/>
                <w:w w:val="93"/>
              </w:rPr>
              <w:t>186,792</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25.6 %</w:t>
            </w:r>
          </w:p>
        </w:tc>
        <w:tc>
          <w:tcPr>
            <w:tcW w:w="800" w:type="dxa"/>
            <w:vAlign w:val="bottom"/>
          </w:tcPr>
          <w:p>
            <w:pPr>
              <w:jc w:val="right"/>
              <w:ind w:right="18"/>
              <w:spacing w:after="0"/>
              <w:rPr>
                <w:sz w:val="20"/>
                <w:szCs w:val="20"/>
                <w:color w:val="auto"/>
              </w:rPr>
            </w:pPr>
            <w:r>
              <w:rPr>
                <w:rFonts w:ascii="Arial" w:cs="Arial" w:eastAsia="Arial" w:hAnsi="Arial"/>
                <w:sz w:val="16"/>
                <w:szCs w:val="16"/>
                <w:color w:val="auto"/>
              </w:rPr>
              <w:t>26.3 %</w:t>
            </w:r>
          </w:p>
        </w:tc>
        <w:tc>
          <w:tcPr>
            <w:tcW w:w="0" w:type="dxa"/>
            <w:vAlign w:val="bottom"/>
          </w:tcPr>
          <w:p>
            <w:pPr>
              <w:spacing w:after="0"/>
              <w:rPr>
                <w:sz w:val="1"/>
                <w:szCs w:val="1"/>
                <w:color w:val="auto"/>
              </w:rPr>
            </w:pPr>
          </w:p>
        </w:tc>
      </w:tr>
      <w:tr>
        <w:trPr>
          <w:trHeight w:val="203"/>
        </w:trPr>
        <w:tc>
          <w:tcPr>
            <w:tcW w:w="1640" w:type="dxa"/>
            <w:vAlign w:val="bottom"/>
          </w:tcPr>
          <w:p>
            <w:pPr>
              <w:ind w:left="120"/>
              <w:spacing w:after="0"/>
              <w:rPr>
                <w:sz w:val="20"/>
                <w:szCs w:val="20"/>
                <w:color w:val="auto"/>
              </w:rPr>
            </w:pPr>
            <w:r>
              <w:rPr>
                <w:rFonts w:ascii="Arial" w:cs="Arial" w:eastAsia="Arial" w:hAnsi="Arial"/>
                <w:sz w:val="16"/>
                <w:szCs w:val="16"/>
                <w:color w:val="auto"/>
              </w:rPr>
              <w:t>Rates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jc w:val="right"/>
              <w:ind w:right="15"/>
              <w:spacing w:after="0"/>
              <w:rPr>
                <w:sz w:val="20"/>
                <w:szCs w:val="20"/>
                <w:color w:val="auto"/>
              </w:rPr>
            </w:pPr>
            <w:r>
              <w:rPr>
                <w:rFonts w:ascii="Arial" w:cs="Arial" w:eastAsia="Arial" w:hAnsi="Arial"/>
                <w:sz w:val="16"/>
                <w:szCs w:val="16"/>
                <w:color w:val="auto"/>
                <w:w w:val="89"/>
              </w:rPr>
              <w:t>126,039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5"/>
              <w:spacing w:after="0"/>
              <w:rPr>
                <w:sz w:val="20"/>
                <w:szCs w:val="20"/>
                <w:color w:val="auto"/>
              </w:rPr>
            </w:pPr>
            <w:r>
              <w:rPr>
                <w:rFonts w:ascii="Arial" w:cs="Arial" w:eastAsia="Arial" w:hAnsi="Arial"/>
                <w:sz w:val="16"/>
                <w:szCs w:val="16"/>
                <w:color w:val="auto"/>
                <w:w w:val="93"/>
              </w:rPr>
              <w:t>104,090</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21.1 %</w:t>
            </w:r>
          </w:p>
        </w:tc>
        <w:tc>
          <w:tcPr>
            <w:tcW w:w="800" w:type="dxa"/>
            <w:vAlign w:val="bottom"/>
          </w:tcPr>
          <w:p>
            <w:pPr>
              <w:jc w:val="right"/>
              <w:ind w:right="18"/>
              <w:spacing w:after="0"/>
              <w:rPr>
                <w:sz w:val="20"/>
                <w:szCs w:val="20"/>
                <w:color w:val="auto"/>
              </w:rPr>
            </w:pPr>
            <w:r>
              <w:rPr>
                <w:rFonts w:ascii="Arial" w:cs="Arial" w:eastAsia="Arial" w:hAnsi="Arial"/>
                <w:sz w:val="16"/>
                <w:szCs w:val="16"/>
                <w:color w:val="auto"/>
              </w:rPr>
              <w:t>21.9 %</w:t>
            </w:r>
          </w:p>
        </w:tc>
        <w:tc>
          <w:tcPr>
            <w:tcW w:w="0" w:type="dxa"/>
            <w:vAlign w:val="bottom"/>
          </w:tcPr>
          <w:p>
            <w:pPr>
              <w:spacing w:after="0"/>
              <w:rPr>
                <w:sz w:val="1"/>
                <w:szCs w:val="1"/>
                <w:color w:val="auto"/>
              </w:rPr>
            </w:pPr>
          </w:p>
        </w:tc>
      </w:tr>
      <w:tr>
        <w:trPr>
          <w:trHeight w:val="206"/>
        </w:trPr>
        <w:tc>
          <w:tcPr>
            <w:tcW w:w="1640" w:type="dxa"/>
            <w:vAlign w:val="bottom"/>
          </w:tcPr>
          <w:p>
            <w:pPr>
              <w:ind w:left="120"/>
              <w:spacing w:after="0"/>
              <w:rPr>
                <w:sz w:val="20"/>
                <w:szCs w:val="20"/>
                <w:color w:val="auto"/>
              </w:rPr>
            </w:pPr>
            <w:r>
              <w:rPr>
                <w:rFonts w:ascii="Arial" w:cs="Arial" w:eastAsia="Arial" w:hAnsi="Arial"/>
                <w:sz w:val="16"/>
                <w:szCs w:val="16"/>
                <w:color w:val="auto"/>
              </w:rPr>
              <w:t>Credit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jc w:val="right"/>
              <w:ind w:right="15"/>
              <w:spacing w:after="0"/>
              <w:rPr>
                <w:sz w:val="20"/>
                <w:szCs w:val="20"/>
                <w:color w:val="auto"/>
              </w:rPr>
            </w:pPr>
            <w:r>
              <w:rPr>
                <w:rFonts w:ascii="Arial" w:cs="Arial" w:eastAsia="Arial" w:hAnsi="Arial"/>
                <w:sz w:val="16"/>
                <w:szCs w:val="16"/>
                <w:color w:val="auto"/>
              </w:rPr>
              <w:t>53,978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5"/>
              <w:spacing w:after="0"/>
              <w:rPr>
                <w:sz w:val="20"/>
                <w:szCs w:val="20"/>
                <w:color w:val="auto"/>
              </w:rPr>
            </w:pPr>
            <w:r>
              <w:rPr>
                <w:rFonts w:ascii="Arial" w:cs="Arial" w:eastAsia="Arial" w:hAnsi="Arial"/>
                <w:sz w:val="16"/>
                <w:szCs w:val="16"/>
                <w:color w:val="auto"/>
              </w:rPr>
              <w:t>39,435</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36.9 %</w:t>
            </w:r>
          </w:p>
        </w:tc>
        <w:tc>
          <w:tcPr>
            <w:tcW w:w="800" w:type="dxa"/>
            <w:vAlign w:val="bottom"/>
          </w:tcPr>
          <w:p>
            <w:pPr>
              <w:jc w:val="right"/>
              <w:ind w:right="18"/>
              <w:spacing w:after="0"/>
              <w:rPr>
                <w:sz w:val="20"/>
                <w:szCs w:val="20"/>
                <w:color w:val="auto"/>
              </w:rPr>
            </w:pPr>
            <w:r>
              <w:rPr>
                <w:rFonts w:ascii="Arial" w:cs="Arial" w:eastAsia="Arial" w:hAnsi="Arial"/>
                <w:sz w:val="16"/>
                <w:szCs w:val="16"/>
                <w:color w:val="auto"/>
              </w:rPr>
              <w:t>37.8 %</w:t>
            </w:r>
          </w:p>
        </w:tc>
        <w:tc>
          <w:tcPr>
            <w:tcW w:w="0" w:type="dxa"/>
            <w:vAlign w:val="bottom"/>
          </w:tcPr>
          <w:p>
            <w:pPr>
              <w:spacing w:after="0"/>
              <w:rPr>
                <w:sz w:val="1"/>
                <w:szCs w:val="1"/>
                <w:color w:val="auto"/>
              </w:rPr>
            </w:pPr>
          </w:p>
        </w:tc>
      </w:tr>
      <w:tr>
        <w:trPr>
          <w:trHeight w:val="216"/>
        </w:trPr>
        <w:tc>
          <w:tcPr>
            <w:tcW w:w="1640" w:type="dxa"/>
            <w:vAlign w:val="bottom"/>
          </w:tcPr>
          <w:p>
            <w:pPr>
              <w:ind w:left="120"/>
              <w:spacing w:after="0"/>
              <w:rPr>
                <w:sz w:val="20"/>
                <w:szCs w:val="20"/>
                <w:color w:val="auto"/>
              </w:rPr>
            </w:pPr>
            <w:r>
              <w:rPr>
                <w:rFonts w:ascii="Arial" w:cs="Arial" w:eastAsia="Arial" w:hAnsi="Arial"/>
                <w:sz w:val="16"/>
                <w:szCs w:val="16"/>
                <w:color w:val="auto"/>
              </w:rPr>
              <w:t>Equities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jc w:val="right"/>
              <w:ind w:right="15"/>
              <w:spacing w:after="0"/>
              <w:rPr>
                <w:sz w:val="20"/>
                <w:szCs w:val="20"/>
                <w:color w:val="auto"/>
              </w:rPr>
            </w:pPr>
            <w:r>
              <w:rPr>
                <w:rFonts w:ascii="Arial" w:cs="Arial" w:eastAsia="Arial" w:hAnsi="Arial"/>
                <w:sz w:val="16"/>
                <w:szCs w:val="16"/>
                <w:color w:val="auto"/>
              </w:rPr>
              <w:t>19,434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5"/>
              <w:spacing w:after="0"/>
              <w:rPr>
                <w:sz w:val="20"/>
                <w:szCs w:val="20"/>
                <w:color w:val="auto"/>
              </w:rPr>
            </w:pPr>
            <w:r>
              <w:rPr>
                <w:rFonts w:ascii="Arial" w:cs="Arial" w:eastAsia="Arial" w:hAnsi="Arial"/>
                <w:sz w:val="16"/>
                <w:szCs w:val="16"/>
                <w:color w:val="auto"/>
              </w:rPr>
              <w:t>11,798</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64.7 %</w:t>
            </w:r>
          </w:p>
        </w:tc>
        <w:tc>
          <w:tcPr>
            <w:tcW w:w="800" w:type="dxa"/>
            <w:vAlign w:val="bottom"/>
          </w:tcPr>
          <w:p>
            <w:pPr>
              <w:jc w:val="right"/>
              <w:ind w:right="18"/>
              <w:spacing w:after="0"/>
              <w:rPr>
                <w:sz w:val="20"/>
                <w:szCs w:val="20"/>
                <w:color w:val="auto"/>
              </w:rPr>
            </w:pPr>
            <w:r>
              <w:rPr>
                <w:rFonts w:ascii="Arial" w:cs="Arial" w:eastAsia="Arial" w:hAnsi="Arial"/>
                <w:sz w:val="16"/>
                <w:szCs w:val="16"/>
                <w:color w:val="auto"/>
              </w:rPr>
              <w:t>66.2 %</w:t>
            </w:r>
          </w:p>
        </w:tc>
        <w:tc>
          <w:tcPr>
            <w:tcW w:w="0" w:type="dxa"/>
            <w:vAlign w:val="bottom"/>
          </w:tcPr>
          <w:p>
            <w:pPr>
              <w:spacing w:after="0"/>
              <w:rPr>
                <w:sz w:val="1"/>
                <w:szCs w:val="1"/>
                <w:color w:val="auto"/>
              </w:rPr>
            </w:pPr>
          </w:p>
        </w:tc>
      </w:tr>
      <w:tr>
        <w:trPr>
          <w:trHeight w:val="212"/>
        </w:trPr>
        <w:tc>
          <w:tcPr>
            <w:tcW w:w="1640" w:type="dxa"/>
            <w:vAlign w:val="bottom"/>
          </w:tcPr>
          <w:p>
            <w:pPr>
              <w:ind w:left="120"/>
              <w:spacing w:after="0"/>
              <w:rPr>
                <w:sz w:val="20"/>
                <w:szCs w:val="20"/>
                <w:color w:val="auto"/>
              </w:rPr>
            </w:pPr>
            <w:r>
              <w:rPr>
                <w:rFonts w:ascii="Arial" w:cs="Arial" w:eastAsia="Arial" w:hAnsi="Arial"/>
                <w:sz w:val="16"/>
                <w:szCs w:val="16"/>
                <w:color w:val="auto"/>
              </w:rPr>
              <w:t>Money Markets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jc w:val="right"/>
              <w:ind w:right="15"/>
              <w:spacing w:after="0"/>
              <w:rPr>
                <w:sz w:val="20"/>
                <w:szCs w:val="20"/>
                <w:color w:val="auto"/>
              </w:rPr>
            </w:pPr>
            <w:r>
              <w:rPr>
                <w:rFonts w:ascii="Arial" w:cs="Arial" w:eastAsia="Arial" w:hAnsi="Arial"/>
                <w:sz w:val="16"/>
                <w:szCs w:val="16"/>
                <w:color w:val="auto"/>
              </w:rPr>
              <w:t>11,208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5"/>
              <w:spacing w:after="0"/>
              <w:rPr>
                <w:sz w:val="20"/>
                <w:szCs w:val="20"/>
                <w:color w:val="auto"/>
              </w:rPr>
            </w:pPr>
            <w:r>
              <w:rPr>
                <w:rFonts w:ascii="Arial" w:cs="Arial" w:eastAsia="Arial" w:hAnsi="Arial"/>
                <w:sz w:val="16"/>
                <w:szCs w:val="16"/>
                <w:color w:val="auto"/>
              </w:rPr>
              <w:t>9,562</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17.2 %</w:t>
            </w:r>
          </w:p>
        </w:tc>
        <w:tc>
          <w:tcPr>
            <w:tcW w:w="800" w:type="dxa"/>
            <w:vAlign w:val="bottom"/>
          </w:tcPr>
          <w:p>
            <w:pPr>
              <w:jc w:val="right"/>
              <w:ind w:right="18"/>
              <w:spacing w:after="0"/>
              <w:rPr>
                <w:sz w:val="20"/>
                <w:szCs w:val="20"/>
                <w:color w:val="auto"/>
              </w:rPr>
            </w:pPr>
            <w:r>
              <w:rPr>
                <w:rFonts w:ascii="Arial" w:cs="Arial" w:eastAsia="Arial" w:hAnsi="Arial"/>
                <w:sz w:val="16"/>
                <w:szCs w:val="16"/>
                <w:color w:val="auto"/>
              </w:rPr>
              <w:t>17.5 %</w:t>
            </w:r>
          </w:p>
        </w:tc>
        <w:tc>
          <w:tcPr>
            <w:tcW w:w="0" w:type="dxa"/>
            <w:vAlign w:val="bottom"/>
          </w:tcPr>
          <w:p>
            <w:pPr>
              <w:spacing w:after="0"/>
              <w:rPr>
                <w:sz w:val="1"/>
                <w:szCs w:val="1"/>
                <w:color w:val="auto"/>
              </w:rPr>
            </w:pPr>
          </w:p>
        </w:tc>
      </w:tr>
      <w:tr>
        <w:trPr>
          <w:trHeight w:val="206"/>
        </w:trPr>
        <w:tc>
          <w:tcPr>
            <w:tcW w:w="1640" w:type="dxa"/>
            <w:vAlign w:val="bottom"/>
          </w:tcPr>
          <w:p>
            <w:pPr>
              <w:ind w:left="120"/>
              <w:spacing w:after="0"/>
              <w:rPr>
                <w:sz w:val="20"/>
                <w:szCs w:val="20"/>
                <w:color w:val="auto"/>
              </w:rPr>
            </w:pPr>
            <w:r>
              <w:rPr>
                <w:rFonts w:ascii="Arial" w:cs="Arial" w:eastAsia="Arial" w:hAnsi="Arial"/>
                <w:sz w:val="16"/>
                <w:szCs w:val="16"/>
                <w:color w:val="auto"/>
              </w:rPr>
              <w:t>Market Data</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jc w:val="right"/>
              <w:ind w:right="15"/>
              <w:spacing w:after="0"/>
              <w:rPr>
                <w:sz w:val="20"/>
                <w:szCs w:val="20"/>
                <w:color w:val="auto"/>
              </w:rPr>
            </w:pPr>
            <w:r>
              <w:rPr>
                <w:rFonts w:ascii="Arial" w:cs="Arial" w:eastAsia="Arial" w:hAnsi="Arial"/>
                <w:sz w:val="16"/>
                <w:szCs w:val="16"/>
                <w:color w:val="auto"/>
              </w:rPr>
              <w:t>18,562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5"/>
              <w:spacing w:after="0"/>
              <w:rPr>
                <w:sz w:val="20"/>
                <w:szCs w:val="20"/>
                <w:color w:val="auto"/>
              </w:rPr>
            </w:pPr>
            <w:r>
              <w:rPr>
                <w:rFonts w:ascii="Arial" w:cs="Arial" w:eastAsia="Arial" w:hAnsi="Arial"/>
                <w:sz w:val="16"/>
                <w:szCs w:val="16"/>
                <w:color w:val="auto"/>
              </w:rPr>
              <w:t>16,903</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9.8 %</w:t>
            </w:r>
          </w:p>
        </w:tc>
        <w:tc>
          <w:tcPr>
            <w:tcW w:w="800" w:type="dxa"/>
            <w:vAlign w:val="bottom"/>
          </w:tcPr>
          <w:p>
            <w:pPr>
              <w:jc w:val="right"/>
              <w:ind w:right="18"/>
              <w:spacing w:after="0"/>
              <w:rPr>
                <w:sz w:val="20"/>
                <w:szCs w:val="20"/>
                <w:color w:val="auto"/>
              </w:rPr>
            </w:pPr>
            <w:r>
              <w:rPr>
                <w:rFonts w:ascii="Arial" w:cs="Arial" w:eastAsia="Arial" w:hAnsi="Arial"/>
                <w:sz w:val="16"/>
                <w:szCs w:val="16"/>
                <w:color w:val="auto"/>
              </w:rPr>
              <w:t>10.1 %</w:t>
            </w:r>
          </w:p>
        </w:tc>
        <w:tc>
          <w:tcPr>
            <w:tcW w:w="0" w:type="dxa"/>
            <w:vAlign w:val="bottom"/>
          </w:tcPr>
          <w:p>
            <w:pPr>
              <w:spacing w:after="0"/>
              <w:rPr>
                <w:sz w:val="1"/>
                <w:szCs w:val="1"/>
                <w:color w:val="auto"/>
              </w:rPr>
            </w:pPr>
          </w:p>
        </w:tc>
      </w:tr>
      <w:tr>
        <w:trPr>
          <w:trHeight w:val="216"/>
        </w:trPr>
        <w:tc>
          <w:tcPr>
            <w:tcW w:w="1640" w:type="dxa"/>
            <w:vAlign w:val="bottom"/>
          </w:tcPr>
          <w:p>
            <w:pPr>
              <w:ind w:left="120"/>
              <w:spacing w:after="0"/>
              <w:rPr>
                <w:sz w:val="20"/>
                <w:szCs w:val="20"/>
                <w:color w:val="auto"/>
              </w:rPr>
            </w:pPr>
            <w:r>
              <w:rPr>
                <w:rFonts w:ascii="Arial" w:cs="Arial" w:eastAsia="Arial" w:hAnsi="Arial"/>
                <w:sz w:val="16"/>
                <w:szCs w:val="16"/>
                <w:color w:val="auto"/>
              </w:rPr>
              <w:t>Other</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jc w:val="right"/>
              <w:ind w:right="15"/>
              <w:spacing w:after="0"/>
              <w:rPr>
                <w:sz w:val="20"/>
                <w:szCs w:val="20"/>
                <w:color w:val="auto"/>
              </w:rPr>
            </w:pPr>
            <w:r>
              <w:rPr>
                <w:rFonts w:ascii="Arial" w:cs="Arial" w:eastAsia="Arial" w:hAnsi="Arial"/>
                <w:sz w:val="16"/>
                <w:szCs w:val="16"/>
                <w:color w:val="auto"/>
              </w:rPr>
              <w:t>5,385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5"/>
              <w:spacing w:after="0"/>
              <w:rPr>
                <w:sz w:val="20"/>
                <w:szCs w:val="20"/>
                <w:color w:val="auto"/>
              </w:rPr>
            </w:pPr>
            <w:r>
              <w:rPr>
                <w:rFonts w:ascii="Arial" w:cs="Arial" w:eastAsia="Arial" w:hAnsi="Arial"/>
                <w:sz w:val="16"/>
                <w:szCs w:val="16"/>
                <w:color w:val="auto"/>
              </w:rPr>
              <w:t>5,004</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7.6 %</w:t>
            </w:r>
          </w:p>
        </w:tc>
        <w:tc>
          <w:tcPr>
            <w:tcW w:w="800" w:type="dxa"/>
            <w:vAlign w:val="bottom"/>
          </w:tcPr>
          <w:p>
            <w:pPr>
              <w:jc w:val="right"/>
              <w:ind w:right="18"/>
              <w:spacing w:after="0"/>
              <w:rPr>
                <w:sz w:val="20"/>
                <w:szCs w:val="20"/>
                <w:color w:val="auto"/>
              </w:rPr>
            </w:pPr>
            <w:r>
              <w:rPr>
                <w:rFonts w:ascii="Arial" w:cs="Arial" w:eastAsia="Arial" w:hAnsi="Arial"/>
                <w:sz w:val="16"/>
                <w:szCs w:val="16"/>
                <w:color w:val="auto"/>
              </w:rPr>
              <w:t>7.6 %</w:t>
            </w:r>
          </w:p>
        </w:tc>
        <w:tc>
          <w:tcPr>
            <w:tcW w:w="0" w:type="dxa"/>
            <w:vAlign w:val="bottom"/>
          </w:tcPr>
          <w:p>
            <w:pPr>
              <w:spacing w:after="0"/>
              <w:rPr>
                <w:sz w:val="1"/>
                <w:szCs w:val="1"/>
                <w:color w:val="auto"/>
              </w:rPr>
            </w:pPr>
          </w:p>
        </w:tc>
      </w:tr>
      <w:tr>
        <w:trPr>
          <w:trHeight w:val="212"/>
        </w:trPr>
        <w:tc>
          <w:tcPr>
            <w:tcW w:w="1640" w:type="dxa"/>
            <w:vAlign w:val="bottom"/>
          </w:tcPr>
          <w:p>
            <w:pPr>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jc w:val="right"/>
              <w:ind w:right="15"/>
              <w:spacing w:after="0"/>
              <w:rPr>
                <w:sz w:val="20"/>
                <w:szCs w:val="20"/>
                <w:color w:val="auto"/>
              </w:rPr>
            </w:pPr>
            <w:r>
              <w:rPr>
                <w:rFonts w:ascii="Arial" w:cs="Arial" w:eastAsia="Arial" w:hAnsi="Arial"/>
                <w:sz w:val="16"/>
                <w:szCs w:val="16"/>
                <w:color w:val="auto"/>
              </w:rPr>
              <w:t>62,485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5"/>
              <w:spacing w:after="0"/>
              <w:rPr>
                <w:sz w:val="20"/>
                <w:szCs w:val="20"/>
                <w:color w:val="auto"/>
              </w:rPr>
            </w:pPr>
            <w:r>
              <w:rPr>
                <w:rFonts w:ascii="Arial" w:cs="Arial" w:eastAsia="Arial" w:hAnsi="Arial"/>
                <w:sz w:val="16"/>
                <w:szCs w:val="16"/>
                <w:color w:val="auto"/>
              </w:rPr>
              <w:t>42,352</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47.5 %</w:t>
            </w:r>
          </w:p>
        </w:tc>
        <w:tc>
          <w:tcPr>
            <w:tcW w:w="800" w:type="dxa"/>
            <w:vAlign w:val="bottom"/>
          </w:tcPr>
          <w:p>
            <w:pPr>
              <w:jc w:val="right"/>
              <w:ind w:right="18"/>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20"/>
                <w:szCs w:val="20"/>
                <w:color w:val="auto"/>
              </w:rPr>
            </w:pPr>
            <w:r>
              <w:rPr>
                <w:rFonts w:ascii="Arial" w:cs="Arial" w:eastAsia="Arial" w:hAnsi="Arial"/>
                <w:sz w:val="16"/>
                <w:szCs w:val="16"/>
                <w:color w:val="auto"/>
                <w:w w:val="98"/>
              </w:rPr>
              <w:t>Net income attributable</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tcPr>
          <w:p>
            <w:pPr>
              <w:spacing w:after="0"/>
              <w:rPr>
                <w:sz w:val="20"/>
                <w:szCs w:val="20"/>
                <w:color w:val="auto"/>
              </w:rPr>
            </w:pPr>
            <w:r>
              <w:rPr>
                <w:rFonts w:ascii="Arial" w:cs="Arial" w:eastAsia="Arial" w:hAnsi="Arial"/>
                <w:sz w:val="16"/>
                <w:szCs w:val="16"/>
                <w:color w:val="auto"/>
              </w:rPr>
              <w:t>to Tradeweb Markets</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6"/>
                <w:szCs w:val="16"/>
                <w:color w:val="auto"/>
              </w:rPr>
              <w:t>Inc.</w:t>
            </w:r>
            <w:r>
              <w:rPr>
                <w:rFonts w:ascii="Arial" w:cs="Arial" w:eastAsia="Arial" w:hAnsi="Arial"/>
                <w:sz w:val="17"/>
                <w:szCs w:val="17"/>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jc w:val="right"/>
              <w:ind w:right="15"/>
              <w:spacing w:after="0"/>
              <w:rPr>
                <w:sz w:val="20"/>
                <w:szCs w:val="20"/>
                <w:color w:val="auto"/>
              </w:rPr>
            </w:pPr>
            <w:r>
              <w:rPr>
                <w:rFonts w:ascii="Arial" w:cs="Arial" w:eastAsia="Arial" w:hAnsi="Arial"/>
                <w:sz w:val="16"/>
                <w:szCs w:val="16"/>
                <w:color w:val="auto"/>
              </w:rPr>
              <w:t>43,928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5"/>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 %</w:t>
            </w:r>
          </w:p>
        </w:tc>
        <w:tc>
          <w:tcPr>
            <w:tcW w:w="800" w:type="dxa"/>
            <w:vAlign w:val="bottom"/>
          </w:tcPr>
          <w:p>
            <w:pPr>
              <w:jc w:val="right"/>
              <w:ind w:right="18"/>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2"/>
        </w:trPr>
        <w:tc>
          <w:tcPr>
            <w:tcW w:w="1640" w:type="dxa"/>
            <w:vAlign w:val="bottom"/>
          </w:tcPr>
          <w:p>
            <w:pPr>
              <w:spacing w:after="0"/>
              <w:rPr>
                <w:sz w:val="20"/>
                <w:szCs w:val="20"/>
                <w:color w:val="auto"/>
              </w:rPr>
            </w:pPr>
            <w:r>
              <w:rPr>
                <w:rFonts w:ascii="Arial" w:cs="Arial" w:eastAsia="Arial" w:hAnsi="Arial"/>
                <w:sz w:val="16"/>
                <w:szCs w:val="16"/>
                <w:color w:val="auto"/>
              </w:rPr>
              <w:t xml:space="preserve">Diluted EPS </w:t>
            </w:r>
            <w:r>
              <w:rPr>
                <w:rFonts w:ascii="Arial" w:cs="Arial" w:eastAsia="Arial" w:hAnsi="Arial"/>
                <w:sz w:val="17"/>
                <w:szCs w:val="17"/>
                <w:color w:val="auto"/>
                <w:vertAlign w:val="superscript"/>
              </w:rPr>
              <w:t>(3)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jc w:val="right"/>
              <w:ind w:right="15"/>
              <w:spacing w:after="0"/>
              <w:rPr>
                <w:sz w:val="20"/>
                <w:szCs w:val="20"/>
                <w:color w:val="auto"/>
              </w:rPr>
            </w:pPr>
            <w:r>
              <w:rPr>
                <w:rFonts w:ascii="Arial" w:cs="Arial" w:eastAsia="Arial" w:hAnsi="Arial"/>
                <w:sz w:val="16"/>
                <w:szCs w:val="16"/>
                <w:color w:val="auto"/>
              </w:rPr>
              <w:t>0.25</w:t>
            </w:r>
            <w:r>
              <w:rPr>
                <w:rFonts w:ascii="Arial" w:cs="Arial" w:eastAsia="Arial" w:hAnsi="Arial"/>
                <w:sz w:val="17"/>
                <w:szCs w:val="17"/>
                <w:color w:val="auto"/>
                <w:vertAlign w:val="superscript"/>
              </w:rPr>
              <w:t>(a)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5"/>
              <w:spacing w:after="0"/>
              <w:rPr>
                <w:sz w:val="20"/>
                <w:szCs w:val="20"/>
                <w:color w:val="auto"/>
              </w:rPr>
            </w:pPr>
            <w:r>
              <w:rPr>
                <w:rFonts w:ascii="Arial" w:cs="Arial" w:eastAsia="Arial" w:hAnsi="Arial"/>
                <w:sz w:val="16"/>
                <w:szCs w:val="16"/>
                <w:color w:val="auto"/>
              </w:rPr>
              <w:t>0.19</w:t>
            </w:r>
            <w:r>
              <w:rPr>
                <w:rFonts w:ascii="Arial" w:cs="Arial" w:eastAsia="Arial" w:hAnsi="Arial"/>
                <w:sz w:val="17"/>
                <w:szCs w:val="17"/>
                <w:color w:val="auto"/>
                <w:vertAlign w:val="superscript"/>
              </w:rPr>
              <w:t>(b)</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31.6 %</w:t>
            </w:r>
          </w:p>
        </w:tc>
        <w:tc>
          <w:tcPr>
            <w:tcW w:w="800" w:type="dxa"/>
            <w:vAlign w:val="bottom"/>
          </w:tcPr>
          <w:p>
            <w:pPr>
              <w:jc w:val="right"/>
              <w:ind w:right="18"/>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3"/>
        </w:trPr>
        <w:tc>
          <w:tcPr>
            <w:tcW w:w="2220" w:type="dxa"/>
            <w:vAlign w:val="bottom"/>
            <w:gridSpan w:val="3"/>
            <w:shd w:val="clear" w:color="auto" w:fill="BDD7EE"/>
          </w:tcPr>
          <w:p>
            <w:pPr>
              <w:spacing w:after="0"/>
              <w:rPr>
                <w:sz w:val="20"/>
                <w:szCs w:val="20"/>
                <w:color w:val="auto"/>
              </w:rPr>
            </w:pPr>
            <w:r>
              <w:rPr>
                <w:rFonts w:ascii="Arial" w:cs="Arial" w:eastAsia="Arial" w:hAnsi="Arial"/>
                <w:sz w:val="16"/>
                <w:szCs w:val="16"/>
                <w:color w:val="auto"/>
                <w:w w:val="98"/>
              </w:rPr>
              <w:t>Non-GAAP Financial Measures</w:t>
            </w:r>
          </w:p>
        </w:tc>
        <w:tc>
          <w:tcPr>
            <w:tcW w:w="160" w:type="dxa"/>
            <w:vAlign w:val="bottom"/>
            <w:shd w:val="clear" w:color="auto" w:fill="BDD7EE"/>
          </w:tcPr>
          <w:p>
            <w:pPr>
              <w:spacing w:after="0"/>
              <w:rPr>
                <w:sz w:val="17"/>
                <w:szCs w:val="17"/>
                <w:color w:val="auto"/>
              </w:rPr>
            </w:pPr>
          </w:p>
        </w:tc>
        <w:tc>
          <w:tcPr>
            <w:tcW w:w="180" w:type="dxa"/>
            <w:vAlign w:val="bottom"/>
            <w:shd w:val="clear" w:color="auto" w:fill="BDD7EE"/>
          </w:tcPr>
          <w:p>
            <w:pPr>
              <w:spacing w:after="0"/>
              <w:rPr>
                <w:sz w:val="17"/>
                <w:szCs w:val="17"/>
                <w:color w:val="auto"/>
              </w:rPr>
            </w:pPr>
          </w:p>
        </w:tc>
        <w:tc>
          <w:tcPr>
            <w:tcW w:w="440" w:type="dxa"/>
            <w:vAlign w:val="bottom"/>
            <w:shd w:val="clear" w:color="auto" w:fill="BDD7EE"/>
          </w:tcPr>
          <w:p>
            <w:pPr>
              <w:spacing w:after="0"/>
              <w:rPr>
                <w:sz w:val="17"/>
                <w:szCs w:val="17"/>
                <w:color w:val="auto"/>
              </w:rPr>
            </w:pPr>
          </w:p>
        </w:tc>
        <w:tc>
          <w:tcPr>
            <w:tcW w:w="180" w:type="dxa"/>
            <w:vAlign w:val="bottom"/>
            <w:shd w:val="clear" w:color="auto" w:fill="BDD7EE"/>
          </w:tcPr>
          <w:p>
            <w:pPr>
              <w:spacing w:after="0"/>
              <w:rPr>
                <w:sz w:val="17"/>
                <w:szCs w:val="17"/>
                <w:color w:val="auto"/>
              </w:rPr>
            </w:pPr>
          </w:p>
        </w:tc>
        <w:tc>
          <w:tcPr>
            <w:tcW w:w="880" w:type="dxa"/>
            <w:vAlign w:val="bottom"/>
            <w:shd w:val="clear" w:color="auto" w:fill="BDD7EE"/>
          </w:tcPr>
          <w:p>
            <w:pPr>
              <w:spacing w:after="0"/>
              <w:rPr>
                <w:sz w:val="17"/>
                <w:szCs w:val="17"/>
                <w:color w:val="auto"/>
              </w:rPr>
            </w:pPr>
          </w:p>
        </w:tc>
        <w:tc>
          <w:tcPr>
            <w:tcW w:w="800" w:type="dxa"/>
            <w:vAlign w:val="bottom"/>
            <w:shd w:val="clear" w:color="auto" w:fill="BDD7E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40" w:type="dxa"/>
            <w:vAlign w:val="bottom"/>
          </w:tcPr>
          <w:p>
            <w:pPr>
              <w:spacing w:after="0"/>
              <w:rPr>
                <w:sz w:val="20"/>
                <w:szCs w:val="20"/>
                <w:color w:val="auto"/>
              </w:rPr>
            </w:pPr>
            <w:r>
              <w:rPr>
                <w:rFonts w:ascii="Arial" w:cs="Arial" w:eastAsia="Arial" w:hAnsi="Arial"/>
                <w:sz w:val="16"/>
                <w:szCs w:val="16"/>
                <w:color w:val="auto"/>
              </w:rPr>
              <w:t xml:space="preserve">Adjusted EBITDA </w:t>
            </w:r>
            <w:r>
              <w:rPr>
                <w:rFonts w:ascii="Arial" w:cs="Arial" w:eastAsia="Arial" w:hAnsi="Arial"/>
                <w:sz w:val="17"/>
                <w:szCs w:val="17"/>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jc w:val="right"/>
              <w:ind w:right="15"/>
              <w:spacing w:after="0"/>
              <w:rPr>
                <w:sz w:val="20"/>
                <w:szCs w:val="20"/>
                <w:color w:val="auto"/>
              </w:rPr>
            </w:pPr>
            <w:r>
              <w:rPr>
                <w:rFonts w:ascii="Arial" w:cs="Arial" w:eastAsia="Arial" w:hAnsi="Arial"/>
                <w:sz w:val="16"/>
                <w:szCs w:val="16"/>
                <w:color w:val="auto"/>
                <w:w w:val="89"/>
              </w:rPr>
              <w:t>119,650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5"/>
              <w:spacing w:after="0"/>
              <w:rPr>
                <w:sz w:val="20"/>
                <w:szCs w:val="20"/>
                <w:color w:val="auto"/>
              </w:rPr>
            </w:pPr>
            <w:r>
              <w:rPr>
                <w:rFonts w:ascii="Arial" w:cs="Arial" w:eastAsia="Arial" w:hAnsi="Arial"/>
                <w:sz w:val="16"/>
                <w:szCs w:val="16"/>
                <w:color w:val="auto"/>
              </w:rPr>
              <w:t>80,347</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48.9 %</w:t>
            </w:r>
          </w:p>
        </w:tc>
        <w:tc>
          <w:tcPr>
            <w:tcW w:w="800" w:type="dxa"/>
            <w:vAlign w:val="bottom"/>
          </w:tcPr>
          <w:p>
            <w:pPr>
              <w:jc w:val="right"/>
              <w:ind w:right="18"/>
              <w:spacing w:after="0"/>
              <w:rPr>
                <w:sz w:val="20"/>
                <w:szCs w:val="20"/>
                <w:color w:val="auto"/>
              </w:rPr>
            </w:pPr>
            <w:r>
              <w:rPr>
                <w:rFonts w:ascii="Arial" w:cs="Arial" w:eastAsia="Arial" w:hAnsi="Arial"/>
                <w:sz w:val="16"/>
                <w:szCs w:val="16"/>
                <w:color w:val="auto"/>
              </w:rPr>
              <w:t>46.1 %</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20"/>
                <w:szCs w:val="20"/>
                <w:color w:val="auto"/>
              </w:rPr>
            </w:pPr>
            <w:r>
              <w:rPr>
                <w:rFonts w:ascii="Arial" w:cs="Arial" w:eastAsia="Arial" w:hAnsi="Arial"/>
                <w:sz w:val="16"/>
                <w:szCs w:val="16"/>
                <w:color w:val="auto"/>
              </w:rPr>
              <w:t>Adjusted EBITDA</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tcPr>
          <w:p>
            <w:pPr>
              <w:spacing w:after="0"/>
              <w:rPr>
                <w:sz w:val="20"/>
                <w:szCs w:val="20"/>
                <w:color w:val="auto"/>
              </w:rPr>
            </w:pPr>
            <w:r>
              <w:rPr>
                <w:rFonts w:ascii="Arial" w:cs="Arial" w:eastAsia="Arial" w:hAnsi="Arial"/>
                <w:sz w:val="16"/>
                <w:szCs w:val="16"/>
                <w:color w:val="auto"/>
              </w:rPr>
              <w:t xml:space="preserve">margin </w:t>
            </w:r>
            <w:r>
              <w:rPr>
                <w:rFonts w:ascii="Arial" w:cs="Arial" w:eastAsia="Arial" w:hAnsi="Arial"/>
                <w:sz w:val="17"/>
                <w:szCs w:val="17"/>
                <w:color w:val="auto"/>
                <w:vertAlign w:val="superscript"/>
              </w:rPr>
              <w:t>(1)</w:t>
            </w:r>
          </w:p>
        </w:tc>
        <w:tc>
          <w:tcPr>
            <w:tcW w:w="140" w:type="dxa"/>
            <w:vAlign w:val="bottom"/>
          </w:tcPr>
          <w:p>
            <w:pPr>
              <w:spacing w:after="0"/>
              <w:rPr>
                <w:sz w:val="17"/>
                <w:szCs w:val="17"/>
                <w:color w:val="auto"/>
              </w:rPr>
            </w:pPr>
          </w:p>
        </w:tc>
        <w:tc>
          <w:tcPr>
            <w:tcW w:w="600" w:type="dxa"/>
            <w:vAlign w:val="bottom"/>
            <w:gridSpan w:val="2"/>
          </w:tcPr>
          <w:p>
            <w:pPr>
              <w:jc w:val="right"/>
              <w:ind w:right="15"/>
              <w:spacing w:after="0"/>
              <w:rPr>
                <w:sz w:val="20"/>
                <w:szCs w:val="20"/>
                <w:color w:val="auto"/>
              </w:rPr>
            </w:pPr>
            <w:r>
              <w:rPr>
                <w:rFonts w:ascii="Arial" w:cs="Arial" w:eastAsia="Arial" w:hAnsi="Arial"/>
                <w:sz w:val="16"/>
                <w:szCs w:val="16"/>
                <w:color w:val="auto"/>
              </w:rPr>
              <w:t>51.0%</w:t>
            </w:r>
          </w:p>
        </w:tc>
        <w:tc>
          <w:tcPr>
            <w:tcW w:w="180" w:type="dxa"/>
            <w:vAlign w:val="bottom"/>
          </w:tcPr>
          <w:p>
            <w:pPr>
              <w:spacing w:after="0"/>
              <w:rPr>
                <w:sz w:val="17"/>
                <w:szCs w:val="17"/>
                <w:color w:val="auto"/>
              </w:rPr>
            </w:pPr>
          </w:p>
        </w:tc>
        <w:tc>
          <w:tcPr>
            <w:tcW w:w="620" w:type="dxa"/>
            <w:vAlign w:val="bottom"/>
            <w:gridSpan w:val="2"/>
          </w:tcPr>
          <w:p>
            <w:pPr>
              <w:jc w:val="right"/>
              <w:ind w:right="15"/>
              <w:spacing w:after="0"/>
              <w:rPr>
                <w:sz w:val="20"/>
                <w:szCs w:val="20"/>
                <w:color w:val="auto"/>
              </w:rPr>
            </w:pPr>
            <w:r>
              <w:rPr>
                <w:rFonts w:ascii="Arial" w:cs="Arial" w:eastAsia="Arial" w:hAnsi="Arial"/>
                <w:sz w:val="16"/>
                <w:szCs w:val="16"/>
                <w:color w:val="auto"/>
              </w:rPr>
              <w:t>43.0%</w:t>
            </w:r>
          </w:p>
        </w:tc>
        <w:tc>
          <w:tcPr>
            <w:tcW w:w="880" w:type="dxa"/>
            <w:vAlign w:val="bottom"/>
          </w:tcPr>
          <w:p>
            <w:pPr>
              <w:jc w:val="right"/>
              <w:spacing w:after="0"/>
              <w:rPr>
                <w:sz w:val="20"/>
                <w:szCs w:val="20"/>
                <w:color w:val="auto"/>
              </w:rPr>
            </w:pPr>
            <w:r>
              <w:rPr>
                <w:rFonts w:ascii="Arial" w:cs="Arial" w:eastAsia="Arial" w:hAnsi="Arial"/>
                <w:sz w:val="16"/>
                <w:szCs w:val="16"/>
                <w:color w:val="auto"/>
              </w:rPr>
              <w:t>+799 bps</w:t>
            </w:r>
          </w:p>
        </w:tc>
        <w:tc>
          <w:tcPr>
            <w:tcW w:w="800" w:type="dxa"/>
            <w:vAlign w:val="bottom"/>
          </w:tcPr>
          <w:p>
            <w:pPr>
              <w:jc w:val="right"/>
              <w:spacing w:after="0"/>
              <w:rPr>
                <w:sz w:val="20"/>
                <w:szCs w:val="20"/>
                <w:color w:val="auto"/>
              </w:rPr>
            </w:pPr>
            <w:r>
              <w:rPr>
                <w:rFonts w:ascii="Arial" w:cs="Arial" w:eastAsia="Arial" w:hAnsi="Arial"/>
                <w:sz w:val="16"/>
                <w:szCs w:val="16"/>
                <w:color w:val="auto"/>
              </w:rPr>
              <w:t>+678 bps</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20"/>
                <w:szCs w:val="20"/>
                <w:color w:val="auto"/>
              </w:rPr>
            </w:pPr>
            <w:r>
              <w:rPr>
                <w:rFonts w:ascii="Arial" w:cs="Arial" w:eastAsia="Arial" w:hAnsi="Arial"/>
                <w:sz w:val="16"/>
                <w:szCs w:val="16"/>
                <w:color w:val="auto"/>
              </w:rPr>
              <w:t xml:space="preserve">Adjusted EBIT </w:t>
            </w:r>
            <w:r>
              <w:rPr>
                <w:rFonts w:ascii="Arial" w:cs="Arial" w:eastAsia="Arial" w:hAnsi="Arial"/>
                <w:sz w:val="17"/>
                <w:szCs w:val="17"/>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jc w:val="right"/>
              <w:ind w:right="15"/>
              <w:spacing w:after="0"/>
              <w:rPr>
                <w:sz w:val="20"/>
                <w:szCs w:val="20"/>
                <w:color w:val="auto"/>
              </w:rPr>
            </w:pPr>
            <w:r>
              <w:rPr>
                <w:rFonts w:ascii="Arial" w:cs="Arial" w:eastAsia="Arial" w:hAnsi="Arial"/>
                <w:sz w:val="16"/>
                <w:szCs w:val="16"/>
                <w:color w:val="auto"/>
                <w:w w:val="89"/>
              </w:rPr>
              <w:t>108,747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5"/>
              <w:spacing w:after="0"/>
              <w:rPr>
                <w:sz w:val="20"/>
                <w:szCs w:val="20"/>
                <w:color w:val="auto"/>
              </w:rPr>
            </w:pPr>
            <w:r>
              <w:rPr>
                <w:rFonts w:ascii="Arial" w:cs="Arial" w:eastAsia="Arial" w:hAnsi="Arial"/>
                <w:sz w:val="16"/>
                <w:szCs w:val="16"/>
                <w:color w:val="auto"/>
              </w:rPr>
              <w:t>70,053</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55.2 %</w:t>
            </w:r>
          </w:p>
        </w:tc>
        <w:tc>
          <w:tcPr>
            <w:tcW w:w="800" w:type="dxa"/>
            <w:vAlign w:val="bottom"/>
          </w:tcPr>
          <w:p>
            <w:pPr>
              <w:jc w:val="right"/>
              <w:ind w:right="18"/>
              <w:spacing w:after="0"/>
              <w:rPr>
                <w:sz w:val="20"/>
                <w:szCs w:val="20"/>
                <w:color w:val="auto"/>
              </w:rPr>
            </w:pPr>
            <w:r>
              <w:rPr>
                <w:rFonts w:ascii="Arial" w:cs="Arial" w:eastAsia="Arial" w:hAnsi="Arial"/>
                <w:sz w:val="16"/>
                <w:szCs w:val="16"/>
                <w:color w:val="auto"/>
              </w:rPr>
              <w:t>51.9 %</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20"/>
                <w:szCs w:val="20"/>
                <w:color w:val="auto"/>
              </w:rPr>
            </w:pPr>
            <w:r>
              <w:rPr>
                <w:rFonts w:ascii="Arial" w:cs="Arial" w:eastAsia="Arial" w:hAnsi="Arial"/>
                <w:sz w:val="16"/>
                <w:szCs w:val="16"/>
                <w:color w:val="auto"/>
                <w:w w:val="93"/>
              </w:rPr>
              <w:t xml:space="preserve">Adjusted EBIT margin </w:t>
            </w:r>
            <w:r>
              <w:rPr>
                <w:rFonts w:ascii="Arial" w:cs="Arial" w:eastAsia="Arial" w:hAnsi="Arial"/>
                <w:sz w:val="17"/>
                <w:szCs w:val="17"/>
                <w:color w:val="auto"/>
                <w:w w:val="93"/>
                <w:vertAlign w:val="superscript"/>
              </w:rPr>
              <w:t>(1)</w:t>
            </w:r>
          </w:p>
        </w:tc>
        <w:tc>
          <w:tcPr>
            <w:tcW w:w="140" w:type="dxa"/>
            <w:vAlign w:val="bottom"/>
          </w:tcPr>
          <w:p>
            <w:pPr>
              <w:spacing w:after="0"/>
              <w:rPr>
                <w:sz w:val="17"/>
                <w:szCs w:val="17"/>
                <w:color w:val="auto"/>
              </w:rPr>
            </w:pPr>
          </w:p>
        </w:tc>
        <w:tc>
          <w:tcPr>
            <w:tcW w:w="600" w:type="dxa"/>
            <w:vAlign w:val="bottom"/>
            <w:gridSpan w:val="2"/>
          </w:tcPr>
          <w:p>
            <w:pPr>
              <w:jc w:val="right"/>
              <w:ind w:right="15"/>
              <w:spacing w:after="0"/>
              <w:rPr>
                <w:sz w:val="20"/>
                <w:szCs w:val="20"/>
                <w:color w:val="auto"/>
              </w:rPr>
            </w:pPr>
            <w:r>
              <w:rPr>
                <w:rFonts w:ascii="Arial" w:cs="Arial" w:eastAsia="Arial" w:hAnsi="Arial"/>
                <w:sz w:val="16"/>
                <w:szCs w:val="16"/>
                <w:color w:val="auto"/>
              </w:rPr>
              <w:t>46.4%</w:t>
            </w:r>
          </w:p>
        </w:tc>
        <w:tc>
          <w:tcPr>
            <w:tcW w:w="180" w:type="dxa"/>
            <w:vAlign w:val="bottom"/>
          </w:tcPr>
          <w:p>
            <w:pPr>
              <w:spacing w:after="0"/>
              <w:rPr>
                <w:sz w:val="17"/>
                <w:szCs w:val="17"/>
                <w:color w:val="auto"/>
              </w:rPr>
            </w:pPr>
          </w:p>
        </w:tc>
        <w:tc>
          <w:tcPr>
            <w:tcW w:w="620" w:type="dxa"/>
            <w:vAlign w:val="bottom"/>
            <w:gridSpan w:val="2"/>
          </w:tcPr>
          <w:p>
            <w:pPr>
              <w:jc w:val="right"/>
              <w:ind w:right="15"/>
              <w:spacing w:after="0"/>
              <w:rPr>
                <w:sz w:val="20"/>
                <w:szCs w:val="20"/>
                <w:color w:val="auto"/>
              </w:rPr>
            </w:pPr>
            <w:r>
              <w:rPr>
                <w:rFonts w:ascii="Arial" w:cs="Arial" w:eastAsia="Arial" w:hAnsi="Arial"/>
                <w:sz w:val="16"/>
                <w:szCs w:val="16"/>
                <w:color w:val="auto"/>
              </w:rPr>
              <w:t>37.5%</w:t>
            </w:r>
          </w:p>
        </w:tc>
        <w:tc>
          <w:tcPr>
            <w:tcW w:w="880" w:type="dxa"/>
            <w:vAlign w:val="bottom"/>
          </w:tcPr>
          <w:p>
            <w:pPr>
              <w:jc w:val="right"/>
              <w:spacing w:after="0"/>
              <w:rPr>
                <w:sz w:val="20"/>
                <w:szCs w:val="20"/>
                <w:color w:val="auto"/>
              </w:rPr>
            </w:pPr>
            <w:r>
              <w:rPr>
                <w:rFonts w:ascii="Arial" w:cs="Arial" w:eastAsia="Arial" w:hAnsi="Arial"/>
                <w:sz w:val="16"/>
                <w:szCs w:val="16"/>
                <w:color w:val="auto"/>
              </w:rPr>
              <w:t>+885 bps</w:t>
            </w:r>
          </w:p>
        </w:tc>
        <w:tc>
          <w:tcPr>
            <w:tcW w:w="800" w:type="dxa"/>
            <w:vAlign w:val="bottom"/>
          </w:tcPr>
          <w:p>
            <w:pPr>
              <w:jc w:val="right"/>
              <w:spacing w:after="0"/>
              <w:rPr>
                <w:sz w:val="20"/>
                <w:szCs w:val="20"/>
                <w:color w:val="auto"/>
              </w:rPr>
            </w:pPr>
            <w:r>
              <w:rPr>
                <w:rFonts w:ascii="Arial" w:cs="Arial" w:eastAsia="Arial" w:hAnsi="Arial"/>
                <w:sz w:val="16"/>
                <w:szCs w:val="16"/>
                <w:color w:val="auto"/>
              </w:rPr>
              <w:t>+767 bps</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20"/>
                <w:szCs w:val="20"/>
                <w:color w:val="auto"/>
              </w:rPr>
            </w:pPr>
            <w:r>
              <w:rPr>
                <w:rFonts w:ascii="Arial" w:cs="Arial" w:eastAsia="Arial" w:hAnsi="Arial"/>
                <w:sz w:val="16"/>
                <w:szCs w:val="16"/>
                <w:color w:val="auto"/>
                <w:w w:val="97"/>
              </w:rPr>
              <w:t xml:space="preserve">Adjusted Net Income </w:t>
            </w:r>
            <w:r>
              <w:rPr>
                <w:rFonts w:ascii="Arial" w:cs="Arial" w:eastAsia="Arial" w:hAnsi="Arial"/>
                <w:sz w:val="17"/>
                <w:szCs w:val="17"/>
                <w:color w:val="auto"/>
                <w:w w:val="97"/>
                <w:vertAlign w:val="superscript"/>
              </w:rPr>
              <w:t>(1)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jc w:val="right"/>
              <w:ind w:right="15"/>
              <w:spacing w:after="0"/>
              <w:rPr>
                <w:sz w:val="20"/>
                <w:szCs w:val="20"/>
                <w:color w:val="auto"/>
              </w:rPr>
            </w:pPr>
            <w:r>
              <w:rPr>
                <w:rFonts w:ascii="Arial" w:cs="Arial" w:eastAsia="Arial" w:hAnsi="Arial"/>
                <w:sz w:val="16"/>
                <w:szCs w:val="16"/>
                <w:color w:val="auto"/>
              </w:rPr>
              <w:t>85,368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5"/>
              <w:spacing w:after="0"/>
              <w:rPr>
                <w:sz w:val="20"/>
                <w:szCs w:val="20"/>
                <w:color w:val="auto"/>
              </w:rPr>
            </w:pPr>
            <w:r>
              <w:rPr>
                <w:rFonts w:ascii="Arial" w:cs="Arial" w:eastAsia="Arial" w:hAnsi="Arial"/>
                <w:sz w:val="16"/>
                <w:szCs w:val="16"/>
                <w:color w:val="auto"/>
              </w:rPr>
              <w:t>52,190</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63.6 %</w:t>
            </w:r>
          </w:p>
        </w:tc>
        <w:tc>
          <w:tcPr>
            <w:tcW w:w="800" w:type="dxa"/>
            <w:vAlign w:val="bottom"/>
          </w:tcPr>
          <w:p>
            <w:pPr>
              <w:jc w:val="right"/>
              <w:ind w:right="18"/>
              <w:spacing w:after="0"/>
              <w:rPr>
                <w:sz w:val="20"/>
                <w:szCs w:val="20"/>
                <w:color w:val="auto"/>
              </w:rPr>
            </w:pPr>
            <w:r>
              <w:rPr>
                <w:rFonts w:ascii="Arial" w:cs="Arial" w:eastAsia="Arial" w:hAnsi="Arial"/>
                <w:sz w:val="16"/>
                <w:szCs w:val="16"/>
                <w:color w:val="auto"/>
              </w:rPr>
              <w:t>60.1 %</w:t>
            </w:r>
          </w:p>
        </w:tc>
        <w:tc>
          <w:tcPr>
            <w:tcW w:w="0" w:type="dxa"/>
            <w:vAlign w:val="bottom"/>
          </w:tcPr>
          <w:p>
            <w:pPr>
              <w:spacing w:after="0"/>
              <w:rPr>
                <w:sz w:val="1"/>
                <w:szCs w:val="1"/>
                <w:color w:val="auto"/>
              </w:rPr>
            </w:pPr>
          </w:p>
        </w:tc>
      </w:tr>
      <w:tr>
        <w:trPr>
          <w:trHeight w:val="158"/>
        </w:trPr>
        <w:tc>
          <w:tcPr>
            <w:tcW w:w="1640" w:type="dxa"/>
            <w:vAlign w:val="bottom"/>
          </w:tcPr>
          <w:p>
            <w:pPr>
              <w:spacing w:after="0" w:line="159" w:lineRule="exact"/>
              <w:rPr>
                <w:sz w:val="20"/>
                <w:szCs w:val="20"/>
                <w:color w:val="auto"/>
              </w:rPr>
            </w:pPr>
            <w:r>
              <w:rPr>
                <w:rFonts w:ascii="Arial" w:cs="Arial" w:eastAsia="Arial" w:hAnsi="Arial"/>
                <w:sz w:val="16"/>
                <w:szCs w:val="16"/>
                <w:color w:val="auto"/>
                <w:w w:val="94"/>
              </w:rPr>
              <w:t xml:space="preserve">Adjusted Diluted EPS </w:t>
            </w:r>
            <w:r>
              <w:rPr>
                <w:rFonts w:ascii="Arial" w:cs="Arial" w:eastAsia="Arial" w:hAnsi="Arial"/>
                <w:sz w:val="17"/>
                <w:szCs w:val="17"/>
                <w:color w:val="auto"/>
                <w:w w:val="94"/>
                <w:vertAlign w:val="superscript"/>
              </w:rPr>
              <w:t>(1)</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0.37</w:t>
            </w:r>
          </w:p>
        </w:tc>
        <w:tc>
          <w:tcPr>
            <w:tcW w:w="160" w:type="dxa"/>
            <w:vAlign w:val="bottom"/>
          </w:tcPr>
          <w:p>
            <w:pPr>
              <w:jc w:val="right"/>
              <w:ind w:right="15"/>
              <w:spacing w:after="0"/>
              <w:rPr>
                <w:sz w:val="20"/>
                <w:szCs w:val="20"/>
                <w:color w:val="auto"/>
              </w:rPr>
            </w:pPr>
            <w:r>
              <w:rPr>
                <w:rFonts w:ascii="Arial" w:cs="Arial" w:eastAsia="Arial" w:hAnsi="Arial"/>
                <w:sz w:val="9"/>
                <w:szCs w:val="9"/>
                <w:color w:val="auto"/>
                <w:w w:val="72"/>
              </w:rPr>
              <w:t>(a)</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0.23</w:t>
            </w:r>
          </w:p>
        </w:tc>
        <w:tc>
          <w:tcPr>
            <w:tcW w:w="180" w:type="dxa"/>
            <w:vAlign w:val="bottom"/>
          </w:tcPr>
          <w:p>
            <w:pPr>
              <w:jc w:val="right"/>
              <w:ind w:right="15"/>
              <w:spacing w:after="0"/>
              <w:rPr>
                <w:sz w:val="20"/>
                <w:szCs w:val="20"/>
                <w:color w:val="auto"/>
              </w:rPr>
            </w:pPr>
            <w:r>
              <w:rPr>
                <w:rFonts w:ascii="Arial" w:cs="Arial" w:eastAsia="Arial" w:hAnsi="Arial"/>
                <w:sz w:val="9"/>
                <w:szCs w:val="9"/>
                <w:color w:val="auto"/>
                <w:w w:val="90"/>
              </w:rPr>
              <w:t>(b)</w:t>
            </w:r>
          </w:p>
        </w:tc>
        <w:tc>
          <w:tcPr>
            <w:tcW w:w="880" w:type="dxa"/>
            <w:vAlign w:val="bottom"/>
            <w:vMerge w:val="restart"/>
          </w:tcPr>
          <w:p>
            <w:pPr>
              <w:jc w:val="right"/>
              <w:ind w:right="19"/>
              <w:spacing w:after="0"/>
              <w:rPr>
                <w:sz w:val="20"/>
                <w:szCs w:val="20"/>
                <w:color w:val="auto"/>
              </w:rPr>
            </w:pPr>
            <w:r>
              <w:rPr>
                <w:rFonts w:ascii="Arial" w:cs="Arial" w:eastAsia="Arial" w:hAnsi="Arial"/>
                <w:sz w:val="16"/>
                <w:szCs w:val="16"/>
                <w:color w:val="auto"/>
              </w:rPr>
              <w:t>60.9 %</w:t>
            </w:r>
          </w:p>
        </w:tc>
        <w:tc>
          <w:tcPr>
            <w:tcW w:w="800" w:type="dxa"/>
            <w:vAlign w:val="bottom"/>
            <w:vMerge w:val="restart"/>
          </w:tcPr>
          <w:p>
            <w:pPr>
              <w:jc w:val="right"/>
              <w:ind w:right="18"/>
              <w:spacing w:after="0"/>
              <w:rPr>
                <w:sz w:val="20"/>
                <w:szCs w:val="20"/>
                <w:color w:val="auto"/>
              </w:rPr>
            </w:pPr>
            <w:r>
              <w:rPr>
                <w:rFonts w:ascii="Arial" w:cs="Arial" w:eastAsia="Arial" w:hAnsi="Arial"/>
                <w:sz w:val="16"/>
                <w:szCs w:val="16"/>
                <w:color w:val="auto"/>
              </w:rPr>
              <w:t>50.0 %</w:t>
            </w:r>
          </w:p>
        </w:tc>
        <w:tc>
          <w:tcPr>
            <w:tcW w:w="0" w:type="dxa"/>
            <w:vAlign w:val="bottom"/>
          </w:tcPr>
          <w:p>
            <w:pPr>
              <w:spacing w:after="0"/>
              <w:rPr>
                <w:sz w:val="1"/>
                <w:szCs w:val="1"/>
                <w:color w:val="auto"/>
              </w:rPr>
            </w:pPr>
          </w:p>
        </w:tc>
      </w:tr>
      <w:tr>
        <w:trPr>
          <w:trHeight w:val="129"/>
        </w:trPr>
        <w:tc>
          <w:tcPr>
            <w:tcW w:w="1640" w:type="dxa"/>
            <w:vAlign w:val="bottom"/>
          </w:tcPr>
          <w:p>
            <w:pPr>
              <w:spacing w:after="0"/>
              <w:rPr>
                <w:sz w:val="20"/>
                <w:szCs w:val="20"/>
                <w:color w:val="auto"/>
              </w:rPr>
            </w:pPr>
            <w:r>
              <w:rPr>
                <w:rFonts w:ascii="Arial" w:cs="Arial" w:eastAsia="Arial" w:hAnsi="Arial"/>
                <w:sz w:val="9"/>
                <w:szCs w:val="9"/>
                <w:color w:val="auto"/>
              </w:rPr>
              <w:t>(3)(4)</w:t>
            </w:r>
          </w:p>
        </w:tc>
        <w:tc>
          <w:tcPr>
            <w:tcW w:w="14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083566"/>
        </w:rPr>
        <w:t>Lee Olesky, CEO of Tradeweb Markets:</w:t>
      </w:r>
    </w:p>
    <w:p>
      <w:pPr>
        <w:spacing w:after="0" w:line="62" w:lineRule="exact"/>
        <w:rPr>
          <w:sz w:val="20"/>
          <w:szCs w:val="20"/>
          <w:color w:val="auto"/>
        </w:rPr>
      </w:pPr>
    </w:p>
    <w:p>
      <w:pPr>
        <w:jc w:val="both"/>
        <w:ind w:right="60"/>
        <w:spacing w:after="0" w:line="315" w:lineRule="auto"/>
        <w:rPr>
          <w:sz w:val="20"/>
          <w:szCs w:val="20"/>
          <w:color w:val="auto"/>
        </w:rPr>
      </w:pPr>
      <w:r>
        <w:rPr>
          <w:rFonts w:ascii="Arial" w:cs="Arial" w:eastAsia="Arial" w:hAnsi="Arial"/>
          <w:sz w:val="18"/>
          <w:szCs w:val="18"/>
          <w:color w:val="083566"/>
        </w:rPr>
        <w:t>“As the human and economic impact of COVID-19 continues to be felt around the world, we remain focused on keeping our people safe, helping our clients find liquidity, and discovering new ways for markets to operate more efficiently. We see the long-term trend towards more electronic markets accelerating, which is reflected in both client behavior and record trading volumes. Our clients are interacting with Tradeweb in new ways, expanding their use of tools like portfolio trading and net-spotting, and demonstrating greater confidence in electronic trading and digital workflows. For many, and we hear this all the time, there’s simply no going back to the old way of doing things.”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FFFFFF"/>
        </w:rPr>
        <w:t xml:space="preserve">ADV </w:t>
      </w:r>
      <w:r>
        <w:rPr>
          <w:rFonts w:ascii="Arial" w:cs="Arial" w:eastAsia="Arial" w:hAnsi="Arial"/>
          <w:sz w:val="16"/>
          <w:szCs w:val="16"/>
          <w:color w:val="FFFFFF"/>
        </w:rPr>
        <w:t>(US $bn)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-107315</wp:posOffset>
            </wp:positionV>
            <wp:extent cx="2794635" cy="445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94635" cy="445770"/>
                    </a:xfrm>
                    <a:prstGeom prst="rect">
                      <a:avLst/>
                    </a:prstGeom>
                    <a:noFill/>
                  </pic:spPr>
                </pic:pic>
              </a:graphicData>
            </a:graphic>
          </wp:anchor>
        </w:drawing>
      </w:r>
    </w:p>
    <w:p>
      <w:pPr>
        <w:spacing w:after="0" w:line="6" w:lineRule="exact"/>
        <w:rPr>
          <w:sz w:val="20"/>
          <w:szCs w:val="20"/>
          <w:color w:val="auto"/>
        </w:rPr>
      </w:pPr>
    </w:p>
    <w:p>
      <w:pPr>
        <w:ind w:left="180"/>
        <w:spacing w:after="0"/>
        <w:rPr>
          <w:sz w:val="20"/>
          <w:szCs w:val="20"/>
          <w:color w:val="auto"/>
        </w:rPr>
      </w:pPr>
      <w:r>
        <w:rPr>
          <w:rFonts w:ascii="Arial" w:cs="Arial" w:eastAsia="Arial" w:hAnsi="Arial"/>
          <w:sz w:val="16"/>
          <w:szCs w:val="16"/>
          <w:color w:val="FFFFFF"/>
        </w:rPr>
        <w:t>(Unaudited)</w:t>
      </w:r>
    </w:p>
    <w:p>
      <w:pPr>
        <w:spacing w:after="0" w:line="39" w:lineRule="exact"/>
        <w:rPr>
          <w:sz w:val="20"/>
          <w:szCs w:val="20"/>
          <w:color w:val="auto"/>
        </w:rPr>
      </w:pPr>
    </w:p>
    <w:tbl>
      <w:tblPr>
        <w:tblLayout w:type="fixed"/>
        <w:tblInd w:w="80" w:type="dxa"/>
        <w:tblCellMar>
          <w:top w:w="0" w:type="dxa"/>
          <w:left w:w="0" w:type="dxa"/>
          <w:bottom w:w="0" w:type="dxa"/>
          <w:right w:w="0" w:type="dxa"/>
        </w:tblCellMar>
      </w:tblPr>
      <w:tr>
        <w:trPr>
          <w:trHeight w:val="263"/>
        </w:trPr>
        <w:tc>
          <w:tcPr>
            <w:tcW w:w="1640" w:type="dxa"/>
            <w:vAlign w:val="bottom"/>
          </w:tcPr>
          <w:p>
            <w:pPr>
              <w:ind w:left="100"/>
              <w:spacing w:after="0"/>
              <w:rPr>
                <w:sz w:val="20"/>
                <w:szCs w:val="20"/>
                <w:color w:val="auto"/>
              </w:rPr>
            </w:pPr>
            <w:r>
              <w:rPr>
                <w:rFonts w:ascii="Arial" w:cs="Arial" w:eastAsia="Arial" w:hAnsi="Arial"/>
                <w:sz w:val="16"/>
                <w:szCs w:val="16"/>
                <w:b w:val="1"/>
                <w:bCs w:val="1"/>
                <w:color w:val="FFFFFF"/>
              </w:rPr>
              <w:t>Asset Class</w:t>
            </w:r>
          </w:p>
        </w:tc>
        <w:tc>
          <w:tcPr>
            <w:tcW w:w="860" w:type="dxa"/>
            <w:vAlign w:val="bottom"/>
          </w:tcPr>
          <w:p>
            <w:pPr>
              <w:ind w:left="120"/>
              <w:spacing w:after="0"/>
              <w:rPr>
                <w:sz w:val="20"/>
                <w:szCs w:val="20"/>
                <w:color w:val="auto"/>
              </w:rPr>
            </w:pPr>
            <w:r>
              <w:rPr>
                <w:rFonts w:ascii="Arial" w:cs="Arial" w:eastAsia="Arial" w:hAnsi="Arial"/>
                <w:sz w:val="16"/>
                <w:szCs w:val="16"/>
                <w:b w:val="1"/>
                <w:bCs w:val="1"/>
                <w:color w:val="FFFFFF"/>
              </w:rPr>
              <w:t>Product</w:t>
            </w:r>
          </w:p>
        </w:tc>
        <w:tc>
          <w:tcPr>
            <w:tcW w:w="740" w:type="dxa"/>
            <w:vAlign w:val="bottom"/>
            <w:tcBorders>
              <w:bottom w:val="single" w:sz="8" w:color="083566"/>
            </w:tcBorders>
            <w:shd w:val="clear" w:color="auto" w:fill="083566"/>
          </w:tcPr>
          <w:p>
            <w:pPr>
              <w:jc w:val="right"/>
              <w:ind w:right="139"/>
              <w:spacing w:after="0"/>
              <w:rPr>
                <w:sz w:val="20"/>
                <w:szCs w:val="20"/>
                <w:color w:val="auto"/>
              </w:rPr>
            </w:pPr>
            <w:r>
              <w:rPr>
                <w:rFonts w:ascii="Arial" w:cs="Arial" w:eastAsia="Arial" w:hAnsi="Arial"/>
                <w:sz w:val="16"/>
                <w:szCs w:val="16"/>
                <w:b w:val="1"/>
                <w:bCs w:val="1"/>
                <w:color w:val="FFFFFF"/>
              </w:rPr>
              <w:t>1Q20</w:t>
            </w:r>
          </w:p>
        </w:tc>
        <w:tc>
          <w:tcPr>
            <w:tcW w:w="660" w:type="dxa"/>
            <w:vAlign w:val="bottom"/>
            <w:tcBorders>
              <w:bottom w:val="single" w:sz="8" w:color="083566"/>
            </w:tcBorders>
            <w:shd w:val="clear" w:color="auto" w:fill="083566"/>
          </w:tcPr>
          <w:p>
            <w:pPr>
              <w:jc w:val="right"/>
              <w:ind w:right="119"/>
              <w:spacing w:after="0"/>
              <w:rPr>
                <w:sz w:val="20"/>
                <w:szCs w:val="20"/>
                <w:color w:val="auto"/>
              </w:rPr>
            </w:pPr>
            <w:r>
              <w:rPr>
                <w:rFonts w:ascii="Arial" w:cs="Arial" w:eastAsia="Arial" w:hAnsi="Arial"/>
                <w:sz w:val="16"/>
                <w:szCs w:val="16"/>
                <w:b w:val="1"/>
                <w:bCs w:val="1"/>
                <w:color w:val="FFFFFF"/>
              </w:rPr>
              <w:t>1Q19</w:t>
            </w:r>
          </w:p>
        </w:tc>
        <w:tc>
          <w:tcPr>
            <w:tcW w:w="500" w:type="dxa"/>
            <w:vAlign w:val="bottom"/>
            <w:tcBorders>
              <w:bottom w:val="single" w:sz="8" w:color="083566"/>
            </w:tcBorders>
            <w:shd w:val="clear" w:color="auto" w:fill="083566"/>
          </w:tcPr>
          <w:p>
            <w:pPr>
              <w:jc w:val="right"/>
              <w:ind w:right="39"/>
              <w:spacing w:after="0"/>
              <w:rPr>
                <w:sz w:val="20"/>
                <w:szCs w:val="20"/>
                <w:color w:val="auto"/>
              </w:rPr>
            </w:pPr>
            <w:r>
              <w:rPr>
                <w:rFonts w:ascii="Arial" w:cs="Arial" w:eastAsia="Arial" w:hAnsi="Arial"/>
                <w:sz w:val="16"/>
                <w:szCs w:val="16"/>
                <w:b w:val="1"/>
                <w:bCs w:val="1"/>
                <w:color w:val="FFFFFF"/>
              </w:rPr>
              <w:t>YoY</w:t>
            </w:r>
          </w:p>
        </w:tc>
      </w:tr>
      <w:tr>
        <w:trPr>
          <w:trHeight w:val="193"/>
        </w:trPr>
        <w:tc>
          <w:tcPr>
            <w:tcW w:w="1640" w:type="dxa"/>
            <w:vAlign w:val="bottom"/>
          </w:tcPr>
          <w:p>
            <w:pPr>
              <w:ind w:left="100"/>
              <w:spacing w:after="0"/>
              <w:rPr>
                <w:sz w:val="20"/>
                <w:szCs w:val="20"/>
                <w:color w:val="auto"/>
              </w:rPr>
            </w:pPr>
            <w:r>
              <w:rPr>
                <w:rFonts w:ascii="Arial" w:cs="Arial" w:eastAsia="Arial" w:hAnsi="Arial"/>
                <w:sz w:val="16"/>
                <w:szCs w:val="16"/>
                <w:color w:val="auto"/>
              </w:rPr>
              <w:t>Rates</w:t>
            </w:r>
          </w:p>
        </w:tc>
        <w:tc>
          <w:tcPr>
            <w:tcW w:w="860" w:type="dxa"/>
            <w:vAlign w:val="bottom"/>
          </w:tcPr>
          <w:p>
            <w:pPr>
              <w:ind w:left="120"/>
              <w:spacing w:after="0"/>
              <w:rPr>
                <w:sz w:val="20"/>
                <w:szCs w:val="20"/>
                <w:color w:val="auto"/>
              </w:rPr>
            </w:pPr>
            <w:r>
              <w:rPr>
                <w:rFonts w:ascii="Arial" w:cs="Arial" w:eastAsia="Arial" w:hAnsi="Arial"/>
                <w:sz w:val="16"/>
                <w:szCs w:val="16"/>
                <w:color w:val="auto"/>
              </w:rPr>
              <w:t>Cash</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342</w:t>
            </w:r>
          </w:p>
        </w:tc>
        <w:tc>
          <w:tcPr>
            <w:tcW w:w="660" w:type="dxa"/>
            <w:vAlign w:val="bottom"/>
          </w:tcPr>
          <w:p>
            <w:pPr>
              <w:jc w:val="right"/>
              <w:spacing w:after="0"/>
              <w:rPr>
                <w:sz w:val="20"/>
                <w:szCs w:val="20"/>
                <w:color w:val="auto"/>
              </w:rPr>
            </w:pPr>
            <w:r>
              <w:rPr>
                <w:rFonts w:ascii="Arial" w:cs="Arial" w:eastAsia="Arial" w:hAnsi="Arial"/>
                <w:sz w:val="16"/>
                <w:szCs w:val="16"/>
                <w:color w:val="auto"/>
              </w:rPr>
              <w:t>275</w:t>
            </w:r>
          </w:p>
        </w:tc>
        <w:tc>
          <w:tcPr>
            <w:tcW w:w="5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09"/>
        </w:trPr>
        <w:tc>
          <w:tcPr>
            <w:tcW w:w="1640" w:type="dxa"/>
            <w:vAlign w:val="bottom"/>
          </w:tcPr>
          <w:p>
            <w:pPr>
              <w:spacing w:after="0"/>
              <w:rPr>
                <w:sz w:val="18"/>
                <w:szCs w:val="18"/>
                <w:color w:val="auto"/>
              </w:rPr>
            </w:pPr>
          </w:p>
        </w:tc>
        <w:tc>
          <w:tcPr>
            <w:tcW w:w="860" w:type="dxa"/>
            <w:vAlign w:val="bottom"/>
          </w:tcPr>
          <w:p>
            <w:pPr>
              <w:ind w:left="120"/>
              <w:spacing w:after="0"/>
              <w:rPr>
                <w:sz w:val="20"/>
                <w:szCs w:val="20"/>
                <w:color w:val="auto"/>
              </w:rPr>
            </w:pPr>
            <w:r>
              <w:rPr>
                <w:rFonts w:ascii="Arial" w:cs="Arial" w:eastAsia="Arial" w:hAnsi="Arial"/>
                <w:sz w:val="16"/>
                <w:szCs w:val="16"/>
                <w:color w:val="auto"/>
                <w:w w:val="90"/>
              </w:rPr>
              <w:t>Derivatives</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249</w:t>
            </w:r>
          </w:p>
        </w:tc>
        <w:tc>
          <w:tcPr>
            <w:tcW w:w="660" w:type="dxa"/>
            <w:vAlign w:val="bottom"/>
          </w:tcPr>
          <w:p>
            <w:pPr>
              <w:jc w:val="right"/>
              <w:spacing w:after="0"/>
              <w:rPr>
                <w:sz w:val="20"/>
                <w:szCs w:val="20"/>
                <w:color w:val="auto"/>
              </w:rPr>
            </w:pPr>
            <w:r>
              <w:rPr>
                <w:rFonts w:ascii="Arial" w:cs="Arial" w:eastAsia="Arial" w:hAnsi="Arial"/>
                <w:sz w:val="16"/>
                <w:szCs w:val="16"/>
                <w:color w:val="auto"/>
              </w:rPr>
              <w:t>154</w:t>
            </w:r>
          </w:p>
        </w:tc>
        <w:tc>
          <w:tcPr>
            <w:tcW w:w="50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12"/>
        </w:trPr>
        <w:tc>
          <w:tcPr>
            <w:tcW w:w="1640" w:type="dxa"/>
            <w:vAlign w:val="bottom"/>
            <w:tcBorders>
              <w:bottom w:val="single" w:sz="8" w:color="083566"/>
            </w:tcBorders>
          </w:tcPr>
          <w:p>
            <w:pPr>
              <w:spacing w:after="0"/>
              <w:rPr>
                <w:sz w:val="18"/>
                <w:szCs w:val="18"/>
                <w:color w:val="auto"/>
              </w:rPr>
            </w:pPr>
          </w:p>
        </w:tc>
        <w:tc>
          <w:tcPr>
            <w:tcW w:w="860" w:type="dxa"/>
            <w:vAlign w:val="bottom"/>
            <w:tcBorders>
              <w:bottom w:val="single" w:sz="8" w:color="083566"/>
            </w:tcBorders>
            <w:shd w:val="clear" w:color="auto" w:fill="D5DCE4"/>
          </w:tcPr>
          <w:p>
            <w:pPr>
              <w:ind w:left="120"/>
              <w:spacing w:after="0"/>
              <w:rPr>
                <w:sz w:val="20"/>
                <w:szCs w:val="20"/>
                <w:color w:val="auto"/>
              </w:rPr>
            </w:pPr>
            <w:r>
              <w:rPr>
                <w:rFonts w:ascii="Arial" w:cs="Arial" w:eastAsia="Arial" w:hAnsi="Arial"/>
                <w:sz w:val="16"/>
                <w:szCs w:val="16"/>
                <w:color w:val="auto"/>
              </w:rPr>
              <w:t>Total</w:t>
            </w:r>
          </w:p>
        </w:tc>
        <w:tc>
          <w:tcPr>
            <w:tcW w:w="740" w:type="dxa"/>
            <w:vAlign w:val="bottom"/>
            <w:tcBorders>
              <w:bottom w:val="single" w:sz="8" w:color="083566"/>
            </w:tcBorders>
            <w:shd w:val="clear" w:color="auto" w:fill="D5DCE4"/>
          </w:tcPr>
          <w:p>
            <w:pPr>
              <w:jc w:val="right"/>
              <w:ind w:right="19"/>
              <w:spacing w:after="0"/>
              <w:rPr>
                <w:sz w:val="20"/>
                <w:szCs w:val="20"/>
                <w:color w:val="auto"/>
              </w:rPr>
            </w:pPr>
            <w:r>
              <w:rPr>
                <w:rFonts w:ascii="Arial" w:cs="Arial" w:eastAsia="Arial" w:hAnsi="Arial"/>
                <w:sz w:val="16"/>
                <w:szCs w:val="16"/>
                <w:color w:val="auto"/>
              </w:rPr>
              <w:t>591</w:t>
            </w:r>
          </w:p>
        </w:tc>
        <w:tc>
          <w:tcPr>
            <w:tcW w:w="66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429</w:t>
            </w:r>
          </w:p>
        </w:tc>
        <w:tc>
          <w:tcPr>
            <w:tcW w:w="50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38%</w:t>
            </w:r>
          </w:p>
        </w:tc>
      </w:tr>
      <w:tr>
        <w:trPr>
          <w:trHeight w:val="193"/>
        </w:trPr>
        <w:tc>
          <w:tcPr>
            <w:tcW w:w="1640" w:type="dxa"/>
            <w:vAlign w:val="bottom"/>
          </w:tcPr>
          <w:p>
            <w:pPr>
              <w:ind w:left="100"/>
              <w:spacing w:after="0"/>
              <w:rPr>
                <w:sz w:val="20"/>
                <w:szCs w:val="20"/>
                <w:color w:val="auto"/>
              </w:rPr>
            </w:pPr>
            <w:r>
              <w:rPr>
                <w:rFonts w:ascii="Arial" w:cs="Arial" w:eastAsia="Arial" w:hAnsi="Arial"/>
                <w:sz w:val="16"/>
                <w:szCs w:val="16"/>
                <w:color w:val="auto"/>
              </w:rPr>
              <w:t>Credit</w:t>
            </w:r>
          </w:p>
        </w:tc>
        <w:tc>
          <w:tcPr>
            <w:tcW w:w="860" w:type="dxa"/>
            <w:vAlign w:val="bottom"/>
          </w:tcPr>
          <w:p>
            <w:pPr>
              <w:ind w:left="120"/>
              <w:spacing w:after="0"/>
              <w:rPr>
                <w:sz w:val="20"/>
                <w:szCs w:val="20"/>
                <w:color w:val="auto"/>
              </w:rPr>
            </w:pPr>
            <w:r>
              <w:rPr>
                <w:rFonts w:ascii="Arial" w:cs="Arial" w:eastAsia="Arial" w:hAnsi="Arial"/>
                <w:sz w:val="16"/>
                <w:szCs w:val="16"/>
                <w:color w:val="auto"/>
              </w:rPr>
              <w:t>Cash</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660" w:type="dxa"/>
            <w:vAlign w:val="bottom"/>
          </w:tcPr>
          <w:p>
            <w:pPr>
              <w:jc w:val="right"/>
              <w:spacing w:after="0"/>
              <w:rPr>
                <w:sz w:val="20"/>
                <w:szCs w:val="20"/>
                <w:color w:val="auto"/>
              </w:rPr>
            </w:pPr>
            <w:r>
              <w:rPr>
                <w:rFonts w:ascii="Arial" w:cs="Arial" w:eastAsia="Arial" w:hAnsi="Arial"/>
                <w:sz w:val="16"/>
                <w:szCs w:val="16"/>
                <w:color w:val="auto"/>
              </w:rPr>
              <w:t>6</w:t>
            </w:r>
          </w:p>
        </w:tc>
        <w:tc>
          <w:tcPr>
            <w:tcW w:w="5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09"/>
        </w:trPr>
        <w:tc>
          <w:tcPr>
            <w:tcW w:w="1640" w:type="dxa"/>
            <w:vAlign w:val="bottom"/>
          </w:tcPr>
          <w:p>
            <w:pPr>
              <w:spacing w:after="0"/>
              <w:rPr>
                <w:sz w:val="18"/>
                <w:szCs w:val="18"/>
                <w:color w:val="auto"/>
              </w:rPr>
            </w:pPr>
          </w:p>
        </w:tc>
        <w:tc>
          <w:tcPr>
            <w:tcW w:w="860" w:type="dxa"/>
            <w:vAlign w:val="bottom"/>
          </w:tcPr>
          <w:p>
            <w:pPr>
              <w:ind w:left="120"/>
              <w:spacing w:after="0"/>
              <w:rPr>
                <w:sz w:val="20"/>
                <w:szCs w:val="20"/>
                <w:color w:val="auto"/>
              </w:rPr>
            </w:pPr>
            <w:r>
              <w:rPr>
                <w:rFonts w:ascii="Arial" w:cs="Arial" w:eastAsia="Arial" w:hAnsi="Arial"/>
                <w:sz w:val="16"/>
                <w:szCs w:val="16"/>
                <w:color w:val="auto"/>
                <w:w w:val="90"/>
              </w:rPr>
              <w:t>Derivatives</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660" w:type="dxa"/>
            <w:vAlign w:val="bottom"/>
          </w:tcPr>
          <w:p>
            <w:pPr>
              <w:jc w:val="right"/>
              <w:spacing w:after="0"/>
              <w:rPr>
                <w:sz w:val="20"/>
                <w:szCs w:val="20"/>
                <w:color w:val="auto"/>
              </w:rPr>
            </w:pPr>
            <w:r>
              <w:rPr>
                <w:rFonts w:ascii="Arial" w:cs="Arial" w:eastAsia="Arial" w:hAnsi="Arial"/>
                <w:sz w:val="16"/>
                <w:szCs w:val="16"/>
                <w:color w:val="auto"/>
              </w:rPr>
              <w:t>11</w:t>
            </w:r>
          </w:p>
        </w:tc>
        <w:tc>
          <w:tcPr>
            <w:tcW w:w="500" w:type="dxa"/>
            <w:vAlign w:val="bottom"/>
          </w:tcPr>
          <w:p>
            <w:pPr>
              <w:jc w:val="right"/>
              <w:spacing w:after="0"/>
              <w:rPr>
                <w:sz w:val="20"/>
                <w:szCs w:val="20"/>
                <w:color w:val="auto"/>
              </w:rPr>
            </w:pPr>
            <w:r>
              <w:rPr>
                <w:rFonts w:ascii="Arial" w:cs="Arial" w:eastAsia="Arial" w:hAnsi="Arial"/>
                <w:sz w:val="16"/>
                <w:szCs w:val="16"/>
                <w:color w:val="auto"/>
              </w:rPr>
              <w:t>139%</w:t>
            </w:r>
          </w:p>
        </w:tc>
      </w:tr>
      <w:tr>
        <w:trPr>
          <w:trHeight w:val="213"/>
        </w:trPr>
        <w:tc>
          <w:tcPr>
            <w:tcW w:w="1640" w:type="dxa"/>
            <w:vAlign w:val="bottom"/>
            <w:tcBorders>
              <w:bottom w:val="single" w:sz="8" w:color="083566"/>
            </w:tcBorders>
          </w:tcPr>
          <w:p>
            <w:pPr>
              <w:spacing w:after="0"/>
              <w:rPr>
                <w:sz w:val="18"/>
                <w:szCs w:val="18"/>
                <w:color w:val="auto"/>
              </w:rPr>
            </w:pPr>
          </w:p>
        </w:tc>
        <w:tc>
          <w:tcPr>
            <w:tcW w:w="860" w:type="dxa"/>
            <w:vAlign w:val="bottom"/>
            <w:tcBorders>
              <w:bottom w:val="single" w:sz="8" w:color="083566"/>
            </w:tcBorders>
            <w:shd w:val="clear" w:color="auto" w:fill="D5DCE4"/>
          </w:tcPr>
          <w:p>
            <w:pPr>
              <w:ind w:left="120"/>
              <w:spacing w:after="0"/>
              <w:rPr>
                <w:sz w:val="20"/>
                <w:szCs w:val="20"/>
                <w:color w:val="auto"/>
              </w:rPr>
            </w:pPr>
            <w:r>
              <w:rPr>
                <w:rFonts w:ascii="Arial" w:cs="Arial" w:eastAsia="Arial" w:hAnsi="Arial"/>
                <w:sz w:val="16"/>
                <w:szCs w:val="16"/>
                <w:color w:val="auto"/>
              </w:rPr>
              <w:t>Total</w:t>
            </w:r>
          </w:p>
        </w:tc>
        <w:tc>
          <w:tcPr>
            <w:tcW w:w="740" w:type="dxa"/>
            <w:vAlign w:val="bottom"/>
            <w:tcBorders>
              <w:bottom w:val="single" w:sz="8" w:color="083566"/>
            </w:tcBorders>
            <w:shd w:val="clear" w:color="auto" w:fill="D5DCE4"/>
          </w:tcPr>
          <w:p>
            <w:pPr>
              <w:jc w:val="right"/>
              <w:ind w:right="19"/>
              <w:spacing w:after="0"/>
              <w:rPr>
                <w:sz w:val="20"/>
                <w:szCs w:val="20"/>
                <w:color w:val="auto"/>
              </w:rPr>
            </w:pPr>
            <w:r>
              <w:rPr>
                <w:rFonts w:ascii="Arial" w:cs="Arial" w:eastAsia="Arial" w:hAnsi="Arial"/>
                <w:sz w:val="16"/>
                <w:szCs w:val="16"/>
                <w:color w:val="auto"/>
              </w:rPr>
              <w:t>33</w:t>
            </w:r>
          </w:p>
        </w:tc>
        <w:tc>
          <w:tcPr>
            <w:tcW w:w="66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16</w:t>
            </w:r>
          </w:p>
        </w:tc>
        <w:tc>
          <w:tcPr>
            <w:tcW w:w="50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101%</w:t>
            </w:r>
          </w:p>
        </w:tc>
      </w:tr>
      <w:tr>
        <w:trPr>
          <w:trHeight w:val="203"/>
        </w:trPr>
        <w:tc>
          <w:tcPr>
            <w:tcW w:w="1640" w:type="dxa"/>
            <w:vAlign w:val="bottom"/>
          </w:tcPr>
          <w:p>
            <w:pPr>
              <w:ind w:left="100"/>
              <w:spacing w:after="0"/>
              <w:rPr>
                <w:sz w:val="20"/>
                <w:szCs w:val="20"/>
                <w:color w:val="auto"/>
              </w:rPr>
            </w:pPr>
            <w:r>
              <w:rPr>
                <w:rFonts w:ascii="Arial" w:cs="Arial" w:eastAsia="Arial" w:hAnsi="Arial"/>
                <w:sz w:val="16"/>
                <w:szCs w:val="16"/>
                <w:color w:val="auto"/>
              </w:rPr>
              <w:t>Money Markets</w:t>
            </w:r>
          </w:p>
        </w:tc>
        <w:tc>
          <w:tcPr>
            <w:tcW w:w="860" w:type="dxa"/>
            <w:vAlign w:val="bottom"/>
          </w:tcPr>
          <w:p>
            <w:pPr>
              <w:ind w:left="120"/>
              <w:spacing w:after="0"/>
              <w:rPr>
                <w:sz w:val="20"/>
                <w:szCs w:val="20"/>
                <w:color w:val="auto"/>
              </w:rPr>
            </w:pPr>
            <w:r>
              <w:rPr>
                <w:rFonts w:ascii="Arial" w:cs="Arial" w:eastAsia="Arial" w:hAnsi="Arial"/>
                <w:sz w:val="16"/>
                <w:szCs w:val="16"/>
                <w:color w:val="auto"/>
              </w:rPr>
              <w:t>Cash</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256</w:t>
            </w:r>
          </w:p>
        </w:tc>
        <w:tc>
          <w:tcPr>
            <w:tcW w:w="660" w:type="dxa"/>
            <w:vAlign w:val="bottom"/>
          </w:tcPr>
          <w:p>
            <w:pPr>
              <w:jc w:val="right"/>
              <w:spacing w:after="0"/>
              <w:rPr>
                <w:sz w:val="20"/>
                <w:szCs w:val="20"/>
                <w:color w:val="auto"/>
              </w:rPr>
            </w:pPr>
            <w:r>
              <w:rPr>
                <w:rFonts w:ascii="Arial" w:cs="Arial" w:eastAsia="Arial" w:hAnsi="Arial"/>
                <w:sz w:val="16"/>
                <w:szCs w:val="16"/>
                <w:color w:val="auto"/>
              </w:rPr>
              <w:t>192</w:t>
            </w:r>
          </w:p>
        </w:tc>
        <w:tc>
          <w:tcPr>
            <w:tcW w:w="5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385"/>
        </w:trPr>
        <w:tc>
          <w:tcPr>
            <w:tcW w:w="1640" w:type="dxa"/>
            <w:vAlign w:val="bottom"/>
          </w:tcPr>
          <w:p>
            <w:pPr>
              <w:spacing w:after="0"/>
              <w:rPr>
                <w:sz w:val="24"/>
                <w:szCs w:val="24"/>
                <w:color w:val="auto"/>
              </w:rPr>
            </w:pPr>
          </w:p>
        </w:tc>
        <w:tc>
          <w:tcPr>
            <w:tcW w:w="860" w:type="dxa"/>
            <w:vAlign w:val="bottom"/>
            <w:shd w:val="clear" w:color="auto" w:fill="D5DCE4"/>
          </w:tcPr>
          <w:p>
            <w:pPr>
              <w:ind w:left="120"/>
              <w:spacing w:after="0"/>
              <w:rPr>
                <w:sz w:val="20"/>
                <w:szCs w:val="20"/>
                <w:color w:val="auto"/>
              </w:rPr>
            </w:pPr>
            <w:r>
              <w:rPr>
                <w:rFonts w:ascii="Arial" w:cs="Arial" w:eastAsia="Arial" w:hAnsi="Arial"/>
                <w:sz w:val="16"/>
                <w:szCs w:val="16"/>
                <w:color w:val="auto"/>
              </w:rPr>
              <w:t>Total</w:t>
            </w:r>
          </w:p>
        </w:tc>
        <w:tc>
          <w:tcPr>
            <w:tcW w:w="740" w:type="dxa"/>
            <w:vAlign w:val="bottom"/>
            <w:shd w:val="clear" w:color="auto" w:fill="D5DCE4"/>
          </w:tcPr>
          <w:p>
            <w:pPr>
              <w:jc w:val="right"/>
              <w:ind w:right="19"/>
              <w:spacing w:after="0"/>
              <w:rPr>
                <w:sz w:val="20"/>
                <w:szCs w:val="20"/>
                <w:color w:val="auto"/>
              </w:rPr>
            </w:pPr>
            <w:r>
              <w:rPr>
                <w:rFonts w:ascii="Arial" w:cs="Arial" w:eastAsia="Arial" w:hAnsi="Arial"/>
                <w:sz w:val="16"/>
                <w:szCs w:val="16"/>
                <w:color w:val="auto"/>
              </w:rPr>
              <w:t>256</w:t>
            </w:r>
          </w:p>
        </w:tc>
        <w:tc>
          <w:tcPr>
            <w:tcW w:w="6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192</w:t>
            </w:r>
          </w:p>
        </w:tc>
        <w:tc>
          <w:tcPr>
            <w:tcW w:w="5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33%</w:t>
            </w:r>
          </w:p>
        </w:tc>
      </w:tr>
      <w:tr>
        <w:trPr>
          <w:trHeight w:val="215"/>
        </w:trPr>
        <w:tc>
          <w:tcPr>
            <w:tcW w:w="1640" w:type="dxa"/>
            <w:vAlign w:val="bottom"/>
            <w:tcBorders>
              <w:bottom w:val="single" w:sz="8" w:color="083566"/>
            </w:tcBorders>
          </w:tcPr>
          <w:p>
            <w:pPr>
              <w:spacing w:after="0"/>
              <w:rPr>
                <w:sz w:val="18"/>
                <w:szCs w:val="18"/>
                <w:color w:val="auto"/>
              </w:rPr>
            </w:pPr>
          </w:p>
        </w:tc>
        <w:tc>
          <w:tcPr>
            <w:tcW w:w="860" w:type="dxa"/>
            <w:vAlign w:val="bottom"/>
            <w:tcBorders>
              <w:bottom w:val="single" w:sz="8" w:color="083566"/>
            </w:tcBorders>
            <w:shd w:val="clear" w:color="auto" w:fill="D5DCE4"/>
          </w:tcPr>
          <w:p>
            <w:pPr>
              <w:spacing w:after="0"/>
              <w:rPr>
                <w:sz w:val="18"/>
                <w:szCs w:val="18"/>
                <w:color w:val="auto"/>
              </w:rPr>
            </w:pPr>
          </w:p>
        </w:tc>
        <w:tc>
          <w:tcPr>
            <w:tcW w:w="740" w:type="dxa"/>
            <w:vAlign w:val="bottom"/>
            <w:tcBorders>
              <w:bottom w:val="single" w:sz="8" w:color="083566"/>
            </w:tcBorders>
            <w:shd w:val="clear" w:color="auto" w:fill="D5DCE4"/>
          </w:tcPr>
          <w:p>
            <w:pPr>
              <w:spacing w:after="0"/>
              <w:rPr>
                <w:sz w:val="18"/>
                <w:szCs w:val="18"/>
                <w:color w:val="auto"/>
              </w:rPr>
            </w:pPr>
          </w:p>
        </w:tc>
        <w:tc>
          <w:tcPr>
            <w:tcW w:w="660" w:type="dxa"/>
            <w:vAlign w:val="bottom"/>
            <w:tcBorders>
              <w:bottom w:val="single" w:sz="8" w:color="083566"/>
            </w:tcBorders>
            <w:shd w:val="clear" w:color="auto" w:fill="D5DCE4"/>
          </w:tcPr>
          <w:p>
            <w:pPr>
              <w:spacing w:after="0"/>
              <w:rPr>
                <w:sz w:val="18"/>
                <w:szCs w:val="18"/>
                <w:color w:val="auto"/>
              </w:rPr>
            </w:pPr>
          </w:p>
        </w:tc>
        <w:tc>
          <w:tcPr>
            <w:tcW w:w="500" w:type="dxa"/>
            <w:vAlign w:val="bottom"/>
            <w:tcBorders>
              <w:bottom w:val="single" w:sz="8" w:color="083566"/>
            </w:tcBorders>
            <w:shd w:val="clear" w:color="auto" w:fill="D5DCE4"/>
          </w:tcPr>
          <w:p>
            <w:pPr>
              <w:spacing w:after="0"/>
              <w:rPr>
                <w:sz w:val="18"/>
                <w:szCs w:val="18"/>
                <w:color w:val="auto"/>
              </w:rPr>
            </w:pPr>
          </w:p>
        </w:tc>
      </w:tr>
      <w:tr>
        <w:trPr>
          <w:trHeight w:val="193"/>
        </w:trPr>
        <w:tc>
          <w:tcPr>
            <w:tcW w:w="1640" w:type="dxa"/>
            <w:vAlign w:val="bottom"/>
          </w:tcPr>
          <w:p>
            <w:pPr>
              <w:ind w:left="100"/>
              <w:spacing w:after="0"/>
              <w:rPr>
                <w:sz w:val="20"/>
                <w:szCs w:val="20"/>
                <w:color w:val="auto"/>
              </w:rPr>
            </w:pPr>
            <w:r>
              <w:rPr>
                <w:rFonts w:ascii="Arial" w:cs="Arial" w:eastAsia="Arial" w:hAnsi="Arial"/>
                <w:sz w:val="16"/>
                <w:szCs w:val="16"/>
                <w:color w:val="auto"/>
              </w:rPr>
              <w:t>Equities</w:t>
            </w:r>
          </w:p>
        </w:tc>
        <w:tc>
          <w:tcPr>
            <w:tcW w:w="860" w:type="dxa"/>
            <w:vAlign w:val="bottom"/>
          </w:tcPr>
          <w:p>
            <w:pPr>
              <w:ind w:left="120"/>
              <w:spacing w:after="0"/>
              <w:rPr>
                <w:sz w:val="20"/>
                <w:szCs w:val="20"/>
                <w:color w:val="auto"/>
              </w:rPr>
            </w:pPr>
            <w:r>
              <w:rPr>
                <w:rFonts w:ascii="Arial" w:cs="Arial" w:eastAsia="Arial" w:hAnsi="Arial"/>
                <w:sz w:val="16"/>
                <w:szCs w:val="16"/>
                <w:color w:val="auto"/>
              </w:rPr>
              <w:t>Cash</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660" w:type="dxa"/>
            <w:vAlign w:val="bottom"/>
          </w:tcPr>
          <w:p>
            <w:pPr>
              <w:jc w:val="right"/>
              <w:spacing w:after="0"/>
              <w:rPr>
                <w:sz w:val="20"/>
                <w:szCs w:val="20"/>
                <w:color w:val="auto"/>
              </w:rPr>
            </w:pPr>
            <w:r>
              <w:rPr>
                <w:rFonts w:ascii="Arial" w:cs="Arial" w:eastAsia="Arial" w:hAnsi="Arial"/>
                <w:sz w:val="16"/>
                <w:szCs w:val="16"/>
                <w:color w:val="auto"/>
              </w:rPr>
              <w:t>4</w:t>
            </w:r>
          </w:p>
        </w:tc>
        <w:tc>
          <w:tcPr>
            <w:tcW w:w="50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09"/>
        </w:trPr>
        <w:tc>
          <w:tcPr>
            <w:tcW w:w="1640" w:type="dxa"/>
            <w:vAlign w:val="bottom"/>
          </w:tcPr>
          <w:p>
            <w:pPr>
              <w:spacing w:after="0"/>
              <w:rPr>
                <w:sz w:val="18"/>
                <w:szCs w:val="18"/>
                <w:color w:val="auto"/>
              </w:rPr>
            </w:pPr>
          </w:p>
        </w:tc>
        <w:tc>
          <w:tcPr>
            <w:tcW w:w="860" w:type="dxa"/>
            <w:vAlign w:val="bottom"/>
          </w:tcPr>
          <w:p>
            <w:pPr>
              <w:ind w:left="120"/>
              <w:spacing w:after="0"/>
              <w:rPr>
                <w:sz w:val="20"/>
                <w:szCs w:val="20"/>
                <w:color w:val="auto"/>
              </w:rPr>
            </w:pPr>
            <w:r>
              <w:rPr>
                <w:rFonts w:ascii="Arial" w:cs="Arial" w:eastAsia="Arial" w:hAnsi="Arial"/>
                <w:sz w:val="16"/>
                <w:szCs w:val="16"/>
                <w:color w:val="auto"/>
                <w:w w:val="90"/>
              </w:rPr>
              <w:t>Derivatives</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660" w:type="dxa"/>
            <w:vAlign w:val="bottom"/>
          </w:tcPr>
          <w:p>
            <w:pPr>
              <w:jc w:val="right"/>
              <w:spacing w:after="0"/>
              <w:rPr>
                <w:sz w:val="20"/>
                <w:szCs w:val="20"/>
                <w:color w:val="auto"/>
              </w:rPr>
            </w:pPr>
            <w:r>
              <w:rPr>
                <w:rFonts w:ascii="Arial" w:cs="Arial" w:eastAsia="Arial" w:hAnsi="Arial"/>
                <w:sz w:val="16"/>
                <w:szCs w:val="16"/>
                <w:color w:val="auto"/>
              </w:rPr>
              <w:t>3</w:t>
            </w:r>
          </w:p>
        </w:tc>
        <w:tc>
          <w:tcPr>
            <w:tcW w:w="500" w:type="dxa"/>
            <w:vAlign w:val="bottom"/>
          </w:tcPr>
          <w:p>
            <w:pPr>
              <w:jc w:val="right"/>
              <w:spacing w:after="0"/>
              <w:rPr>
                <w:sz w:val="20"/>
                <w:szCs w:val="20"/>
                <w:color w:val="auto"/>
              </w:rPr>
            </w:pPr>
            <w:r>
              <w:rPr>
                <w:rFonts w:ascii="Arial" w:cs="Arial" w:eastAsia="Arial" w:hAnsi="Arial"/>
                <w:sz w:val="16"/>
                <w:szCs w:val="16"/>
                <w:color w:val="auto"/>
              </w:rPr>
              <w:t>161%</w:t>
            </w:r>
          </w:p>
        </w:tc>
      </w:tr>
      <w:tr>
        <w:trPr>
          <w:trHeight w:val="213"/>
        </w:trPr>
        <w:tc>
          <w:tcPr>
            <w:tcW w:w="1640" w:type="dxa"/>
            <w:vAlign w:val="bottom"/>
            <w:tcBorders>
              <w:bottom w:val="single" w:sz="8" w:color="083566"/>
            </w:tcBorders>
          </w:tcPr>
          <w:p>
            <w:pPr>
              <w:spacing w:after="0"/>
              <w:rPr>
                <w:sz w:val="18"/>
                <w:szCs w:val="18"/>
                <w:color w:val="auto"/>
              </w:rPr>
            </w:pPr>
          </w:p>
        </w:tc>
        <w:tc>
          <w:tcPr>
            <w:tcW w:w="860" w:type="dxa"/>
            <w:vAlign w:val="bottom"/>
            <w:tcBorders>
              <w:bottom w:val="single" w:sz="8" w:color="083566"/>
            </w:tcBorders>
            <w:shd w:val="clear" w:color="auto" w:fill="D5DCE4"/>
          </w:tcPr>
          <w:p>
            <w:pPr>
              <w:ind w:left="120"/>
              <w:spacing w:after="0"/>
              <w:rPr>
                <w:sz w:val="20"/>
                <w:szCs w:val="20"/>
                <w:color w:val="auto"/>
              </w:rPr>
            </w:pPr>
            <w:r>
              <w:rPr>
                <w:rFonts w:ascii="Arial" w:cs="Arial" w:eastAsia="Arial" w:hAnsi="Arial"/>
                <w:sz w:val="16"/>
                <w:szCs w:val="16"/>
                <w:color w:val="auto"/>
              </w:rPr>
              <w:t>Total</w:t>
            </w:r>
          </w:p>
        </w:tc>
        <w:tc>
          <w:tcPr>
            <w:tcW w:w="740" w:type="dxa"/>
            <w:vAlign w:val="bottom"/>
            <w:tcBorders>
              <w:bottom w:val="single" w:sz="8" w:color="083566"/>
            </w:tcBorders>
            <w:shd w:val="clear" w:color="auto" w:fill="D5DCE4"/>
          </w:tcPr>
          <w:p>
            <w:pPr>
              <w:jc w:val="right"/>
              <w:ind w:right="19"/>
              <w:spacing w:after="0"/>
              <w:rPr>
                <w:sz w:val="20"/>
                <w:szCs w:val="20"/>
                <w:color w:val="auto"/>
              </w:rPr>
            </w:pPr>
            <w:r>
              <w:rPr>
                <w:rFonts w:ascii="Arial" w:cs="Arial" w:eastAsia="Arial" w:hAnsi="Arial"/>
                <w:sz w:val="16"/>
                <w:szCs w:val="16"/>
                <w:color w:val="auto"/>
              </w:rPr>
              <w:t>18</w:t>
            </w:r>
          </w:p>
        </w:tc>
        <w:tc>
          <w:tcPr>
            <w:tcW w:w="66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8</w:t>
            </w:r>
          </w:p>
        </w:tc>
        <w:tc>
          <w:tcPr>
            <w:tcW w:w="50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129%</w:t>
            </w:r>
          </w:p>
        </w:tc>
      </w:tr>
      <w:tr>
        <w:trPr>
          <w:trHeight w:val="291"/>
        </w:trPr>
        <w:tc>
          <w:tcPr>
            <w:tcW w:w="1640" w:type="dxa"/>
            <w:vAlign w:val="bottom"/>
          </w:tcPr>
          <w:p>
            <w:pPr>
              <w:spacing w:after="0"/>
              <w:rPr>
                <w:sz w:val="24"/>
                <w:szCs w:val="24"/>
                <w:color w:val="auto"/>
              </w:rPr>
            </w:pPr>
          </w:p>
        </w:tc>
        <w:tc>
          <w:tcPr>
            <w:tcW w:w="860" w:type="dxa"/>
            <w:vAlign w:val="bottom"/>
            <w:shd w:val="clear" w:color="auto" w:fill="D5DCE4"/>
          </w:tcPr>
          <w:p>
            <w:pPr>
              <w:ind w:left="120"/>
              <w:spacing w:after="0"/>
              <w:rPr>
                <w:sz w:val="20"/>
                <w:szCs w:val="20"/>
                <w:color w:val="auto"/>
              </w:rPr>
            </w:pPr>
            <w:r>
              <w:rPr>
                <w:rFonts w:ascii="Arial" w:cs="Arial" w:eastAsia="Arial" w:hAnsi="Arial"/>
                <w:sz w:val="16"/>
                <w:szCs w:val="16"/>
                <w:b w:val="1"/>
                <w:bCs w:val="1"/>
                <w:color w:val="auto"/>
              </w:rPr>
              <w:t>Total</w:t>
            </w:r>
          </w:p>
        </w:tc>
        <w:tc>
          <w:tcPr>
            <w:tcW w:w="740" w:type="dxa"/>
            <w:vAlign w:val="bottom"/>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898</w:t>
            </w:r>
          </w:p>
        </w:tc>
        <w:tc>
          <w:tcPr>
            <w:tcW w:w="6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646</w:t>
            </w:r>
          </w:p>
        </w:tc>
        <w:tc>
          <w:tcPr>
            <w:tcW w:w="5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39%</w:t>
            </w:r>
          </w:p>
        </w:tc>
      </w:tr>
      <w:tr>
        <w:trPr>
          <w:trHeight w:val="100"/>
        </w:trPr>
        <w:tc>
          <w:tcPr>
            <w:tcW w:w="1640" w:type="dxa"/>
            <w:vAlign w:val="bottom"/>
          </w:tcPr>
          <w:p>
            <w:pPr>
              <w:spacing w:after="0"/>
              <w:rPr>
                <w:sz w:val="8"/>
                <w:szCs w:val="8"/>
                <w:color w:val="auto"/>
              </w:rPr>
            </w:pPr>
          </w:p>
        </w:tc>
        <w:tc>
          <w:tcPr>
            <w:tcW w:w="860" w:type="dxa"/>
            <w:vAlign w:val="bottom"/>
            <w:shd w:val="clear" w:color="auto" w:fill="D5DCE4"/>
          </w:tcPr>
          <w:p>
            <w:pPr>
              <w:spacing w:after="0"/>
              <w:rPr>
                <w:sz w:val="8"/>
                <w:szCs w:val="8"/>
                <w:color w:val="auto"/>
              </w:rPr>
            </w:pPr>
          </w:p>
        </w:tc>
        <w:tc>
          <w:tcPr>
            <w:tcW w:w="740" w:type="dxa"/>
            <w:vAlign w:val="bottom"/>
            <w:shd w:val="clear" w:color="auto" w:fill="D5DCE4"/>
          </w:tcPr>
          <w:p>
            <w:pPr>
              <w:spacing w:after="0"/>
              <w:rPr>
                <w:sz w:val="8"/>
                <w:szCs w:val="8"/>
                <w:color w:val="auto"/>
              </w:rPr>
            </w:pPr>
          </w:p>
        </w:tc>
        <w:tc>
          <w:tcPr>
            <w:tcW w:w="660" w:type="dxa"/>
            <w:vAlign w:val="bottom"/>
            <w:shd w:val="clear" w:color="auto" w:fill="D5DCE4"/>
          </w:tcPr>
          <w:p>
            <w:pPr>
              <w:spacing w:after="0"/>
              <w:rPr>
                <w:sz w:val="8"/>
                <w:szCs w:val="8"/>
                <w:color w:val="auto"/>
              </w:rPr>
            </w:pPr>
          </w:p>
        </w:tc>
        <w:tc>
          <w:tcPr>
            <w:tcW w:w="500" w:type="dxa"/>
            <w:vAlign w:val="bottom"/>
            <w:shd w:val="clear" w:color="auto" w:fill="D5DCE4"/>
          </w:tcPr>
          <w:p>
            <w:pPr>
              <w:spacing w:after="0"/>
              <w:rPr>
                <w:sz w:val="8"/>
                <w:szCs w:val="8"/>
                <w:color w:val="auto"/>
              </w:rPr>
            </w:pPr>
          </w:p>
        </w:tc>
      </w:tr>
    </w:tbl>
    <w:p>
      <w:pPr>
        <w:spacing w:after="0" w:line="1085" w:lineRule="exact"/>
        <w:rPr>
          <w:sz w:val="20"/>
          <w:szCs w:val="20"/>
          <w:color w:val="auto"/>
        </w:rPr>
      </w:pPr>
    </w:p>
    <w:p>
      <w:pPr>
        <w:sectPr>
          <w:pgSz w:w="11900" w:h="16838" w:orient="portrait"/>
          <w:cols w:equalWidth="0" w:num="2">
            <w:col w:w="4880" w:space="560"/>
            <w:col w:w="4480"/>
          </w:cols>
          <w:pgMar w:left="980" w:top="490" w:right="999" w:bottom="1440" w:gutter="0" w:footer="0" w:header="0"/>
          <w:type w:val="continuous"/>
        </w:sectPr>
      </w:pPr>
    </w:p>
    <w:p>
      <w:pPr>
        <w:spacing w:after="0" w:line="205" w:lineRule="exact"/>
        <w:rPr>
          <w:sz w:val="20"/>
          <w:szCs w:val="20"/>
          <w:color w:val="auto"/>
        </w:rPr>
      </w:pPr>
    </w:p>
    <w:p>
      <w:pPr>
        <w:ind w:left="340" w:right="240" w:hanging="331"/>
        <w:spacing w:after="0" w:line="216" w:lineRule="auto"/>
        <w:tabs>
          <w:tab w:leader="none" w:pos="338" w:val="left"/>
        </w:tabs>
        <w:numPr>
          <w:ilvl w:val="0"/>
          <w:numId w:val="2"/>
        </w:numPr>
        <w:rPr>
          <w:rFonts w:ascii="Arial" w:cs="Arial" w:eastAsia="Arial" w:hAnsi="Arial"/>
          <w:sz w:val="13"/>
          <w:szCs w:val="13"/>
          <w:color w:val="auto"/>
        </w:rPr>
      </w:pPr>
      <w:r>
        <w:rPr>
          <w:rFonts w:ascii="Arial" w:cs="Arial" w:eastAsia="Arial" w:hAnsi="Arial"/>
          <w:sz w:val="13"/>
          <w:szCs w:val="13"/>
          <w:color w:val="auto"/>
        </w:rPr>
        <w:t>Adjusted EBITDA, Adjusted EBITDA margin, Adjusted EBIT, Adjusted EBIT margin, Adjusted Net Income, Adjusted Diluted EPS and constant currency growth, are non-GAAP financial measures. See "Non-GAAP Financial Measures" below and the attached schedules for additional information and reconciliations of such non-GAAP financial measures.</w:t>
      </w:r>
    </w:p>
    <w:p>
      <w:pPr>
        <w:spacing w:after="0" w:line="1" w:lineRule="exact"/>
        <w:rPr>
          <w:rFonts w:ascii="Arial" w:cs="Arial" w:eastAsia="Arial" w:hAnsi="Arial"/>
          <w:sz w:val="13"/>
          <w:szCs w:val="13"/>
          <w:color w:val="auto"/>
        </w:rPr>
      </w:pPr>
    </w:p>
    <w:p>
      <w:pPr>
        <w:ind w:left="340" w:hanging="331"/>
        <w:spacing w:after="0" w:line="216"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Represents net income less net income attributable to non-controlling interests.</w:t>
      </w:r>
    </w:p>
    <w:p>
      <w:pPr>
        <w:ind w:left="340" w:hanging="331"/>
        <w:spacing w:after="0" w:line="216"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See note 1 to the Income Statement.</w:t>
      </w:r>
    </w:p>
    <w:p>
      <w:pPr>
        <w:ind w:left="660" w:hanging="327"/>
        <w:spacing w:after="0" w:line="216" w:lineRule="auto"/>
        <w:tabs>
          <w:tab w:leader="none" w:pos="660" w:val="left"/>
        </w:tabs>
        <w:numPr>
          <w:ilvl w:val="1"/>
          <w:numId w:val="2"/>
        </w:numPr>
        <w:rPr>
          <w:rFonts w:ascii="Arial" w:cs="Arial" w:eastAsia="Arial" w:hAnsi="Arial"/>
          <w:sz w:val="13"/>
          <w:szCs w:val="13"/>
          <w:color w:val="auto"/>
        </w:rPr>
      </w:pPr>
      <w:r>
        <w:rPr>
          <w:rFonts w:ascii="Arial" w:cs="Arial" w:eastAsia="Arial" w:hAnsi="Arial"/>
          <w:sz w:val="13"/>
          <w:szCs w:val="13"/>
          <w:color w:val="auto"/>
        </w:rPr>
        <w:t>Presents information for Tradeweb Markets Inc. (post-IPO period).</w:t>
      </w:r>
    </w:p>
    <w:p>
      <w:pPr>
        <w:ind w:left="660" w:hanging="327"/>
        <w:spacing w:after="0" w:line="216" w:lineRule="auto"/>
        <w:tabs>
          <w:tab w:leader="none" w:pos="660" w:val="left"/>
        </w:tabs>
        <w:numPr>
          <w:ilvl w:val="1"/>
          <w:numId w:val="2"/>
        </w:numPr>
        <w:rPr>
          <w:rFonts w:ascii="Arial" w:cs="Arial" w:eastAsia="Arial" w:hAnsi="Arial"/>
          <w:sz w:val="13"/>
          <w:szCs w:val="13"/>
          <w:color w:val="auto"/>
        </w:rPr>
      </w:pPr>
      <w:r>
        <w:rPr>
          <w:rFonts w:ascii="Arial" w:cs="Arial" w:eastAsia="Arial" w:hAnsi="Arial"/>
          <w:sz w:val="13"/>
          <w:szCs w:val="13"/>
          <w:color w:val="auto"/>
        </w:rPr>
        <w:t>Presents information for Tradeweb Markets LLC (pre-IPO period).</w:t>
      </w:r>
    </w:p>
    <w:p>
      <w:pPr>
        <w:ind w:left="340" w:hanging="331"/>
        <w:spacing w:after="0"/>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See note 7 to the Reconciliation of Net Income to Adjusted Net Income and Adjusted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474345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490" w:right="99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7"/>
          <w:szCs w:val="17"/>
          <w:b w:val="1"/>
          <w:bCs w:val="1"/>
          <w:color w:val="083566"/>
        </w:rPr>
        <w:t>DISCUSSION OF RESULTS</w:t>
      </w:r>
    </w:p>
    <w:p>
      <w:pPr>
        <w:spacing w:after="0" w:line="110"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b w:val="1"/>
          <w:bCs w:val="1"/>
          <w:color w:val="auto"/>
        </w:rPr>
        <w:t xml:space="preserve">Rates </w:t>
      </w:r>
      <w:r>
        <w:rPr>
          <w:rFonts w:ascii="Arial" w:cs="Arial" w:eastAsia="Arial" w:hAnsi="Arial"/>
          <w:sz w:val="16"/>
          <w:szCs w:val="16"/>
          <w:color w:val="auto"/>
        </w:rPr>
        <w:t>– Revenues from rates of $126.0 million in the first quarter of 2020 increased 21.1% compared to the first quarter of 2019 (21.9%</w:t>
      </w:r>
      <w:r>
        <w:rPr>
          <w:rFonts w:ascii="Arial" w:cs="Arial" w:eastAsia="Arial" w:hAnsi="Arial"/>
          <w:sz w:val="16"/>
          <w:szCs w:val="16"/>
          <w:b w:val="1"/>
          <w:bCs w:val="1"/>
          <w:color w:val="auto"/>
        </w:rPr>
        <w:t xml:space="preserve"> </w:t>
      </w:r>
      <w:r>
        <w:rPr>
          <w:rFonts w:ascii="Arial" w:cs="Arial" w:eastAsia="Arial" w:hAnsi="Arial"/>
          <w:sz w:val="16"/>
          <w:szCs w:val="16"/>
          <w:color w:val="auto"/>
        </w:rPr>
        <w:t>on a constant currency basis). ADV in rates of $590.8 billion for the first quarter of 2020 increased 37.6% due mainly to record trading volume in long-tenor interest rate swaps, mortgages, U.S. Treasuries and European Government bonds, as well as strong year-over-year growth in short-tenor interest rate swaps and swaptions.</w:t>
      </w:r>
    </w:p>
    <w:p>
      <w:pPr>
        <w:spacing w:after="0" w:line="56"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b w:val="1"/>
          <w:bCs w:val="1"/>
          <w:color w:val="auto"/>
        </w:rPr>
        <w:t xml:space="preserve">Credit </w:t>
      </w:r>
      <w:r>
        <w:rPr>
          <w:rFonts w:ascii="Arial" w:cs="Arial" w:eastAsia="Arial" w:hAnsi="Arial"/>
          <w:sz w:val="16"/>
          <w:szCs w:val="16"/>
          <w:color w:val="auto"/>
        </w:rPr>
        <w:t>– Revenues from credit of $54.0 million in the first quarter of 2020 increased 36.9% compared to the first quarter of 2019 (37.8%</w:t>
      </w:r>
      <w:r>
        <w:rPr>
          <w:rFonts w:ascii="Arial" w:cs="Arial" w:eastAsia="Arial" w:hAnsi="Arial"/>
          <w:sz w:val="16"/>
          <w:szCs w:val="16"/>
          <w:b w:val="1"/>
          <w:bCs w:val="1"/>
          <w:color w:val="auto"/>
        </w:rPr>
        <w:t xml:space="preserve"> </w:t>
      </w:r>
      <w:r>
        <w:rPr>
          <w:rFonts w:ascii="Arial" w:cs="Arial" w:eastAsia="Arial" w:hAnsi="Arial"/>
          <w:sz w:val="16"/>
          <w:szCs w:val="16"/>
          <w:color w:val="auto"/>
        </w:rPr>
        <w:t>on a constant currency basis). ADV in credit of $33.0 billion for the first quarter of 2020 increased 101.4% due mainly to record volume in European credit, U.S. high-grade, U.S. high-yield, and credit default swaps.</w:t>
      </w:r>
    </w:p>
    <w:p>
      <w:pPr>
        <w:spacing w:after="0" w:line="36"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b w:val="1"/>
          <w:bCs w:val="1"/>
          <w:color w:val="auto"/>
        </w:rPr>
        <w:t xml:space="preserve">Equities </w:t>
      </w:r>
      <w:r>
        <w:rPr>
          <w:rFonts w:ascii="Arial" w:cs="Arial" w:eastAsia="Arial" w:hAnsi="Arial"/>
          <w:sz w:val="16"/>
          <w:szCs w:val="16"/>
          <w:color w:val="auto"/>
        </w:rPr>
        <w:t>– Revenues from equities of $19.4 million in the first quarter of 2020 increased 64.7% compared to the first quarter of 2019</w:t>
      </w:r>
      <w:r>
        <w:rPr>
          <w:rFonts w:ascii="Arial" w:cs="Arial" w:eastAsia="Arial" w:hAnsi="Arial"/>
          <w:sz w:val="16"/>
          <w:szCs w:val="16"/>
          <w:b w:val="1"/>
          <w:bCs w:val="1"/>
          <w:color w:val="auto"/>
        </w:rPr>
        <w:t xml:space="preserve"> </w:t>
      </w:r>
      <w:r>
        <w:rPr>
          <w:rFonts w:ascii="Arial" w:cs="Arial" w:eastAsia="Arial" w:hAnsi="Arial"/>
          <w:sz w:val="16"/>
          <w:szCs w:val="16"/>
          <w:color w:val="auto"/>
        </w:rPr>
        <w:t>(66.2% on a constant currency basis). ADV in equities of $17.8 billion for the first quarter of 2020 increased 129.0% due mainly to record volume in U.S. ETFs, European ETFs, and equity derivatives.</w:t>
      </w:r>
    </w:p>
    <w:p>
      <w:pPr>
        <w:spacing w:after="0" w:line="50"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b w:val="1"/>
          <w:bCs w:val="1"/>
          <w:color w:val="auto"/>
        </w:rPr>
        <w:t xml:space="preserve">Money Markets </w:t>
      </w:r>
      <w:r>
        <w:rPr>
          <w:rFonts w:ascii="Arial" w:cs="Arial" w:eastAsia="Arial" w:hAnsi="Arial"/>
          <w:sz w:val="16"/>
          <w:szCs w:val="16"/>
          <w:color w:val="auto"/>
        </w:rPr>
        <w:t>– Revenues from money markets of $11.2 million in the first quarter of 2020 increased 17.2% compared to the first</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of 2019 (17.5% on a constant currency basis). ADV in money markets of $256.2 billion for the first quarter of 2020 rose 33.3% due to record volume in repurchase agreements.</w:t>
      </w:r>
    </w:p>
    <w:p>
      <w:pPr>
        <w:spacing w:after="0" w:line="50"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b w:val="1"/>
          <w:bCs w:val="1"/>
          <w:color w:val="auto"/>
        </w:rPr>
        <w:t xml:space="preserve">Market Data </w:t>
      </w:r>
      <w:r>
        <w:rPr>
          <w:rFonts w:ascii="Arial" w:cs="Arial" w:eastAsia="Arial" w:hAnsi="Arial"/>
          <w:sz w:val="16"/>
          <w:szCs w:val="16"/>
          <w:color w:val="auto"/>
        </w:rPr>
        <w:t>– Revenues from market data of $18.6 million in the first quarter of 2020 increased 9.8% compared to the first quarter of</w:t>
      </w:r>
      <w:r>
        <w:rPr>
          <w:rFonts w:ascii="Arial" w:cs="Arial" w:eastAsia="Arial" w:hAnsi="Arial"/>
          <w:sz w:val="16"/>
          <w:szCs w:val="16"/>
          <w:b w:val="1"/>
          <w:bCs w:val="1"/>
          <w:color w:val="auto"/>
        </w:rPr>
        <w:t xml:space="preserve"> </w:t>
      </w:r>
      <w:r>
        <w:rPr>
          <w:rFonts w:ascii="Arial" w:cs="Arial" w:eastAsia="Arial" w:hAnsi="Arial"/>
          <w:sz w:val="16"/>
          <w:szCs w:val="16"/>
          <w:color w:val="auto"/>
        </w:rPr>
        <w:t>2019 (10.1% on a constant currency basis) due to delivery of additional data under our market data license agreement with Refinitiv.</w:t>
      </w:r>
    </w:p>
    <w:p>
      <w:pPr>
        <w:spacing w:after="0" w:line="21"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 Revenues from other of $5.4 million in the first quarter of 2020 increased 7.6% compared to the first quarter of 2019 (7.6% on a</w:t>
      </w:r>
      <w:r>
        <w:rPr>
          <w:rFonts w:ascii="Arial" w:cs="Arial" w:eastAsia="Arial" w:hAnsi="Arial"/>
          <w:sz w:val="16"/>
          <w:szCs w:val="16"/>
          <w:b w:val="1"/>
          <w:bCs w:val="1"/>
          <w:color w:val="auto"/>
        </w:rPr>
        <w:t xml:space="preserve"> </w:t>
      </w:r>
      <w:r>
        <w:rPr>
          <w:rFonts w:ascii="Arial" w:cs="Arial" w:eastAsia="Arial" w:hAnsi="Arial"/>
          <w:sz w:val="16"/>
          <w:szCs w:val="16"/>
          <w:color w:val="auto"/>
        </w:rPr>
        <w:t>constant currency basis).</w:t>
      </w:r>
    </w:p>
    <w:p>
      <w:pPr>
        <w:spacing w:after="0" w:line="3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b w:val="1"/>
          <w:bCs w:val="1"/>
          <w:color w:val="auto"/>
        </w:rPr>
        <w:t xml:space="preserve">Operating Expenses </w:t>
      </w:r>
      <w:r>
        <w:rPr>
          <w:rFonts w:ascii="Arial" w:cs="Arial" w:eastAsia="Arial" w:hAnsi="Arial"/>
          <w:sz w:val="16"/>
          <w:szCs w:val="16"/>
          <w:color w:val="auto"/>
        </w:rPr>
        <w:t>– Operating expenses of $157.0 million in the first quarter of 2020 increased 11.7% compared to the first quarter of</w:t>
      </w:r>
      <w:r>
        <w:rPr>
          <w:rFonts w:ascii="Arial" w:cs="Arial" w:eastAsia="Arial" w:hAnsi="Arial"/>
          <w:sz w:val="16"/>
          <w:szCs w:val="16"/>
          <w:b w:val="1"/>
          <w:bCs w:val="1"/>
          <w:color w:val="auto"/>
        </w:rPr>
        <w:t xml:space="preserve"> </w:t>
      </w:r>
      <w:r>
        <w:rPr>
          <w:rFonts w:ascii="Arial" w:cs="Arial" w:eastAsia="Arial" w:hAnsi="Arial"/>
          <w:sz w:val="16"/>
          <w:szCs w:val="16"/>
          <w:color w:val="auto"/>
        </w:rPr>
        <w:t>2019 due to higher employee compensation expenses, including $3.5 million related to non-cash stock-based compensation expense and payroll taxes, which were related to the Special Option Award and post-IPO options awarded in 2019. Excluding these options and related payroll taxes, certain depreciation and amortization expenses, as well as gains and losses, Adjusted Expenses were $125.9 million in the first quarter of 2020. Adjusted Expenses increased 7.8% year over year due primarily to increased employee compensation and benefits expenses associated with performance-related compensation. Please see "Non-GAAP Financial Measures" below for additional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083566"/>
        </w:rPr>
        <w:t>CAPITAL MANAGEMENT</w:t>
      </w:r>
    </w:p>
    <w:p>
      <w:pPr>
        <w:spacing w:after="0" w:line="116" w:lineRule="exact"/>
        <w:rPr>
          <w:sz w:val="20"/>
          <w:szCs w:val="20"/>
          <w:color w:val="auto"/>
        </w:rPr>
      </w:pPr>
    </w:p>
    <w:p>
      <w:pPr>
        <w:ind w:left="660" w:hanging="327"/>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$424.4 million in unrestricted cash and cash equivalents and a fully undrawn $500 million credit facility at March 31st, 2020</w:t>
      </w:r>
    </w:p>
    <w:p>
      <w:pPr>
        <w:spacing w:after="0" w:line="194" w:lineRule="exact"/>
        <w:rPr>
          <w:rFonts w:ascii="Arial" w:cs="Arial" w:eastAsia="Arial" w:hAnsi="Arial"/>
          <w:sz w:val="16"/>
          <w:szCs w:val="16"/>
          <w:color w:val="auto"/>
        </w:rPr>
      </w:pPr>
    </w:p>
    <w:p>
      <w:pPr>
        <w:ind w:left="660" w:hanging="327"/>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Capex &amp; Cap software: $8.4 million</w:t>
      </w:r>
    </w:p>
    <w:p>
      <w:pPr>
        <w:spacing w:after="0" w:line="194" w:lineRule="exact"/>
        <w:rPr>
          <w:rFonts w:ascii="Arial" w:cs="Arial" w:eastAsia="Arial" w:hAnsi="Arial"/>
          <w:sz w:val="16"/>
          <w:szCs w:val="16"/>
          <w:color w:val="auto"/>
        </w:rPr>
      </w:pPr>
    </w:p>
    <w:p>
      <w:pPr>
        <w:ind w:left="660" w:hanging="327"/>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Free cash flow for trailing twelve months of $265.8 million. See "Non-GAAP Financial Measures" below for additional information.</w:t>
      </w:r>
    </w:p>
    <w:p>
      <w:pPr>
        <w:spacing w:after="0" w:line="194" w:lineRule="exact"/>
        <w:rPr>
          <w:rFonts w:ascii="Arial" w:cs="Arial" w:eastAsia="Arial" w:hAnsi="Arial"/>
          <w:sz w:val="16"/>
          <w:szCs w:val="16"/>
          <w:color w:val="auto"/>
        </w:rPr>
      </w:pPr>
    </w:p>
    <w:p>
      <w:pPr>
        <w:ind w:left="660" w:hanging="327"/>
        <w:spacing w:after="0" w:line="260"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Board of Directors of Tradeweb Markets Inc. declared a quarterly cash dividend of $0.08 per share of Class A common stock and Class B common stock. The dividend will be payable on June 15, 2020 to stockholders of record as of June 1, 2020.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083566"/>
        </w:rPr>
        <w:t>OTHER MATTERS</w:t>
      </w:r>
    </w:p>
    <w:p>
      <w:pPr>
        <w:spacing w:after="0" w:line="110" w:lineRule="exact"/>
        <w:rPr>
          <w:sz w:val="20"/>
          <w:szCs w:val="20"/>
          <w:color w:val="auto"/>
        </w:rPr>
      </w:pPr>
    </w:p>
    <w:p>
      <w:pPr>
        <w:spacing w:after="0" w:line="256" w:lineRule="auto"/>
        <w:rPr>
          <w:sz w:val="20"/>
          <w:szCs w:val="20"/>
          <w:color w:val="auto"/>
        </w:rPr>
      </w:pPr>
      <w:r>
        <w:rPr>
          <w:rFonts w:ascii="Arial" w:cs="Arial" w:eastAsia="Arial" w:hAnsi="Arial"/>
          <w:sz w:val="16"/>
          <w:szCs w:val="16"/>
          <w:b w:val="1"/>
          <w:bCs w:val="1"/>
          <w:color w:val="auto"/>
        </w:rPr>
        <w:t xml:space="preserve">Follow-On Offering – </w:t>
      </w:r>
      <w:r>
        <w:rPr>
          <w:rFonts w:ascii="Arial" w:cs="Arial" w:eastAsia="Arial" w:hAnsi="Arial"/>
          <w:sz w:val="16"/>
          <w:szCs w:val="16"/>
          <w:color w:val="auto"/>
        </w:rPr>
        <w:t>On April 27, 2020, Tradeweb Markets Inc. completed a follow-on offering of 12,835,245 shares of Class A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at a price to the public of $50.25 per share, which includes the full exercise of the underwriters’ option to purchase an additional 1,674,162 shares. Tradeweb Markets Inc. used the proceeds of $626.3 million from the offering, net of underwriting discounts and commissions, but before estimated offering expenses, to purchase equity interests from certain existing owners. Refinitiv continues to own a controlling interest in Tradeweb following the offering.</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Full-Year 2020 Guidance*</w:t>
      </w:r>
    </w:p>
    <w:p>
      <w:pPr>
        <w:spacing w:after="0" w:line="25" w:lineRule="exact"/>
        <w:rPr>
          <w:sz w:val="20"/>
          <w:szCs w:val="20"/>
          <w:color w:val="auto"/>
        </w:rPr>
      </w:pPr>
    </w:p>
    <w:p>
      <w:pPr>
        <w:ind w:left="660" w:hanging="327"/>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Adjusted Expenses: $495 - $510 million</w:t>
      </w:r>
    </w:p>
    <w:p>
      <w:pPr>
        <w:spacing w:after="0" w:line="9" w:lineRule="exact"/>
        <w:rPr>
          <w:sz w:val="20"/>
          <w:szCs w:val="20"/>
          <w:color w:val="auto"/>
        </w:rPr>
      </w:pPr>
    </w:p>
    <w:p>
      <w:pPr>
        <w:ind w:left="1300" w:hanging="319"/>
        <w:spacing w:after="0"/>
        <w:tabs>
          <w:tab w:leader="none" w:pos="1300" w:val="left"/>
        </w:tabs>
        <w:numPr>
          <w:ilvl w:val="1"/>
          <w:numId w:val="5"/>
        </w:numPr>
        <w:rPr>
          <w:rFonts w:ascii="Courier New" w:cs="Courier New" w:eastAsia="Courier New" w:hAnsi="Courier New"/>
          <w:sz w:val="16"/>
          <w:szCs w:val="16"/>
          <w:color w:val="auto"/>
        </w:rPr>
      </w:pPr>
      <w:r>
        <w:rPr>
          <w:rFonts w:ascii="Arial" w:cs="Arial" w:eastAsia="Arial" w:hAnsi="Arial"/>
          <w:sz w:val="16"/>
          <w:szCs w:val="16"/>
          <w:color w:val="auto"/>
        </w:rPr>
        <w:t>Includes ~$5 million of new investments primarily in data strategy and cybersecurity</w:t>
      </w:r>
    </w:p>
    <w:p>
      <w:pPr>
        <w:ind w:left="1300" w:hanging="319"/>
        <w:spacing w:after="0" w:line="228" w:lineRule="auto"/>
        <w:tabs>
          <w:tab w:leader="none" w:pos="1300" w:val="left"/>
        </w:tabs>
        <w:numPr>
          <w:ilvl w:val="1"/>
          <w:numId w:val="5"/>
        </w:numPr>
        <w:rPr>
          <w:rFonts w:ascii="Courier New" w:cs="Courier New" w:eastAsia="Courier New" w:hAnsi="Courier New"/>
          <w:sz w:val="16"/>
          <w:szCs w:val="16"/>
          <w:color w:val="auto"/>
        </w:rPr>
      </w:pPr>
      <w:r>
        <w:rPr>
          <w:rFonts w:ascii="Arial" w:cs="Arial" w:eastAsia="Arial" w:hAnsi="Arial"/>
          <w:sz w:val="16"/>
          <w:szCs w:val="16"/>
          <w:color w:val="auto"/>
        </w:rPr>
        <w:t>Includes ~$3 million of duplicative rent expense</w:t>
      </w:r>
    </w:p>
    <w:p>
      <w:pPr>
        <w:ind w:left="1300" w:hanging="319"/>
        <w:spacing w:after="0" w:line="228" w:lineRule="auto"/>
        <w:tabs>
          <w:tab w:leader="none" w:pos="1300" w:val="left"/>
        </w:tabs>
        <w:numPr>
          <w:ilvl w:val="1"/>
          <w:numId w:val="5"/>
        </w:numPr>
        <w:rPr>
          <w:rFonts w:ascii="Courier New" w:cs="Courier New" w:eastAsia="Courier New" w:hAnsi="Courier New"/>
          <w:sz w:val="16"/>
          <w:szCs w:val="16"/>
          <w:color w:val="auto"/>
        </w:rPr>
      </w:pPr>
      <w:r>
        <w:rPr>
          <w:rFonts w:ascii="Arial" w:cs="Arial" w:eastAsia="Arial" w:hAnsi="Arial"/>
          <w:sz w:val="16"/>
          <w:szCs w:val="16"/>
          <w:color w:val="auto"/>
        </w:rPr>
        <w:t>Includes ~$10 - 11 million of G&amp;A per quarter excluding the impact of FX</w:t>
      </w:r>
    </w:p>
    <w:p>
      <w:pPr>
        <w:ind w:left="660" w:hanging="327"/>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Acquisition and Refinitiv Transaction related depreciation and amortization expense: $110 million</w:t>
      </w:r>
    </w:p>
    <w:p>
      <w:pPr>
        <w:spacing w:after="0" w:line="18" w:lineRule="exact"/>
        <w:rPr>
          <w:rFonts w:ascii="Arial" w:cs="Arial" w:eastAsia="Arial" w:hAnsi="Arial"/>
          <w:sz w:val="16"/>
          <w:szCs w:val="16"/>
          <w:color w:val="auto"/>
        </w:rPr>
      </w:pPr>
    </w:p>
    <w:p>
      <w:pPr>
        <w:ind w:left="660" w:hanging="327"/>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Assumed non-GAAP tax rate: 22.0%</w:t>
      </w:r>
    </w:p>
    <w:p>
      <w:pPr>
        <w:spacing w:after="0" w:line="18" w:lineRule="exact"/>
        <w:rPr>
          <w:rFonts w:ascii="Arial" w:cs="Arial" w:eastAsia="Arial" w:hAnsi="Arial"/>
          <w:sz w:val="16"/>
          <w:szCs w:val="16"/>
          <w:color w:val="auto"/>
        </w:rPr>
      </w:pPr>
    </w:p>
    <w:p>
      <w:pPr>
        <w:ind w:left="660" w:hanging="327"/>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Capital expenditures and capitalization of software: $45 - $50 million</w:t>
      </w:r>
    </w:p>
    <w:p>
      <w:pPr>
        <w:spacing w:after="0" w:line="250" w:lineRule="exact"/>
        <w:rPr>
          <w:sz w:val="20"/>
          <w:szCs w:val="20"/>
          <w:color w:val="auto"/>
        </w:rPr>
      </w:pPr>
    </w:p>
    <w:p>
      <w:pPr>
        <w:ind w:left="340" w:right="380"/>
        <w:spacing w:after="0" w:line="279" w:lineRule="auto"/>
        <w:rPr>
          <w:sz w:val="20"/>
          <w:szCs w:val="20"/>
          <w:color w:val="auto"/>
        </w:rPr>
      </w:pPr>
      <w:r>
        <w:rPr>
          <w:rFonts w:ascii="Arial" w:cs="Arial" w:eastAsia="Arial" w:hAnsi="Arial"/>
          <w:sz w:val="14"/>
          <w:szCs w:val="14"/>
          <w:i w:val="1"/>
          <w:iCs w:val="1"/>
          <w:color w:val="auto"/>
        </w:rPr>
        <w:t>*GAAP operating expenses and tax rate guidance are not provided due to the inherent difficulty in quantifying certain amounts due to a variety of factors including the unpredictability in the movement of foreign currency rates.</w:t>
      </w:r>
    </w:p>
    <w:p>
      <w:pPr>
        <w:spacing w:after="0" w:line="174" w:lineRule="exact"/>
        <w:rPr>
          <w:sz w:val="20"/>
          <w:szCs w:val="20"/>
          <w:color w:val="auto"/>
        </w:rPr>
      </w:pPr>
    </w:p>
    <w:p>
      <w:pPr>
        <w:ind w:left="9200"/>
        <w:spacing w:after="0"/>
        <w:rPr>
          <w:sz w:val="20"/>
          <w:szCs w:val="20"/>
          <w:color w:val="auto"/>
        </w:rPr>
      </w:pPr>
      <w:r>
        <w:rPr>
          <w:rFonts w:ascii="Arial" w:cs="Arial" w:eastAsia="Arial" w:hAnsi="Arial"/>
          <w:sz w:val="18"/>
          <w:szCs w:val="18"/>
          <w:color w:val="auto"/>
        </w:rPr>
        <w:t>Page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316" w:right="101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083566"/>
        </w:rPr>
        <w:t>CONFERENCE CALL</w:t>
      </w:r>
    </w:p>
    <w:p>
      <w:pPr>
        <w:spacing w:after="0" w:line="130"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 xml:space="preserve">Tradeweb Markets will hold a conference call to discuss first quarter 2020 results starting at 8:30 a.m. Eastern Time today, May 7, 2020. A live, audio webcast of the conference call along with related materials will be available at </w:t>
      </w:r>
      <w:r>
        <w:rPr>
          <w:rFonts w:ascii="Arial" w:cs="Arial" w:eastAsia="Arial" w:hAnsi="Arial"/>
          <w:sz w:val="16"/>
          <w:szCs w:val="16"/>
          <w:u w:val="single" w:color="auto"/>
          <w:color w:val="055FC1"/>
        </w:rPr>
        <w:t>http://investors.tradeweb.com</w:t>
      </w:r>
      <w:r>
        <w:rPr>
          <w:rFonts w:ascii="Arial" w:cs="Arial" w:eastAsia="Arial" w:hAnsi="Arial"/>
          <w:sz w:val="16"/>
          <w:szCs w:val="16"/>
          <w:color w:val="auto"/>
        </w:rPr>
        <w:t xml:space="preserve">. Alternatively, interested parties can access the call by dialing 866-221-1629 (U.S.) or +1 470-495-9175 (international) and entering passcode 6925059. After the conference call, an archived recording will be available at </w:t>
      </w:r>
      <w:r>
        <w:rPr>
          <w:rFonts w:ascii="Arial" w:cs="Arial" w:eastAsia="Arial" w:hAnsi="Arial"/>
          <w:sz w:val="16"/>
          <w:szCs w:val="16"/>
          <w:u w:val="single" w:color="auto"/>
          <w:color w:val="055FC1"/>
        </w:rPr>
        <w:t>http://investors.tradeweb.com</w:t>
      </w:r>
      <w:r>
        <w:rPr>
          <w:rFonts w:ascii="Arial" w:cs="Arial" w:eastAsia="Arial" w:hAnsi="Arial"/>
          <w:sz w:val="16"/>
          <w:szCs w:val="16"/>
          <w:color w:val="auto"/>
        </w:rPr>
        <w:t>.</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083566"/>
        </w:rPr>
        <w:t>ABOUT TRADEWEB MARKETS</w:t>
      </w:r>
    </w:p>
    <w:p>
      <w:pPr>
        <w:spacing w:after="0" w:line="130"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 xml:space="preserve">Tradeweb Markets Inc. (Nasdaq: TW) is a leading, global operator of electronic marketplaces for rates, credit, equities and money markets. Founded in 1996, Tradeweb provides access to markets, data and analytics, electronic trading, straight-through-processing and reporting for more than 40 products to clients in the institutional, wholesale and retail markets. Advanced technologies developed by Tradeweb enhance price discovery, order execution and trade workflows while allowing for greater scale and helping to reduce risks in client trading operations. Tradeweb serves approximately 2,500 clients in more than 65 countries. On average, Tradeweb facilitated more than $780 billion in notional value traded per day over the past four fiscal quarters. For more information, please go to </w:t>
      </w:r>
      <w:r>
        <w:rPr>
          <w:rFonts w:ascii="Arial" w:cs="Arial" w:eastAsia="Arial" w:hAnsi="Arial"/>
          <w:sz w:val="16"/>
          <w:szCs w:val="16"/>
          <w:u w:val="single" w:color="auto"/>
          <w:color w:val="055FC1"/>
        </w:rPr>
        <w:t>www.tradeweb.com</w:t>
      </w:r>
      <w:r>
        <w:rPr>
          <w:rFonts w:ascii="Arial" w:cs="Arial" w:eastAsia="Arial" w:hAnsi="Arial"/>
          <w:sz w:val="16"/>
          <w:szCs w:val="16"/>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083566"/>
        </w:rPr>
        <w:t>TRADEWEB MARKETS INC.</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083566"/>
        </w:rPr>
        <w:t>INCOME STATEMENT (UNAUDITED)</w:t>
      </w:r>
    </w:p>
    <w:p>
      <w:pPr>
        <w:spacing w:after="0"/>
        <w:rPr>
          <w:sz w:val="20"/>
          <w:szCs w:val="20"/>
          <w:color w:val="auto"/>
        </w:rPr>
      </w:pPr>
      <w:r>
        <w:rPr>
          <w:rFonts w:ascii="Arial" w:cs="Arial" w:eastAsia="Arial" w:hAnsi="Arial"/>
          <w:sz w:val="17"/>
          <w:szCs w:val="17"/>
          <w:b w:val="1"/>
          <w:bCs w:val="1"/>
          <w:color w:val="083566"/>
        </w:rPr>
        <w:t>Dollars in Thousands, Except Per Share Data</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jc w:val="right"/>
              <w:ind w:right="239"/>
              <w:spacing w:after="0"/>
              <w:rPr>
                <w:sz w:val="20"/>
                <w:szCs w:val="20"/>
                <w:color w:val="auto"/>
              </w:rPr>
            </w:pPr>
            <w:r>
              <w:rPr>
                <w:rFonts w:ascii="Arial" w:cs="Arial" w:eastAsia="Arial" w:hAnsi="Arial"/>
                <w:sz w:val="16"/>
                <w:szCs w:val="16"/>
                <w:b w:val="1"/>
                <w:bCs w:val="1"/>
                <w:color w:val="auto"/>
                <w:w w:val="98"/>
              </w:rPr>
              <w:t>Three Months Ended</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jc w:val="right"/>
              <w:ind w:right="239"/>
              <w:spacing w:after="0"/>
              <w:rPr>
                <w:sz w:val="20"/>
                <w:szCs w:val="20"/>
                <w:color w:val="auto"/>
              </w:rPr>
            </w:pPr>
            <w:r>
              <w:rPr>
                <w:rFonts w:ascii="Arial" w:cs="Arial" w:eastAsia="Arial" w:hAnsi="Arial"/>
                <w:sz w:val="16"/>
                <w:szCs w:val="16"/>
                <w:b w:val="1"/>
                <w:bCs w:val="1"/>
                <w:color w:val="auto"/>
                <w:w w:val="98"/>
              </w:rPr>
              <w:t>Three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ind w:right="439"/>
              <w:spacing w:after="0"/>
              <w:rPr>
                <w:sz w:val="20"/>
                <w:szCs w:val="20"/>
                <w:color w:val="auto"/>
              </w:rPr>
            </w:pPr>
            <w:r>
              <w:rPr>
                <w:rFonts w:ascii="Arial" w:cs="Arial" w:eastAsia="Arial" w:hAnsi="Arial"/>
                <w:sz w:val="16"/>
                <w:szCs w:val="16"/>
                <w:b w:val="1"/>
                <w:bCs w:val="1"/>
                <w:color w:val="auto"/>
              </w:rPr>
              <w:t>March 31, 2020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ind w:right="439"/>
              <w:spacing w:after="0"/>
              <w:rPr>
                <w:sz w:val="20"/>
                <w:szCs w:val="20"/>
                <w:color w:val="auto"/>
              </w:rPr>
            </w:pPr>
            <w:r>
              <w:rPr>
                <w:rFonts w:ascii="Arial" w:cs="Arial" w:eastAsia="Arial" w:hAnsi="Arial"/>
                <w:sz w:val="16"/>
                <w:szCs w:val="16"/>
                <w:b w:val="1"/>
                <w:bCs w:val="1"/>
                <w:color w:val="auto"/>
              </w:rPr>
              <w:t>March 31, 2019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gridSpan w:val="2"/>
          </w:tcPr>
          <w:p>
            <w:pPr>
              <w:ind w:left="100"/>
              <w:spacing w:after="0"/>
              <w:rPr>
                <w:sz w:val="20"/>
                <w:szCs w:val="20"/>
                <w:color w:val="auto"/>
              </w:rPr>
            </w:pPr>
            <w:r>
              <w:rPr>
                <w:rFonts w:ascii="Arial" w:cs="Arial" w:eastAsia="Arial" w:hAnsi="Arial"/>
                <w:sz w:val="16"/>
                <w:szCs w:val="16"/>
                <w:color w:val="auto"/>
              </w:rPr>
              <w:t>Transaction fees</w:t>
            </w:r>
          </w:p>
        </w:tc>
        <w:tc>
          <w:tcPr>
            <w:tcW w:w="110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140,824</w:t>
            </w:r>
          </w:p>
        </w:tc>
        <w:tc>
          <w:tcPr>
            <w:tcW w:w="38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102,640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Subscription fees</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34,483</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gridSpan w:val="2"/>
          </w:tcPr>
          <w:p>
            <w:pPr>
              <w:ind w:left="100"/>
              <w:spacing w:after="0"/>
              <w:rPr>
                <w:sz w:val="20"/>
                <w:szCs w:val="20"/>
                <w:color w:val="auto"/>
              </w:rPr>
            </w:pPr>
            <w:r>
              <w:rPr>
                <w:rFonts w:ascii="Arial" w:cs="Arial" w:eastAsia="Arial" w:hAnsi="Arial"/>
                <w:sz w:val="16"/>
                <w:szCs w:val="16"/>
                <w:color w:val="auto"/>
              </w:rPr>
              <w:t>Commissions</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42,493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34,197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Refinitiv market data fees</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14,628</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Other</w:t>
            </w:r>
          </w:p>
        </w:tc>
        <w:tc>
          <w:tcPr>
            <w:tcW w:w="9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2,178</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gridSpan w:val="2"/>
            <w:shd w:val="clear" w:color="auto" w:fill="CCEEFF"/>
          </w:tcPr>
          <w:p>
            <w:pPr>
              <w:ind w:left="200"/>
              <w:spacing w:after="0"/>
              <w:rPr>
                <w:sz w:val="20"/>
                <w:szCs w:val="20"/>
                <w:color w:val="auto"/>
              </w:rPr>
            </w:pPr>
            <w:r>
              <w:rPr>
                <w:rFonts w:ascii="Arial" w:cs="Arial" w:eastAsia="Arial" w:hAnsi="Arial"/>
                <w:sz w:val="16"/>
                <w:szCs w:val="16"/>
                <w:b w:val="1"/>
                <w:bCs w:val="1"/>
                <w:color w:val="auto"/>
              </w:rPr>
              <w:t>Gross revenue</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234,606</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186,792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Expenses</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gridSpan w:val="2"/>
          </w:tcPr>
          <w:p>
            <w:pPr>
              <w:ind w:left="100"/>
              <w:spacing w:after="0"/>
              <w:rPr>
                <w:sz w:val="20"/>
                <w:szCs w:val="20"/>
                <w:color w:val="auto"/>
              </w:rPr>
            </w:pPr>
            <w:r>
              <w:rPr>
                <w:rFonts w:ascii="Arial" w:cs="Arial" w:eastAsia="Arial" w:hAnsi="Arial"/>
                <w:sz w:val="16"/>
                <w:szCs w:val="16"/>
                <w:color w:val="auto"/>
              </w:rPr>
              <w:t>Employee compensation and benefits</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90,520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77,273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37,176</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gridSpan w:val="2"/>
          </w:tcPr>
          <w:p>
            <w:pPr>
              <w:ind w:left="100"/>
              <w:spacing w:after="0"/>
              <w:rPr>
                <w:sz w:val="20"/>
                <w:szCs w:val="20"/>
                <w:color w:val="auto"/>
              </w:rPr>
            </w:pPr>
            <w:r>
              <w:rPr>
                <w:rFonts w:ascii="Arial" w:cs="Arial" w:eastAsia="Arial" w:hAnsi="Arial"/>
                <w:sz w:val="16"/>
                <w:szCs w:val="16"/>
                <w:color w:val="auto"/>
              </w:rPr>
              <w:t>Technology and communications</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10,318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10,040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General and administrative</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gridSpan w:val="2"/>
          </w:tcPr>
          <w:p>
            <w:pPr>
              <w:ind w:left="100"/>
              <w:spacing w:after="0"/>
              <w:rPr>
                <w:sz w:val="20"/>
                <w:szCs w:val="20"/>
                <w:color w:val="auto"/>
              </w:rPr>
            </w:pPr>
            <w:r>
              <w:rPr>
                <w:rFonts w:ascii="Arial" w:cs="Arial" w:eastAsia="Arial" w:hAnsi="Arial"/>
                <w:sz w:val="16"/>
                <w:szCs w:val="16"/>
                <w:color w:val="auto"/>
              </w:rPr>
              <w:t>Professional fees</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6,911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6,971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Occupancy</w:t>
            </w:r>
          </w:p>
        </w:tc>
        <w:tc>
          <w:tcPr>
            <w:tcW w:w="9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3,726</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b w:val="1"/>
                <w:bCs w:val="1"/>
                <w:color w:val="auto"/>
              </w:rPr>
              <w:t>Total expenses</w:t>
            </w:r>
          </w:p>
        </w:tc>
        <w:tc>
          <w:tcPr>
            <w:tcW w:w="9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156,991</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140,515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Operating income</w:t>
            </w:r>
          </w:p>
        </w:tc>
        <w:tc>
          <w:tcPr>
            <w:tcW w:w="9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77,615</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46,277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Net interest income</w:t>
            </w:r>
          </w:p>
        </w:tc>
        <w:tc>
          <w:tcPr>
            <w:tcW w:w="9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Income before taxes</w:t>
            </w:r>
          </w:p>
        </w:tc>
        <w:tc>
          <w:tcPr>
            <w:tcW w:w="9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78,314</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47,135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Provision for income taxes</w:t>
            </w:r>
          </w:p>
        </w:tc>
        <w:tc>
          <w:tcPr>
            <w:tcW w:w="9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(15,829)</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Net income</w:t>
            </w:r>
          </w:p>
        </w:tc>
        <w:tc>
          <w:tcPr>
            <w:tcW w:w="9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62,485</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42,352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Less: Net income attributable to non-controlling interests</w:t>
            </w:r>
          </w:p>
        </w:tc>
        <w:tc>
          <w:tcPr>
            <w:tcW w:w="9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18,557</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9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Net income attributable to Tradeweb Markets Inc.</w:t>
            </w:r>
          </w:p>
        </w:tc>
        <w:tc>
          <w:tcPr>
            <w:tcW w:w="9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43,928</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462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 xml:space="preserve">EPS calculations for post-IPO and pre-IPO periods </w:t>
            </w:r>
            <w:r>
              <w:rPr>
                <w:rFonts w:ascii="Arial" w:cs="Arial" w:eastAsia="Arial" w:hAnsi="Arial"/>
                <w:sz w:val="17"/>
                <w:szCs w:val="17"/>
                <w:b w:val="1"/>
                <w:bCs w:val="1"/>
                <w:color w:val="auto"/>
                <w:vertAlign w:val="superscript"/>
              </w:rPr>
              <w:t>(1)</w:t>
            </w: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auto"/>
            </w:tcBorders>
          </w:tcPr>
          <w:p>
            <w:pPr>
              <w:spacing w:after="0"/>
              <w:rPr>
                <w:sz w:val="17"/>
                <w:szCs w:val="17"/>
                <w:color w:val="auto"/>
              </w:rPr>
            </w:pPr>
          </w:p>
        </w:tc>
        <w:tc>
          <w:tcPr>
            <w:tcW w:w="35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Earnings per share</w:t>
            </w:r>
          </w:p>
        </w:tc>
        <w:tc>
          <w:tcPr>
            <w:tcW w:w="108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9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9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Basic</w:t>
            </w:r>
          </w:p>
        </w:tc>
        <w:tc>
          <w:tcPr>
            <w:tcW w:w="110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xml:space="preserve">0.26 </w:t>
            </w:r>
            <w:r>
              <w:rPr>
                <w:rFonts w:ascii="Arial" w:cs="Arial" w:eastAsia="Arial" w:hAnsi="Arial"/>
                <w:sz w:val="17"/>
                <w:szCs w:val="17"/>
                <w:color w:val="auto"/>
                <w:vertAlign w:val="superscript"/>
              </w:rPr>
              <w:t>(a)</w:t>
            </w:r>
          </w:p>
        </w:tc>
        <w:tc>
          <w:tcPr>
            <w:tcW w:w="38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xml:space="preserve">0.19 </w:t>
            </w:r>
            <w:r>
              <w:rPr>
                <w:rFonts w:ascii="Arial" w:cs="Arial" w:eastAsia="Arial" w:hAnsi="Arial"/>
                <w:sz w:val="17"/>
                <w:szCs w:val="17"/>
                <w:color w:val="auto"/>
                <w:vertAlign w:val="superscript"/>
              </w:rPr>
              <w:t>(b)</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Borders>
              <w:top w:val="single" w:sz="8" w:color="CCEEFF"/>
              <w:bottom w:val="single" w:sz="8" w:color="CCEEFF"/>
            </w:tcBorders>
            <w:gridSpan w:val="2"/>
          </w:tcPr>
          <w:p>
            <w:pPr>
              <w:ind w:left="100"/>
              <w:spacing w:after="0"/>
              <w:rPr>
                <w:sz w:val="20"/>
                <w:szCs w:val="20"/>
                <w:color w:val="auto"/>
              </w:rPr>
            </w:pPr>
            <w:r>
              <w:rPr>
                <w:rFonts w:ascii="Arial" w:cs="Arial" w:eastAsia="Arial" w:hAnsi="Arial"/>
                <w:sz w:val="16"/>
                <w:szCs w:val="16"/>
                <w:color w:val="auto"/>
              </w:rPr>
              <w:t>Diluted</w:t>
            </w:r>
          </w:p>
        </w:tc>
        <w:tc>
          <w:tcPr>
            <w:tcW w:w="900" w:type="dxa"/>
            <w:vAlign w:val="bottom"/>
            <w:tcBorders>
              <w:top w:val="single" w:sz="8" w:color="CCEEFF"/>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6"/>
                <w:szCs w:val="16"/>
                <w:color w:val="auto"/>
              </w:rPr>
              <w:t xml:space="preserve">0.25 </w:t>
            </w:r>
            <w:r>
              <w:rPr>
                <w:rFonts w:ascii="Arial" w:cs="Arial" w:eastAsia="Arial" w:hAnsi="Arial"/>
                <w:sz w:val="17"/>
                <w:szCs w:val="17"/>
                <w:color w:val="auto"/>
                <w:vertAlign w:val="superscript"/>
              </w:rPr>
              <w:t>(a)</w:t>
            </w:r>
          </w:p>
        </w:tc>
        <w:tc>
          <w:tcPr>
            <w:tcW w:w="180" w:type="dxa"/>
            <w:vAlign w:val="bottom"/>
            <w:tcBorders>
              <w:top w:val="single" w:sz="8" w:color="CCEEFF"/>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6"/>
                <w:szCs w:val="16"/>
                <w:color w:val="auto"/>
              </w:rPr>
              <w:t xml:space="preserve">0.19 </w:t>
            </w:r>
            <w:r>
              <w:rPr>
                <w:rFonts w:ascii="Arial" w:cs="Arial" w:eastAsia="Arial" w:hAnsi="Arial"/>
                <w:sz w:val="17"/>
                <w:szCs w:val="17"/>
                <w:color w:val="auto"/>
                <w:vertAlign w:val="superscript"/>
              </w:rPr>
              <w:t>(b)</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Weighted average shares outstanding</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gridSpan w:val="2"/>
          </w:tcPr>
          <w:p>
            <w:pPr>
              <w:ind w:left="100"/>
              <w:spacing w:after="0"/>
              <w:rPr>
                <w:sz w:val="20"/>
                <w:szCs w:val="20"/>
                <w:color w:val="auto"/>
              </w:rPr>
            </w:pPr>
            <w:r>
              <w:rPr>
                <w:rFonts w:ascii="Arial" w:cs="Arial" w:eastAsia="Arial" w:hAnsi="Arial"/>
                <w:sz w:val="16"/>
                <w:szCs w:val="16"/>
                <w:color w:val="auto"/>
              </w:rPr>
              <w:t>Basic</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 xml:space="preserve">166,234,749 </w:t>
            </w:r>
            <w:r>
              <w:rPr>
                <w:rFonts w:ascii="Arial" w:cs="Arial" w:eastAsia="Arial" w:hAnsi="Arial"/>
                <w:sz w:val="17"/>
                <w:szCs w:val="17"/>
                <w:color w:val="auto"/>
                <w:vertAlign w:val="superscript"/>
              </w:rPr>
              <w:t>(a)</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 xml:space="preserve">222,222,197 </w:t>
            </w:r>
            <w:r>
              <w:rPr>
                <w:rFonts w:ascii="Arial" w:cs="Arial" w:eastAsia="Arial" w:hAnsi="Arial"/>
                <w:sz w:val="17"/>
                <w:szCs w:val="17"/>
                <w:color w:val="auto"/>
                <w:vertAlign w:val="superscript"/>
              </w:rPr>
              <w:t>(b)</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Diluted</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xml:space="preserve">174,517,244 </w:t>
            </w:r>
            <w:r>
              <w:rPr>
                <w:rFonts w:ascii="Arial" w:cs="Arial" w:eastAsia="Arial" w:hAnsi="Arial"/>
                <w:sz w:val="17"/>
                <w:szCs w:val="17"/>
                <w:color w:val="auto"/>
                <w:vertAlign w:val="superscript"/>
              </w:rPr>
              <w:t>(a)</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xml:space="preserve">223,320,457 </w:t>
            </w:r>
            <w:r>
              <w:rPr>
                <w:rFonts w:ascii="Arial" w:cs="Arial" w:eastAsia="Arial" w:hAnsi="Arial"/>
                <w:sz w:val="17"/>
                <w:szCs w:val="17"/>
                <w:color w:val="auto"/>
                <w:vertAlign w:val="superscript"/>
              </w:rPr>
              <w:t>(b)</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327"/>
        <w:spacing w:after="0" w:line="245" w:lineRule="auto"/>
        <w:tabs>
          <w:tab w:leader="none" w:pos="66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 April 2019, the Company completed the Reorganization Transactions and the IPO, which, among other things, resulted in Tradeweb Markets Inc. becoming the successor of Tradeweb Markets LLC for financial reporting purposes. As a result, earnings per share information for the pre-IPO period is not comparable to the earnings per share information for the post-IPO period. Therefore, earnings per share information is being presented separately for the pre-IPO and post-IPO periods.</w:t>
      </w:r>
    </w:p>
    <w:p>
      <w:pPr>
        <w:spacing w:after="0" w:line="37" w:lineRule="exact"/>
        <w:rPr>
          <w:rFonts w:ascii="Arial" w:cs="Arial" w:eastAsia="Arial" w:hAnsi="Arial"/>
          <w:sz w:val="13"/>
          <w:szCs w:val="13"/>
          <w:color w:val="auto"/>
        </w:rPr>
      </w:pPr>
    </w:p>
    <w:p>
      <w:pPr>
        <w:ind w:left="1040" w:hanging="221"/>
        <w:spacing w:after="0"/>
        <w:tabs>
          <w:tab w:leader="none" w:pos="1040" w:val="left"/>
        </w:tabs>
        <w:numPr>
          <w:ilvl w:val="1"/>
          <w:numId w:val="6"/>
        </w:numPr>
        <w:rPr>
          <w:rFonts w:ascii="Arial" w:cs="Arial" w:eastAsia="Arial" w:hAnsi="Arial"/>
          <w:sz w:val="13"/>
          <w:szCs w:val="13"/>
          <w:color w:val="auto"/>
        </w:rPr>
      </w:pPr>
      <w:r>
        <w:rPr>
          <w:rFonts w:ascii="Arial" w:cs="Arial" w:eastAsia="Arial" w:hAnsi="Arial"/>
          <w:sz w:val="13"/>
          <w:szCs w:val="13"/>
          <w:color w:val="auto"/>
        </w:rPr>
        <w:t>Presents information for Tradeweb Markets Inc. (post-IPO period).</w:t>
      </w:r>
    </w:p>
    <w:p>
      <w:pPr>
        <w:spacing w:after="0" w:line="53" w:lineRule="exact"/>
        <w:rPr>
          <w:rFonts w:ascii="Arial" w:cs="Arial" w:eastAsia="Arial" w:hAnsi="Arial"/>
          <w:sz w:val="13"/>
          <w:szCs w:val="13"/>
          <w:color w:val="auto"/>
        </w:rPr>
      </w:pPr>
    </w:p>
    <w:p>
      <w:pPr>
        <w:ind w:left="1040" w:hanging="221"/>
        <w:spacing w:after="0"/>
        <w:tabs>
          <w:tab w:leader="none" w:pos="1040" w:val="left"/>
        </w:tabs>
        <w:numPr>
          <w:ilvl w:val="1"/>
          <w:numId w:val="6"/>
        </w:numPr>
        <w:rPr>
          <w:rFonts w:ascii="Arial" w:cs="Arial" w:eastAsia="Arial" w:hAnsi="Arial"/>
          <w:sz w:val="13"/>
          <w:szCs w:val="13"/>
          <w:color w:val="auto"/>
        </w:rPr>
      </w:pPr>
      <w:r>
        <w:rPr>
          <w:rFonts w:ascii="Arial" w:cs="Arial" w:eastAsia="Arial" w:hAnsi="Arial"/>
          <w:sz w:val="13"/>
          <w:szCs w:val="13"/>
          <w:color w:val="auto"/>
        </w:rPr>
        <w:t>Presents information for Tradeweb Markets LLC (pre-IPO period).</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3"/>
          <w:szCs w:val="13"/>
          <w:color w:val="auto"/>
        </w:rPr>
        <w:t>See “Basic and Diluted EPS Calculations” and “Presentation” below for additional information.</w:t>
      </w:r>
    </w:p>
    <w:p>
      <w:pPr>
        <w:spacing w:after="0" w:line="215" w:lineRule="exact"/>
        <w:rPr>
          <w:sz w:val="20"/>
          <w:szCs w:val="20"/>
          <w:color w:val="auto"/>
        </w:rPr>
      </w:pPr>
    </w:p>
    <w:p>
      <w:pPr>
        <w:ind w:left="9200"/>
        <w:spacing w:after="0"/>
        <w:rPr>
          <w:sz w:val="20"/>
          <w:szCs w:val="20"/>
          <w:color w:val="auto"/>
        </w:rPr>
      </w:pPr>
      <w:r>
        <w:rPr>
          <w:rFonts w:ascii="Arial" w:cs="Arial" w:eastAsia="Arial" w:hAnsi="Arial"/>
          <w:sz w:val="18"/>
          <w:szCs w:val="18"/>
          <w:color w:val="auto"/>
        </w:rPr>
        <w:t>Page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13" w:right="99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083566"/>
        </w:rPr>
        <w:t>TRADEWEB MARKETS INC.</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083566"/>
        </w:rPr>
        <w:t>RECONCILIATION OF NON-GAAP FINANCIAL MEASURES (UNAUDITED)</w:t>
      </w:r>
    </w:p>
    <w:p>
      <w:pPr>
        <w:spacing w:after="0"/>
        <w:rPr>
          <w:sz w:val="20"/>
          <w:szCs w:val="20"/>
          <w:color w:val="auto"/>
        </w:rPr>
      </w:pPr>
      <w:r>
        <w:rPr>
          <w:rFonts w:ascii="Arial" w:cs="Arial" w:eastAsia="Arial" w:hAnsi="Arial"/>
          <w:sz w:val="17"/>
          <w:szCs w:val="17"/>
          <w:b w:val="1"/>
          <w:bCs w:val="1"/>
          <w:color w:val="083566"/>
        </w:rPr>
        <w:t>Dollars in Thousands, Except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20"/>
                <w:szCs w:val="20"/>
                <w:color w:val="auto"/>
              </w:rPr>
            </w:pPr>
            <w:r>
              <w:rPr>
                <w:rFonts w:ascii="Arial" w:cs="Arial" w:eastAsia="Arial" w:hAnsi="Arial"/>
                <w:sz w:val="16"/>
                <w:szCs w:val="16"/>
                <w:b w:val="1"/>
                <w:bCs w:val="1"/>
                <w:color w:val="auto"/>
              </w:rPr>
              <w:t>Reconciliation of Net Income to Adjusted EBITDA, Adjusted</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w w:val="96"/>
              </w:rPr>
              <w:t>Three Months Ended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gridSpan w:val="2"/>
          </w:tcPr>
          <w:p>
            <w:pPr>
              <w:jc w:val="right"/>
              <w:ind w:right="444"/>
              <w:spacing w:after="0"/>
              <w:rPr>
                <w:sz w:val="20"/>
                <w:szCs w:val="20"/>
                <w:color w:val="auto"/>
              </w:rPr>
            </w:pPr>
            <w:r>
              <w:rPr>
                <w:rFonts w:ascii="Arial" w:cs="Arial" w:eastAsia="Arial" w:hAnsi="Arial"/>
                <w:sz w:val="16"/>
                <w:szCs w:val="16"/>
                <w:b w:val="1"/>
                <w:bCs w:val="1"/>
                <w:color w:val="auto"/>
                <w:w w:val="97"/>
              </w:rPr>
              <w:t>Three Months Ended</w:t>
            </w:r>
          </w:p>
        </w:tc>
      </w:tr>
      <w:tr>
        <w:trPr>
          <w:trHeight w:val="213"/>
        </w:trPr>
        <w:tc>
          <w:tcPr>
            <w:tcW w:w="51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EBITDA Margin, Adjusted EBIT and Adjusted EBIT Margin</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2"/>
          </w:tcPr>
          <w:p>
            <w:pPr>
              <w:jc w:val="right"/>
              <w:ind w:right="579"/>
              <w:spacing w:after="0"/>
              <w:rPr>
                <w:sz w:val="20"/>
                <w:szCs w:val="20"/>
                <w:color w:val="auto"/>
              </w:rPr>
            </w:pPr>
            <w:r>
              <w:rPr>
                <w:rFonts w:ascii="Arial" w:cs="Arial" w:eastAsia="Arial" w:hAnsi="Arial"/>
                <w:sz w:val="16"/>
                <w:szCs w:val="16"/>
                <w:b w:val="1"/>
                <w:bCs w:val="1"/>
                <w:color w:val="auto"/>
              </w:rPr>
              <w:t>March 31, 2020</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2"/>
          </w:tcPr>
          <w:p>
            <w:pPr>
              <w:jc w:val="right"/>
              <w:ind w:right="644"/>
              <w:spacing w:after="0"/>
              <w:rPr>
                <w:sz w:val="20"/>
                <w:szCs w:val="20"/>
                <w:color w:val="auto"/>
              </w:rPr>
            </w:pPr>
            <w:r>
              <w:rPr>
                <w:rFonts w:ascii="Arial" w:cs="Arial" w:eastAsia="Arial" w:hAnsi="Arial"/>
                <w:sz w:val="16"/>
                <w:szCs w:val="16"/>
                <w:b w:val="1"/>
                <w:bCs w:val="1"/>
                <w:color w:val="auto"/>
              </w:rPr>
              <w:t>March 31, 2019</w:t>
            </w:r>
          </w:p>
        </w:tc>
      </w:tr>
      <w:tr>
        <w:trPr>
          <w:trHeight w:val="199"/>
        </w:trPr>
        <w:tc>
          <w:tcPr>
            <w:tcW w:w="5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00" w:type="dxa"/>
            <w:vAlign w:val="bottom"/>
            <w:gridSpan w:val="6"/>
          </w:tcPr>
          <w:p>
            <w:pPr>
              <w:jc w:val="right"/>
              <w:ind w:right="1664"/>
              <w:spacing w:after="0"/>
              <w:rPr>
                <w:sz w:val="20"/>
                <w:szCs w:val="20"/>
                <w:color w:val="auto"/>
              </w:rPr>
            </w:pPr>
            <w:r>
              <w:rPr>
                <w:rFonts w:ascii="Arial" w:cs="Arial" w:eastAsia="Arial" w:hAnsi="Arial"/>
                <w:sz w:val="16"/>
                <w:szCs w:val="16"/>
                <w:b w:val="1"/>
                <w:bCs w:val="1"/>
                <w:color w:val="auto"/>
              </w:rPr>
              <w:t>(in thousands)</w:t>
            </w:r>
          </w:p>
        </w:tc>
      </w:tr>
      <w:tr>
        <w:trPr>
          <w:trHeight w:val="203"/>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62,485</w:t>
            </w:r>
          </w:p>
        </w:tc>
        <w:tc>
          <w:tcPr>
            <w:tcW w:w="2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42,352</w:t>
            </w:r>
          </w:p>
        </w:tc>
        <w:tc>
          <w:tcPr>
            <w:tcW w:w="280" w:type="dxa"/>
            <w:vAlign w:val="bottom"/>
            <w:shd w:val="clear" w:color="auto" w:fill="CCEEFF"/>
          </w:tcPr>
          <w:p>
            <w:pPr>
              <w:spacing w:after="0"/>
              <w:rPr>
                <w:sz w:val="17"/>
                <w:szCs w:val="17"/>
                <w:color w:val="auto"/>
              </w:rPr>
            </w:pPr>
          </w:p>
        </w:tc>
      </w:tr>
      <w:tr>
        <w:trPr>
          <w:trHeight w:val="203"/>
        </w:trPr>
        <w:tc>
          <w:tcPr>
            <w:tcW w:w="5160" w:type="dxa"/>
            <w:vAlign w:val="bottom"/>
          </w:tcPr>
          <w:p>
            <w:pPr>
              <w:spacing w:after="0"/>
              <w:rPr>
                <w:sz w:val="20"/>
                <w:szCs w:val="20"/>
                <w:color w:val="auto"/>
              </w:rPr>
            </w:pPr>
            <w:r>
              <w:rPr>
                <w:rFonts w:ascii="Arial" w:cs="Arial" w:eastAsia="Arial" w:hAnsi="Arial"/>
                <w:sz w:val="16"/>
                <w:szCs w:val="16"/>
                <w:color w:val="auto"/>
              </w:rPr>
              <w:t>Net interest income</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(699)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(858)</w:t>
            </w:r>
          </w:p>
        </w:tc>
        <w:tc>
          <w:tcPr>
            <w:tcW w:w="280" w:type="dxa"/>
            <w:vAlign w:val="bottom"/>
          </w:tcPr>
          <w:p>
            <w:pPr>
              <w:spacing w:after="0"/>
              <w:rPr>
                <w:sz w:val="17"/>
                <w:szCs w:val="17"/>
                <w:color w:val="auto"/>
              </w:rPr>
            </w:pPr>
          </w:p>
        </w:tc>
      </w:tr>
      <w:tr>
        <w:trPr>
          <w:trHeight w:val="203"/>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37,176</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33,503</w:t>
            </w:r>
          </w:p>
        </w:tc>
        <w:tc>
          <w:tcPr>
            <w:tcW w:w="280" w:type="dxa"/>
            <w:vAlign w:val="bottom"/>
            <w:shd w:val="clear" w:color="auto" w:fill="CCEEFF"/>
          </w:tcPr>
          <w:p>
            <w:pPr>
              <w:spacing w:after="0"/>
              <w:rPr>
                <w:sz w:val="17"/>
                <w:szCs w:val="17"/>
                <w:color w:val="auto"/>
              </w:rPr>
            </w:pPr>
          </w:p>
        </w:tc>
      </w:tr>
      <w:tr>
        <w:trPr>
          <w:trHeight w:val="203"/>
        </w:trPr>
        <w:tc>
          <w:tcPr>
            <w:tcW w:w="5160" w:type="dxa"/>
            <w:vAlign w:val="bottom"/>
          </w:tcPr>
          <w:p>
            <w:pPr>
              <w:spacing w:after="0"/>
              <w:rPr>
                <w:sz w:val="20"/>
                <w:szCs w:val="20"/>
                <w:color w:val="auto"/>
              </w:rPr>
            </w:pPr>
            <w:r>
              <w:rPr>
                <w:rFonts w:ascii="Arial" w:cs="Arial" w:eastAsia="Arial" w:hAnsi="Arial"/>
                <w:sz w:val="16"/>
                <w:szCs w:val="16"/>
                <w:color w:val="auto"/>
              </w:rPr>
              <w:t>Stock-based compensation expense</w:t>
            </w:r>
            <w:r>
              <w:rPr>
                <w:rFonts w:ascii="Arial" w:cs="Arial" w:eastAsia="Arial" w:hAnsi="Arial"/>
                <w:sz w:val="17"/>
                <w:szCs w:val="17"/>
                <w:color w:val="auto"/>
                <w:vertAlign w:val="superscript"/>
              </w:rPr>
              <w:t>(1)</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3,497</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gridSpan w:val="2"/>
          </w:tcPr>
          <w:p>
            <w:pPr>
              <w:jc w:val="right"/>
              <w:ind w:right="264"/>
              <w:spacing w:after="0"/>
              <w:rPr>
                <w:sz w:val="20"/>
                <w:szCs w:val="20"/>
                <w:color w:val="auto"/>
              </w:rPr>
            </w:pPr>
            <w:r>
              <w:rPr>
                <w:rFonts w:ascii="Arial" w:cs="Arial" w:eastAsia="Arial" w:hAnsi="Arial"/>
                <w:sz w:val="16"/>
                <w:szCs w:val="16"/>
                <w:color w:val="auto"/>
              </w:rPr>
              <w:t>—</w:t>
            </w:r>
          </w:p>
        </w:tc>
      </w:tr>
      <w:tr>
        <w:trPr>
          <w:trHeight w:val="203"/>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15,829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4,783</w:t>
            </w:r>
          </w:p>
        </w:tc>
        <w:tc>
          <w:tcPr>
            <w:tcW w:w="280" w:type="dxa"/>
            <w:vAlign w:val="bottom"/>
            <w:shd w:val="clear" w:color="auto" w:fill="CCEEFF"/>
          </w:tcPr>
          <w:p>
            <w:pPr>
              <w:spacing w:after="0"/>
              <w:rPr>
                <w:sz w:val="17"/>
                <w:szCs w:val="17"/>
                <w:color w:val="auto"/>
              </w:rPr>
            </w:pPr>
          </w:p>
        </w:tc>
      </w:tr>
      <w:tr>
        <w:trPr>
          <w:trHeight w:val="203"/>
        </w:trPr>
        <w:tc>
          <w:tcPr>
            <w:tcW w:w="5160" w:type="dxa"/>
            <w:vAlign w:val="bottom"/>
          </w:tcPr>
          <w:p>
            <w:pPr>
              <w:spacing w:after="0"/>
              <w:rPr>
                <w:sz w:val="20"/>
                <w:szCs w:val="20"/>
                <w:color w:val="auto"/>
              </w:rPr>
            </w:pPr>
            <w:r>
              <w:rPr>
                <w:rFonts w:ascii="Arial" w:cs="Arial" w:eastAsia="Arial" w:hAnsi="Arial"/>
                <w:sz w:val="16"/>
                <w:szCs w:val="16"/>
                <w:color w:val="auto"/>
              </w:rPr>
              <w:t>Unrealized foreign exchange (gains) / losses</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1,164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(293)</w:t>
            </w:r>
          </w:p>
        </w:tc>
        <w:tc>
          <w:tcPr>
            <w:tcW w:w="280" w:type="dxa"/>
            <w:vAlign w:val="bottom"/>
          </w:tcPr>
          <w:p>
            <w:pPr>
              <w:spacing w:after="0"/>
              <w:rPr>
                <w:sz w:val="17"/>
                <w:szCs w:val="17"/>
                <w:color w:val="auto"/>
              </w:rPr>
            </w:pPr>
          </w:p>
        </w:tc>
      </w:tr>
      <w:tr>
        <w:trPr>
          <w:trHeight w:val="203"/>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Loss from revaluation of foreign denominated cash</w:t>
            </w:r>
            <w:r>
              <w:rPr>
                <w:rFonts w:ascii="Arial" w:cs="Arial" w:eastAsia="Arial" w:hAnsi="Arial"/>
                <w:sz w:val="17"/>
                <w:szCs w:val="17"/>
                <w:color w:val="auto"/>
                <w:vertAlign w:val="superscript"/>
              </w:rPr>
              <w:t>(2)</w:t>
            </w:r>
          </w:p>
        </w:tc>
        <w:tc>
          <w:tcPr>
            <w:tcW w:w="2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860</w:t>
            </w:r>
          </w:p>
        </w:tc>
        <w:tc>
          <w:tcPr>
            <w:tcW w:w="280" w:type="dxa"/>
            <w:vAlign w:val="bottom"/>
            <w:shd w:val="clear" w:color="auto" w:fill="CCEEFF"/>
          </w:tcPr>
          <w:p>
            <w:pPr>
              <w:spacing w:after="0"/>
              <w:rPr>
                <w:sz w:val="17"/>
                <w:szCs w:val="17"/>
                <w:color w:val="auto"/>
              </w:rPr>
            </w:pPr>
          </w:p>
        </w:tc>
      </w:tr>
      <w:tr>
        <w:trPr>
          <w:trHeight w:val="203"/>
        </w:trPr>
        <w:tc>
          <w:tcPr>
            <w:tcW w:w="51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Adjusted EBITDA</w:t>
            </w:r>
          </w:p>
        </w:tc>
        <w:tc>
          <w:tcPr>
            <w:tcW w:w="2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119,650</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80,347</w:t>
            </w:r>
          </w:p>
        </w:tc>
        <w:tc>
          <w:tcPr>
            <w:tcW w:w="280" w:type="dxa"/>
            <w:vAlign w:val="bottom"/>
            <w:tcBorders>
              <w:bottom w:val="single" w:sz="8" w:color="CCEEFF"/>
            </w:tcBorders>
          </w:tcPr>
          <w:p>
            <w:pPr>
              <w:spacing w:after="0"/>
              <w:rPr>
                <w:sz w:val="17"/>
                <w:szCs w:val="17"/>
                <w:color w:val="auto"/>
              </w:rPr>
            </w:pPr>
          </w:p>
        </w:tc>
      </w:tr>
      <w:tr>
        <w:trPr>
          <w:trHeight w:val="203"/>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Less: Depreciation and amortization</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(37,176)</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(33,503)</w:t>
            </w:r>
          </w:p>
        </w:tc>
        <w:tc>
          <w:tcPr>
            <w:tcW w:w="280" w:type="dxa"/>
            <w:vAlign w:val="bottom"/>
            <w:shd w:val="clear" w:color="auto" w:fill="CCEEFF"/>
          </w:tcPr>
          <w:p>
            <w:pPr>
              <w:spacing w:after="0"/>
              <w:rPr>
                <w:sz w:val="17"/>
                <w:szCs w:val="17"/>
                <w:color w:val="auto"/>
              </w:rPr>
            </w:pPr>
          </w:p>
        </w:tc>
      </w:tr>
      <w:tr>
        <w:trPr>
          <w:trHeight w:val="203"/>
        </w:trPr>
        <w:tc>
          <w:tcPr>
            <w:tcW w:w="51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Add: Acquisition and Refinitiv Transaction related D&amp;A</w:t>
            </w:r>
            <w:r>
              <w:rPr>
                <w:rFonts w:ascii="Arial" w:cs="Arial" w:eastAsia="Arial" w:hAnsi="Arial"/>
                <w:sz w:val="17"/>
                <w:szCs w:val="17"/>
                <w:color w:val="auto"/>
                <w:vertAlign w:val="superscript"/>
              </w:rPr>
              <w:t>(3)</w:t>
            </w:r>
          </w:p>
        </w:tc>
        <w:tc>
          <w:tcPr>
            <w:tcW w:w="2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26,273</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23,209</w:t>
            </w:r>
          </w:p>
        </w:tc>
        <w:tc>
          <w:tcPr>
            <w:tcW w:w="280" w:type="dxa"/>
            <w:vAlign w:val="bottom"/>
            <w:tcBorders>
              <w:bottom w:val="single" w:sz="8" w:color="CCEEFF"/>
            </w:tcBorders>
          </w:tcPr>
          <w:p>
            <w:pPr>
              <w:spacing w:after="0"/>
              <w:rPr>
                <w:sz w:val="17"/>
                <w:szCs w:val="17"/>
                <w:color w:val="auto"/>
              </w:rPr>
            </w:pPr>
          </w:p>
        </w:tc>
      </w:tr>
      <w:tr>
        <w:trPr>
          <w:trHeight w:val="216"/>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Adjusted EBIT</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108,747</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70,053</w:t>
            </w:r>
          </w:p>
        </w:tc>
        <w:tc>
          <w:tcPr>
            <w:tcW w:w="280" w:type="dxa"/>
            <w:vAlign w:val="bottom"/>
            <w:tcBorders>
              <w:bottom w:val="single" w:sz="8" w:color="CCEEFF"/>
            </w:tcBorders>
            <w:shd w:val="clear" w:color="auto" w:fill="CCEEFF"/>
          </w:tcPr>
          <w:p>
            <w:pPr>
              <w:spacing w:after="0"/>
              <w:rPr>
                <w:sz w:val="18"/>
                <w:szCs w:val="18"/>
                <w:color w:val="auto"/>
              </w:rPr>
            </w:pPr>
          </w:p>
        </w:tc>
      </w:tr>
      <w:tr>
        <w:trPr>
          <w:trHeight w:val="189"/>
        </w:trPr>
        <w:tc>
          <w:tcPr>
            <w:tcW w:w="5160" w:type="dxa"/>
            <w:vAlign w:val="bottom"/>
          </w:tcPr>
          <w:p>
            <w:pPr>
              <w:spacing w:after="0" w:line="189" w:lineRule="exact"/>
              <w:rPr>
                <w:sz w:val="20"/>
                <w:szCs w:val="20"/>
                <w:color w:val="auto"/>
              </w:rPr>
            </w:pPr>
            <w:r>
              <w:rPr>
                <w:rFonts w:ascii="Arial" w:cs="Arial" w:eastAsia="Arial" w:hAnsi="Arial"/>
                <w:sz w:val="16"/>
                <w:szCs w:val="16"/>
                <w:color w:val="auto"/>
              </w:rPr>
              <w:t>Adjusted EBITDA margin</w:t>
            </w:r>
            <w:r>
              <w:rPr>
                <w:rFonts w:ascii="Arial" w:cs="Arial" w:eastAsia="Arial" w:hAnsi="Arial"/>
                <w:sz w:val="17"/>
                <w:szCs w:val="17"/>
                <w:color w:val="auto"/>
                <w:vertAlign w:val="superscript"/>
              </w:rPr>
              <w:t>(4)</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51.0</w:t>
            </w:r>
          </w:p>
        </w:tc>
        <w:tc>
          <w:tcPr>
            <w:tcW w:w="22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43.0</w:t>
            </w:r>
          </w:p>
        </w:tc>
        <w:tc>
          <w:tcPr>
            <w:tcW w:w="280" w:type="dxa"/>
            <w:vAlign w:val="bottom"/>
          </w:tcPr>
          <w:p>
            <w:pPr>
              <w:jc w:val="right"/>
              <w:ind w:right="84"/>
              <w:spacing w:after="0"/>
              <w:rPr>
                <w:sz w:val="20"/>
                <w:szCs w:val="20"/>
                <w:color w:val="auto"/>
              </w:rPr>
            </w:pPr>
            <w:r>
              <w:rPr>
                <w:rFonts w:ascii="Arial" w:cs="Arial" w:eastAsia="Arial" w:hAnsi="Arial"/>
                <w:sz w:val="15"/>
                <w:szCs w:val="15"/>
                <w:color w:val="auto"/>
                <w:w w:val="74"/>
              </w:rPr>
              <w:t>%</w:t>
            </w:r>
          </w:p>
        </w:tc>
      </w:tr>
      <w:tr>
        <w:trPr>
          <w:trHeight w:val="203"/>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Adjusted EBIT margin</w:t>
            </w:r>
            <w:r>
              <w:rPr>
                <w:rFonts w:ascii="Arial" w:cs="Arial" w:eastAsia="Arial" w:hAnsi="Arial"/>
                <w:sz w:val="17"/>
                <w:szCs w:val="17"/>
                <w:color w:val="auto"/>
                <w:vertAlign w:val="superscript"/>
              </w:rPr>
              <w:t>(4)</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46.4 %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37.5 %</w:t>
            </w:r>
          </w:p>
        </w:tc>
      </w:tr>
    </w:tbl>
    <w:p>
      <w:pPr>
        <w:spacing w:after="0" w:line="242" w:lineRule="exact"/>
        <w:rPr>
          <w:sz w:val="20"/>
          <w:szCs w:val="20"/>
          <w:color w:val="auto"/>
        </w:rPr>
      </w:pPr>
    </w:p>
    <w:p>
      <w:pPr>
        <w:ind w:left="660" w:right="240" w:hanging="327"/>
        <w:spacing w:after="0" w:line="258" w:lineRule="auto"/>
        <w:tabs>
          <w:tab w:leader="none" w:pos="66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Represents non-cash stock-based compensation expense associated with the Special Option Award and post-IPO options awarded in 2019 and payroll taxes associated with exercises of such options during the applicable period.</w:t>
      </w:r>
    </w:p>
    <w:p>
      <w:pPr>
        <w:spacing w:after="0" w:line="29" w:lineRule="exact"/>
        <w:rPr>
          <w:rFonts w:ascii="Arial" w:cs="Arial" w:eastAsia="Arial" w:hAnsi="Arial"/>
          <w:sz w:val="13"/>
          <w:szCs w:val="13"/>
          <w:color w:val="auto"/>
        </w:rPr>
      </w:pPr>
    </w:p>
    <w:p>
      <w:pPr>
        <w:ind w:left="660" w:hanging="327"/>
        <w:spacing w:after="0"/>
        <w:tabs>
          <w:tab w:leader="none" w:pos="66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Represents foreign exchange gain or loss from the revaluation of cash denominated in a different currency than the entity’s functional currency.</w:t>
      </w:r>
    </w:p>
    <w:p>
      <w:pPr>
        <w:spacing w:after="0" w:line="53" w:lineRule="exact"/>
        <w:rPr>
          <w:rFonts w:ascii="Arial" w:cs="Arial" w:eastAsia="Arial" w:hAnsi="Arial"/>
          <w:sz w:val="13"/>
          <w:szCs w:val="13"/>
          <w:color w:val="auto"/>
        </w:rPr>
      </w:pPr>
    </w:p>
    <w:p>
      <w:pPr>
        <w:ind w:left="660" w:right="80" w:hanging="327"/>
        <w:spacing w:after="0" w:line="251" w:lineRule="auto"/>
        <w:tabs>
          <w:tab w:leader="none" w:pos="66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pacing w:after="0" w:line="186" w:lineRule="exact"/>
        <w:rPr>
          <w:rFonts w:ascii="Arial" w:cs="Arial" w:eastAsia="Arial" w:hAnsi="Arial"/>
          <w:sz w:val="13"/>
          <w:szCs w:val="13"/>
          <w:color w:val="auto"/>
        </w:rPr>
      </w:pPr>
    </w:p>
    <w:p>
      <w:pPr>
        <w:ind w:left="660" w:right="240" w:hanging="327"/>
        <w:spacing w:after="0" w:line="258" w:lineRule="auto"/>
        <w:tabs>
          <w:tab w:leader="none" w:pos="660" w:val="left"/>
        </w:tabs>
        <w:numPr>
          <w:ilvl w:val="0"/>
          <w:numId w:val="7"/>
        </w:numPr>
        <w:rPr>
          <w:rFonts w:ascii="Arial" w:cs="Arial" w:eastAsia="Arial" w:hAnsi="Arial"/>
          <w:sz w:val="13"/>
          <w:szCs w:val="13"/>
          <w:color w:val="auto"/>
        </w:rPr>
      </w:pPr>
      <w:r>
        <w:rPr>
          <w:rFonts w:ascii="Arial" w:cs="Arial" w:eastAsia="Arial" w:hAnsi="Arial"/>
          <w:sz w:val="13"/>
          <w:szCs w:val="13"/>
          <w:color w:val="auto"/>
        </w:rPr>
        <w:t>Adjusted EBITDA margin and Adjusted EBIT margin are defined as Adjusted EBITDA and Adjusted EBIT, respectively, divided by gross revenue for the applicable period.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40" w:type="dxa"/>
            <w:vAlign w:val="bottom"/>
          </w:tcPr>
          <w:p>
            <w:pPr>
              <w:spacing w:after="0"/>
              <w:rPr>
                <w:sz w:val="20"/>
                <w:szCs w:val="20"/>
                <w:color w:val="auto"/>
              </w:rPr>
            </w:pPr>
            <w:r>
              <w:rPr>
                <w:rFonts w:ascii="Arial" w:cs="Arial" w:eastAsia="Arial" w:hAnsi="Arial"/>
                <w:sz w:val="16"/>
                <w:szCs w:val="16"/>
                <w:b w:val="1"/>
                <w:bCs w:val="1"/>
                <w:color w:val="auto"/>
              </w:rPr>
              <w:t>Reconciliation of Net Income to</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jc w:val="right"/>
              <w:ind w:right="159"/>
              <w:spacing w:after="0"/>
              <w:rPr>
                <w:sz w:val="20"/>
                <w:szCs w:val="20"/>
                <w:color w:val="auto"/>
              </w:rPr>
            </w:pPr>
            <w:r>
              <w:rPr>
                <w:rFonts w:ascii="Arial" w:cs="Arial" w:eastAsia="Arial" w:hAnsi="Arial"/>
                <w:sz w:val="16"/>
                <w:szCs w:val="16"/>
                <w:b w:val="1"/>
                <w:bCs w:val="1"/>
                <w:color w:val="auto"/>
                <w:w w:val="97"/>
              </w:rPr>
              <w:t>Three Months Ended</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jc w:val="right"/>
              <w:ind w:right="159"/>
              <w:spacing w:after="0"/>
              <w:rPr>
                <w:sz w:val="20"/>
                <w:szCs w:val="20"/>
                <w:color w:val="auto"/>
              </w:rPr>
            </w:pPr>
            <w:r>
              <w:rPr>
                <w:rFonts w:ascii="Arial" w:cs="Arial" w:eastAsia="Arial" w:hAnsi="Arial"/>
                <w:sz w:val="16"/>
                <w:szCs w:val="16"/>
                <w:b w:val="1"/>
                <w:bCs w:val="1"/>
                <w:color w:val="auto"/>
                <w:w w:val="97"/>
              </w:rPr>
              <w:t>Three Months Ended</w:t>
            </w:r>
          </w:p>
        </w:tc>
        <w:tc>
          <w:tcPr>
            <w:tcW w:w="180" w:type="dxa"/>
            <w:vAlign w:val="bottom"/>
          </w:tcPr>
          <w:p>
            <w:pPr>
              <w:spacing w:after="0"/>
              <w:rPr>
                <w:sz w:val="17"/>
                <w:szCs w:val="17"/>
                <w:color w:val="auto"/>
              </w:rPr>
            </w:pPr>
          </w:p>
        </w:tc>
      </w:tr>
      <w:tr>
        <w:trPr>
          <w:trHeight w:val="213"/>
        </w:trPr>
        <w:tc>
          <w:tcPr>
            <w:tcW w:w="52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Adjusted Net Income and Adjusted Diluted EPS</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March 31, 2020</w:t>
            </w:r>
          </w:p>
        </w:tc>
        <w:tc>
          <w:tcPr>
            <w:tcW w:w="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March 31, 2019</w:t>
            </w:r>
          </w:p>
        </w:tc>
        <w:tc>
          <w:tcPr>
            <w:tcW w:w="180" w:type="dxa"/>
            <w:vAlign w:val="bottom"/>
          </w:tcPr>
          <w:p>
            <w:pPr>
              <w:spacing w:after="0"/>
              <w:rPr>
                <w:sz w:val="18"/>
                <w:szCs w:val="18"/>
                <w:color w:val="auto"/>
              </w:rPr>
            </w:pPr>
          </w:p>
        </w:tc>
      </w:tr>
      <w:tr>
        <w:trPr>
          <w:trHeight w:val="199"/>
        </w:trPr>
        <w:tc>
          <w:tcPr>
            <w:tcW w:w="5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40" w:type="dxa"/>
            <w:vAlign w:val="bottom"/>
            <w:gridSpan w:val="5"/>
          </w:tcPr>
          <w:p>
            <w:pPr>
              <w:jc w:val="right"/>
              <w:ind w:right="1539"/>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7"/>
                <w:szCs w:val="17"/>
                <w:color w:val="auto"/>
              </w:rPr>
            </w:pPr>
          </w:p>
        </w:tc>
      </w:tr>
      <w:tr>
        <w:trPr>
          <w:trHeight w:val="223"/>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Earnings per diluted share</w:t>
            </w:r>
            <w:r>
              <w:rPr>
                <w:rFonts w:ascii="Arial" w:cs="Arial" w:eastAsia="Arial" w:hAnsi="Arial"/>
                <w:sz w:val="17"/>
                <w:szCs w:val="17"/>
                <w:color w:val="auto"/>
                <w:vertAlign w:val="superscript"/>
              </w:rPr>
              <w:t>(1)</w:t>
            </w:r>
          </w:p>
        </w:tc>
        <w:tc>
          <w:tcPr>
            <w:tcW w:w="46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280" w:type="dxa"/>
            <w:vAlign w:val="bottom"/>
            <w:shd w:val="clear" w:color="auto" w:fill="CCEEFF"/>
          </w:tcPr>
          <w:p>
            <w:pPr>
              <w:spacing w:after="0"/>
              <w:rPr>
                <w:sz w:val="20"/>
                <w:szCs w:val="20"/>
                <w:color w:val="auto"/>
              </w:rPr>
            </w:pPr>
            <w:r>
              <w:rPr>
                <w:rFonts w:ascii="Arial" w:cs="Arial" w:eastAsia="Arial" w:hAnsi="Arial"/>
                <w:sz w:val="9"/>
                <w:szCs w:val="9"/>
                <w:color w:val="auto"/>
              </w:rPr>
              <w:t>(a)</w:t>
            </w: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80" w:type="dxa"/>
            <w:vAlign w:val="bottom"/>
            <w:shd w:val="clear" w:color="auto" w:fill="CCEEFF"/>
          </w:tcPr>
          <w:p>
            <w:pPr>
              <w:spacing w:after="0"/>
              <w:rPr>
                <w:sz w:val="20"/>
                <w:szCs w:val="20"/>
                <w:color w:val="auto"/>
              </w:rPr>
            </w:pPr>
            <w:r>
              <w:rPr>
                <w:rFonts w:ascii="Arial" w:cs="Arial" w:eastAsia="Arial" w:hAnsi="Arial"/>
                <w:sz w:val="9"/>
                <w:szCs w:val="9"/>
                <w:color w:val="auto"/>
              </w:rPr>
              <w:t>(b)</w:t>
            </w:r>
          </w:p>
        </w:tc>
      </w:tr>
      <w:tr>
        <w:trPr>
          <w:trHeight w:val="189"/>
        </w:trPr>
        <w:tc>
          <w:tcPr>
            <w:tcW w:w="5240" w:type="dxa"/>
            <w:vAlign w:val="bottom"/>
            <w:tcBorders>
              <w:top w:val="single" w:sz="8" w:color="CCEEFF"/>
            </w:tcBorders>
          </w:tcPr>
          <w:p>
            <w:pPr>
              <w:spacing w:after="0" w:line="189" w:lineRule="exact"/>
              <w:rPr>
                <w:sz w:val="20"/>
                <w:szCs w:val="20"/>
                <w:color w:val="auto"/>
              </w:rPr>
            </w:pPr>
            <w:r>
              <w:rPr>
                <w:rFonts w:ascii="Arial" w:cs="Arial" w:eastAsia="Arial" w:hAnsi="Arial"/>
                <w:sz w:val="16"/>
                <w:szCs w:val="16"/>
                <w:color w:val="auto"/>
              </w:rPr>
              <w:t xml:space="preserve">Pre-IPO net income attributable to Tradeweb Markets LLC </w:t>
            </w:r>
            <w:r>
              <w:rPr>
                <w:rFonts w:ascii="Arial" w:cs="Arial" w:eastAsia="Arial" w:hAnsi="Arial"/>
                <w:sz w:val="17"/>
                <w:szCs w:val="17"/>
                <w:color w:val="auto"/>
                <w:vertAlign w:val="superscript"/>
              </w:rPr>
              <w:t>(1)</w:t>
            </w:r>
          </w:p>
        </w:tc>
        <w:tc>
          <w:tcPr>
            <w:tcW w:w="3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42,352</w:t>
            </w:r>
          </w:p>
        </w:tc>
        <w:tc>
          <w:tcPr>
            <w:tcW w:w="180" w:type="dxa"/>
            <w:vAlign w:val="bottom"/>
            <w:tcBorders>
              <w:top w:val="single" w:sz="8" w:color="CCEEFF"/>
            </w:tcBorders>
          </w:tcPr>
          <w:p>
            <w:pPr>
              <w:spacing w:after="0"/>
              <w:rPr>
                <w:sz w:val="16"/>
                <w:szCs w:val="16"/>
                <w:color w:val="auto"/>
              </w:rPr>
            </w:pPr>
          </w:p>
        </w:tc>
      </w:tr>
      <w:tr>
        <w:trPr>
          <w:trHeight w:val="203"/>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 xml:space="preserve">Net income attributable to Tradeweb Markets Inc. </w:t>
            </w:r>
            <w:r>
              <w:rPr>
                <w:rFonts w:ascii="Arial" w:cs="Arial" w:eastAsia="Arial" w:hAnsi="Arial"/>
                <w:sz w:val="17"/>
                <w:szCs w:val="17"/>
                <w:color w:val="auto"/>
                <w:vertAlign w:val="superscript"/>
              </w:rPr>
              <w:t>(1)</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43,928</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r>
      <w:tr>
        <w:trPr>
          <w:trHeight w:val="203"/>
        </w:trPr>
        <w:tc>
          <w:tcPr>
            <w:tcW w:w="52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 xml:space="preserve">Net income attributable to non-controlling interests </w:t>
            </w:r>
            <w:r>
              <w:rPr>
                <w:rFonts w:ascii="Arial" w:cs="Arial" w:eastAsia="Arial" w:hAnsi="Arial"/>
                <w:sz w:val="17"/>
                <w:szCs w:val="17"/>
                <w:color w:val="auto"/>
                <w:vertAlign w:val="superscript"/>
              </w:rPr>
              <w:t>(1)(2)</w:t>
            </w:r>
          </w:p>
        </w:tc>
        <w:tc>
          <w:tcPr>
            <w:tcW w:w="3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18,557</w:t>
            </w:r>
          </w:p>
        </w:tc>
        <w:tc>
          <w:tcPr>
            <w:tcW w:w="2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7"/>
                <w:szCs w:val="17"/>
                <w:color w:val="auto"/>
              </w:rPr>
            </w:pPr>
          </w:p>
        </w:tc>
      </w:tr>
      <w:tr>
        <w:trPr>
          <w:trHeight w:val="196"/>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62,485</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42,352</w:t>
            </w:r>
          </w:p>
        </w:tc>
        <w:tc>
          <w:tcPr>
            <w:tcW w:w="180" w:type="dxa"/>
            <w:vAlign w:val="bottom"/>
            <w:shd w:val="clear" w:color="auto" w:fill="CCEEFF"/>
          </w:tcPr>
          <w:p>
            <w:pPr>
              <w:spacing w:after="0"/>
              <w:rPr>
                <w:sz w:val="17"/>
                <w:szCs w:val="17"/>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15,829</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4,783</w:t>
            </w:r>
          </w:p>
        </w:tc>
        <w:tc>
          <w:tcPr>
            <w:tcW w:w="180" w:type="dxa"/>
            <w:vAlign w:val="bottom"/>
          </w:tcPr>
          <w:p>
            <w:pPr>
              <w:spacing w:after="0"/>
              <w:rPr>
                <w:sz w:val="17"/>
                <w:szCs w:val="17"/>
                <w:color w:val="auto"/>
              </w:rPr>
            </w:pPr>
          </w:p>
        </w:tc>
      </w:tr>
      <w:tr>
        <w:trPr>
          <w:trHeight w:val="203"/>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Acquisition and Refinitiv Transaction related D&amp;A</w:t>
            </w:r>
            <w:r>
              <w:rPr>
                <w:rFonts w:ascii="Arial" w:cs="Arial" w:eastAsia="Arial" w:hAnsi="Arial"/>
                <w:sz w:val="17"/>
                <w:szCs w:val="17"/>
                <w:color w:val="auto"/>
                <w:vertAlign w:val="superscript"/>
              </w:rPr>
              <w:t>(3)</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26,273</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23,209</w:t>
            </w:r>
          </w:p>
        </w:tc>
        <w:tc>
          <w:tcPr>
            <w:tcW w:w="180" w:type="dxa"/>
            <w:vAlign w:val="bottom"/>
            <w:shd w:val="clear" w:color="auto" w:fill="CCEEFF"/>
          </w:tcPr>
          <w:p>
            <w:pPr>
              <w:spacing w:after="0"/>
              <w:rPr>
                <w:sz w:val="17"/>
                <w:szCs w:val="17"/>
                <w:color w:val="auto"/>
              </w:rPr>
            </w:pPr>
          </w:p>
        </w:tc>
      </w:tr>
      <w:tr>
        <w:trPr>
          <w:trHeight w:val="202"/>
        </w:trPr>
        <w:tc>
          <w:tcPr>
            <w:tcW w:w="5240" w:type="dxa"/>
            <w:vAlign w:val="bottom"/>
          </w:tcPr>
          <w:p>
            <w:pPr>
              <w:spacing w:after="0"/>
              <w:rPr>
                <w:sz w:val="20"/>
                <w:szCs w:val="20"/>
                <w:color w:val="auto"/>
              </w:rPr>
            </w:pPr>
            <w:r>
              <w:rPr>
                <w:rFonts w:ascii="Arial" w:cs="Arial" w:eastAsia="Arial" w:hAnsi="Arial"/>
                <w:sz w:val="16"/>
                <w:szCs w:val="16"/>
                <w:color w:val="auto"/>
              </w:rPr>
              <w:t>Stock-based compensation expense</w:t>
            </w:r>
            <w:r>
              <w:rPr>
                <w:rFonts w:ascii="Arial" w:cs="Arial" w:eastAsia="Arial" w:hAnsi="Arial"/>
                <w:sz w:val="17"/>
                <w:szCs w:val="17"/>
                <w:color w:val="auto"/>
                <w:vertAlign w:val="superscript"/>
              </w:rPr>
              <w:t>(4)</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3,497</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r>
      <w:tr>
        <w:trPr>
          <w:trHeight w:val="203"/>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Unrealized foreign exchange (gains) / losses</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80" w:type="dxa"/>
            <w:vAlign w:val="bottom"/>
            <w:shd w:val="clear" w:color="auto" w:fill="CCEEFF"/>
          </w:tcPr>
          <w:p>
            <w:pPr>
              <w:spacing w:after="0"/>
              <w:rPr>
                <w:sz w:val="17"/>
                <w:szCs w:val="17"/>
                <w:color w:val="auto"/>
              </w:rPr>
            </w:pPr>
          </w:p>
        </w:tc>
      </w:tr>
      <w:tr>
        <w:trPr>
          <w:trHeight w:val="203"/>
        </w:trPr>
        <w:tc>
          <w:tcPr>
            <w:tcW w:w="52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Loss from revaluation of foreign denominated cash</w:t>
            </w:r>
            <w:r>
              <w:rPr>
                <w:rFonts w:ascii="Arial" w:cs="Arial" w:eastAsia="Arial" w:hAnsi="Arial"/>
                <w:sz w:val="17"/>
                <w:szCs w:val="17"/>
                <w:color w:val="auto"/>
                <w:vertAlign w:val="superscript"/>
              </w:rPr>
              <w:t>(5)</w:t>
            </w:r>
          </w:p>
        </w:tc>
        <w:tc>
          <w:tcPr>
            <w:tcW w:w="3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2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w:t>
            </w:r>
          </w:p>
        </w:tc>
        <w:tc>
          <w:tcPr>
            <w:tcW w:w="180" w:type="dxa"/>
            <w:vAlign w:val="bottom"/>
            <w:tcBorders>
              <w:bottom w:val="single" w:sz="8" w:color="CCEEFF"/>
            </w:tcBorders>
          </w:tcPr>
          <w:p>
            <w:pPr>
              <w:spacing w:after="0"/>
              <w:rPr>
                <w:sz w:val="17"/>
                <w:szCs w:val="17"/>
                <w:color w:val="auto"/>
              </w:rPr>
            </w:pPr>
          </w:p>
        </w:tc>
      </w:tr>
      <w:tr>
        <w:trPr>
          <w:trHeight w:val="196"/>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Adjusted Net Income before income taxes</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109,446</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70,911</w:t>
            </w:r>
          </w:p>
        </w:tc>
        <w:tc>
          <w:tcPr>
            <w:tcW w:w="180" w:type="dxa"/>
            <w:vAlign w:val="bottom"/>
            <w:shd w:val="clear" w:color="auto" w:fill="CCEEFF"/>
          </w:tcPr>
          <w:p>
            <w:pPr>
              <w:spacing w:after="0"/>
              <w:rPr>
                <w:sz w:val="17"/>
                <w:szCs w:val="17"/>
                <w:color w:val="auto"/>
              </w:rPr>
            </w:pPr>
          </w:p>
        </w:tc>
      </w:tr>
      <w:tr>
        <w:trPr>
          <w:trHeight w:val="203"/>
        </w:trPr>
        <w:tc>
          <w:tcPr>
            <w:tcW w:w="52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Adjusted income taxes</w:t>
            </w:r>
            <w:r>
              <w:rPr>
                <w:rFonts w:ascii="Arial" w:cs="Arial" w:eastAsia="Arial" w:hAnsi="Arial"/>
                <w:sz w:val="17"/>
                <w:szCs w:val="17"/>
                <w:color w:val="auto"/>
                <w:vertAlign w:val="superscript"/>
              </w:rPr>
              <w:t>(6)</w:t>
            </w:r>
          </w:p>
        </w:tc>
        <w:tc>
          <w:tcPr>
            <w:tcW w:w="3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(24,078)</w:t>
            </w:r>
          </w:p>
        </w:tc>
        <w:tc>
          <w:tcPr>
            <w:tcW w:w="2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(18,721)</w:t>
            </w:r>
          </w:p>
        </w:tc>
        <w:tc>
          <w:tcPr>
            <w:tcW w:w="180" w:type="dxa"/>
            <w:vAlign w:val="bottom"/>
            <w:tcBorders>
              <w:bottom w:val="single" w:sz="8" w:color="CCEEFF"/>
            </w:tcBorders>
          </w:tcPr>
          <w:p>
            <w:pPr>
              <w:spacing w:after="0"/>
              <w:rPr>
                <w:sz w:val="17"/>
                <w:szCs w:val="17"/>
                <w:color w:val="auto"/>
              </w:rPr>
            </w:pPr>
          </w:p>
        </w:tc>
      </w:tr>
      <w:tr>
        <w:trPr>
          <w:trHeight w:val="216"/>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Adjusted Net Income</w:t>
            </w: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85,368</w:t>
            </w:r>
          </w:p>
        </w:tc>
        <w:tc>
          <w:tcPr>
            <w:tcW w:w="2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52,190</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197"/>
        </w:trPr>
        <w:tc>
          <w:tcPr>
            <w:tcW w:w="5240" w:type="dxa"/>
            <w:vAlign w:val="bottom"/>
          </w:tcPr>
          <w:p>
            <w:pPr>
              <w:spacing w:after="0" w:line="189" w:lineRule="exact"/>
              <w:rPr>
                <w:sz w:val="20"/>
                <w:szCs w:val="20"/>
                <w:color w:val="auto"/>
              </w:rPr>
            </w:pPr>
            <w:r>
              <w:rPr>
                <w:rFonts w:ascii="Arial" w:cs="Arial" w:eastAsia="Arial" w:hAnsi="Arial"/>
                <w:sz w:val="16"/>
                <w:szCs w:val="16"/>
                <w:color w:val="auto"/>
              </w:rPr>
              <w:t xml:space="preserve">Adjusted Diluted EPS </w:t>
            </w:r>
            <w:r>
              <w:rPr>
                <w:rFonts w:ascii="Arial" w:cs="Arial" w:eastAsia="Arial" w:hAnsi="Arial"/>
                <w:sz w:val="17"/>
                <w:szCs w:val="17"/>
                <w:color w:val="auto"/>
                <w:vertAlign w:val="superscript"/>
              </w:rPr>
              <w:t>(1)(7)</w:t>
            </w:r>
          </w:p>
        </w:tc>
        <w:tc>
          <w:tcPr>
            <w:tcW w:w="30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0.37</w:t>
            </w:r>
          </w:p>
        </w:tc>
        <w:tc>
          <w:tcPr>
            <w:tcW w:w="280" w:type="dxa"/>
            <w:vAlign w:val="bottom"/>
          </w:tcPr>
          <w:p>
            <w:pPr>
              <w:spacing w:after="0"/>
              <w:rPr>
                <w:sz w:val="20"/>
                <w:szCs w:val="20"/>
                <w:color w:val="auto"/>
              </w:rPr>
            </w:pPr>
            <w:r>
              <w:rPr>
                <w:rFonts w:ascii="Arial" w:cs="Arial" w:eastAsia="Arial" w:hAnsi="Arial"/>
                <w:sz w:val="9"/>
                <w:szCs w:val="9"/>
                <w:color w:val="auto"/>
              </w:rPr>
              <w:t>(a)</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0.23</w:t>
            </w:r>
          </w:p>
        </w:tc>
        <w:tc>
          <w:tcPr>
            <w:tcW w:w="180" w:type="dxa"/>
            <w:vAlign w:val="bottom"/>
          </w:tcPr>
          <w:p>
            <w:pPr>
              <w:spacing w:after="0"/>
              <w:rPr>
                <w:sz w:val="20"/>
                <w:szCs w:val="20"/>
                <w:color w:val="auto"/>
              </w:rPr>
            </w:pPr>
            <w:r>
              <w:rPr>
                <w:rFonts w:ascii="Arial" w:cs="Arial" w:eastAsia="Arial" w:hAnsi="Arial"/>
                <w:sz w:val="9"/>
                <w:szCs w:val="9"/>
                <w:color w:val="auto"/>
              </w:rPr>
              <w:t>(b)</w:t>
            </w:r>
          </w:p>
        </w:tc>
      </w:tr>
    </w:tbl>
    <w:p>
      <w:pPr>
        <w:spacing w:after="0" w:line="377" w:lineRule="exact"/>
        <w:rPr>
          <w:sz w:val="20"/>
          <w:szCs w:val="20"/>
          <w:color w:val="auto"/>
        </w:rPr>
      </w:pPr>
    </w:p>
    <w:p>
      <w:pPr>
        <w:ind w:left="660" w:right="600" w:hanging="327"/>
        <w:spacing w:after="0" w:line="258" w:lineRule="auto"/>
        <w:tabs>
          <w:tab w:leader="none" w:pos="660" w:val="left"/>
        </w:tabs>
        <w:numPr>
          <w:ilvl w:val="0"/>
          <w:numId w:val="8"/>
        </w:numPr>
        <w:rPr>
          <w:rFonts w:ascii="Arial" w:cs="Arial" w:eastAsia="Arial" w:hAnsi="Arial"/>
          <w:sz w:val="13"/>
          <w:szCs w:val="13"/>
          <w:color w:val="auto"/>
        </w:rPr>
      </w:pPr>
      <w:r>
        <w:rPr>
          <w:rFonts w:ascii="Arial" w:cs="Arial" w:eastAsia="Arial" w:hAnsi="Arial"/>
          <w:sz w:val="13"/>
          <w:szCs w:val="13"/>
          <w:color w:val="auto"/>
        </w:rPr>
        <w:t>In April 2019, the Company completed the Reorganization Transactions and the IPO. As a result, certain earnings information is being presented separately for Tradeweb Markets LLC and Tradeweb Markets Inc.</w:t>
      </w:r>
    </w:p>
    <w:p>
      <w:pPr>
        <w:spacing w:after="0" w:line="29" w:lineRule="exact"/>
        <w:rPr>
          <w:rFonts w:ascii="Arial" w:cs="Arial" w:eastAsia="Arial" w:hAnsi="Arial"/>
          <w:sz w:val="13"/>
          <w:szCs w:val="13"/>
          <w:color w:val="auto"/>
        </w:rPr>
      </w:pPr>
    </w:p>
    <w:p>
      <w:pPr>
        <w:ind w:left="1040" w:hanging="221"/>
        <w:spacing w:after="0"/>
        <w:tabs>
          <w:tab w:leader="none" w:pos="1040" w:val="left"/>
        </w:tabs>
        <w:numPr>
          <w:ilvl w:val="1"/>
          <w:numId w:val="8"/>
        </w:numPr>
        <w:rPr>
          <w:rFonts w:ascii="Arial" w:cs="Arial" w:eastAsia="Arial" w:hAnsi="Arial"/>
          <w:sz w:val="13"/>
          <w:szCs w:val="13"/>
          <w:color w:val="auto"/>
        </w:rPr>
      </w:pPr>
      <w:r>
        <w:rPr>
          <w:rFonts w:ascii="Arial" w:cs="Arial" w:eastAsia="Arial" w:hAnsi="Arial"/>
          <w:sz w:val="13"/>
          <w:szCs w:val="13"/>
          <w:color w:val="auto"/>
        </w:rPr>
        <w:t>Presents information for Tradeweb Markets Inc. (post-IPO period).</w:t>
      </w:r>
    </w:p>
    <w:p>
      <w:pPr>
        <w:spacing w:after="0" w:line="53" w:lineRule="exact"/>
        <w:rPr>
          <w:rFonts w:ascii="Arial" w:cs="Arial" w:eastAsia="Arial" w:hAnsi="Arial"/>
          <w:sz w:val="13"/>
          <w:szCs w:val="13"/>
          <w:color w:val="auto"/>
        </w:rPr>
      </w:pPr>
    </w:p>
    <w:p>
      <w:pPr>
        <w:ind w:left="1040" w:hanging="221"/>
        <w:spacing w:after="0"/>
        <w:tabs>
          <w:tab w:leader="none" w:pos="1040" w:val="left"/>
        </w:tabs>
        <w:numPr>
          <w:ilvl w:val="1"/>
          <w:numId w:val="8"/>
        </w:numPr>
        <w:rPr>
          <w:rFonts w:ascii="Arial" w:cs="Arial" w:eastAsia="Arial" w:hAnsi="Arial"/>
          <w:sz w:val="13"/>
          <w:szCs w:val="13"/>
          <w:color w:val="auto"/>
        </w:rPr>
      </w:pPr>
      <w:r>
        <w:rPr>
          <w:rFonts w:ascii="Arial" w:cs="Arial" w:eastAsia="Arial" w:hAnsi="Arial"/>
          <w:sz w:val="13"/>
          <w:szCs w:val="13"/>
          <w:color w:val="auto"/>
        </w:rPr>
        <w:t>Presents information for Tradeweb Markets LLC (pre-IPO period).</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3"/>
          <w:szCs w:val="13"/>
          <w:color w:val="auto"/>
        </w:rPr>
        <w:t>See the “Basic and Diluted EPS Calculations” table below for additional information.</w:t>
      </w:r>
    </w:p>
    <w:p>
      <w:pPr>
        <w:spacing w:after="0" w:line="53" w:lineRule="exact"/>
        <w:rPr>
          <w:sz w:val="20"/>
          <w:szCs w:val="20"/>
          <w:color w:val="auto"/>
        </w:rPr>
      </w:pPr>
    </w:p>
    <w:p>
      <w:pPr>
        <w:ind w:left="660" w:right="80" w:hanging="327"/>
        <w:spacing w:after="0" w:line="258" w:lineRule="auto"/>
        <w:tabs>
          <w:tab w:leader="none" w:pos="660" w:val="left"/>
        </w:tabs>
        <w:numPr>
          <w:ilvl w:val="0"/>
          <w:numId w:val="9"/>
        </w:numPr>
        <w:rPr>
          <w:rFonts w:ascii="Arial" w:cs="Arial" w:eastAsia="Arial" w:hAnsi="Arial"/>
          <w:sz w:val="13"/>
          <w:szCs w:val="13"/>
          <w:color w:val="auto"/>
        </w:rPr>
      </w:pPr>
      <w:r>
        <w:rPr>
          <w:rFonts w:ascii="Arial" w:cs="Arial" w:eastAsia="Arial" w:hAnsi="Arial"/>
          <w:sz w:val="13"/>
          <w:szCs w:val="13"/>
          <w:color w:val="auto"/>
        </w:rPr>
        <w:t>For post-IPO periods, represents the reallocation of net income attributable to non-controlling interests from the assumed exchange of all outstanding LLC Interests held by non-controlling interests for shares of Class A or Class B common stock.</w:t>
      </w:r>
    </w:p>
    <w:p>
      <w:pPr>
        <w:spacing w:after="0" w:line="29" w:lineRule="exact"/>
        <w:rPr>
          <w:rFonts w:ascii="Arial" w:cs="Arial" w:eastAsia="Arial" w:hAnsi="Arial"/>
          <w:sz w:val="13"/>
          <w:szCs w:val="13"/>
          <w:color w:val="auto"/>
        </w:rPr>
      </w:pPr>
    </w:p>
    <w:p>
      <w:pPr>
        <w:ind w:left="660" w:right="80" w:hanging="327"/>
        <w:spacing w:after="0" w:line="251" w:lineRule="auto"/>
        <w:tabs>
          <w:tab w:leader="none" w:pos="660" w:val="left"/>
        </w:tabs>
        <w:numPr>
          <w:ilvl w:val="0"/>
          <w:numId w:val="9"/>
        </w:numPr>
        <w:rPr>
          <w:rFonts w:ascii="Arial" w:cs="Arial" w:eastAsia="Arial" w:hAnsi="Arial"/>
          <w:sz w:val="13"/>
          <w:szCs w:val="13"/>
          <w:color w:val="auto"/>
        </w:rPr>
      </w:pPr>
      <w:r>
        <w:rPr>
          <w:rFonts w:ascii="Arial" w:cs="Arial" w:eastAsia="Arial" w:hAnsi="Arial"/>
          <w:sz w:val="13"/>
          <w:szCs w:val="13"/>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pacing w:after="0" w:line="186" w:lineRule="exact"/>
        <w:rPr>
          <w:rFonts w:ascii="Arial" w:cs="Arial" w:eastAsia="Arial" w:hAnsi="Arial"/>
          <w:sz w:val="13"/>
          <w:szCs w:val="13"/>
          <w:color w:val="auto"/>
        </w:rPr>
      </w:pPr>
    </w:p>
    <w:p>
      <w:pPr>
        <w:ind w:left="660" w:right="240" w:hanging="327"/>
        <w:spacing w:after="0" w:line="258" w:lineRule="auto"/>
        <w:tabs>
          <w:tab w:leader="none" w:pos="660" w:val="left"/>
        </w:tabs>
        <w:numPr>
          <w:ilvl w:val="0"/>
          <w:numId w:val="9"/>
        </w:numPr>
        <w:rPr>
          <w:rFonts w:ascii="Arial" w:cs="Arial" w:eastAsia="Arial" w:hAnsi="Arial"/>
          <w:sz w:val="13"/>
          <w:szCs w:val="13"/>
          <w:color w:val="auto"/>
        </w:rPr>
      </w:pPr>
      <w:r>
        <w:rPr>
          <w:rFonts w:ascii="Arial" w:cs="Arial" w:eastAsia="Arial" w:hAnsi="Arial"/>
          <w:sz w:val="13"/>
          <w:szCs w:val="13"/>
          <w:color w:val="auto"/>
        </w:rPr>
        <w:t>Represents non-cash stock-based compensation expense associated with the Special Option Award and post-IPO options awarded in 2019 and payroll taxes associated with exercises of such options during the applicable period.</w:t>
      </w:r>
    </w:p>
    <w:p>
      <w:pPr>
        <w:spacing w:after="0" w:line="29" w:lineRule="exact"/>
        <w:rPr>
          <w:rFonts w:ascii="Arial" w:cs="Arial" w:eastAsia="Arial" w:hAnsi="Arial"/>
          <w:sz w:val="13"/>
          <w:szCs w:val="13"/>
          <w:color w:val="auto"/>
        </w:rPr>
      </w:pPr>
    </w:p>
    <w:p>
      <w:pPr>
        <w:ind w:left="660" w:hanging="327"/>
        <w:spacing w:after="0"/>
        <w:tabs>
          <w:tab w:leader="none" w:pos="660" w:val="left"/>
        </w:tabs>
        <w:numPr>
          <w:ilvl w:val="0"/>
          <w:numId w:val="9"/>
        </w:numPr>
        <w:rPr>
          <w:rFonts w:ascii="Arial" w:cs="Arial" w:eastAsia="Arial" w:hAnsi="Arial"/>
          <w:sz w:val="13"/>
          <w:szCs w:val="13"/>
          <w:color w:val="auto"/>
        </w:rPr>
      </w:pPr>
      <w:r>
        <w:rPr>
          <w:rFonts w:ascii="Arial" w:cs="Arial" w:eastAsia="Arial" w:hAnsi="Arial"/>
          <w:sz w:val="13"/>
          <w:szCs w:val="13"/>
          <w:color w:val="auto"/>
        </w:rPr>
        <w:t>Represents foreign exchange gain or loss from the revaluation of cash denominated in a different currency than the entity’s functional currency.</w:t>
      </w:r>
    </w:p>
    <w:p>
      <w:pPr>
        <w:spacing w:after="0" w:line="53" w:lineRule="exact"/>
        <w:rPr>
          <w:rFonts w:ascii="Arial" w:cs="Arial" w:eastAsia="Arial" w:hAnsi="Arial"/>
          <w:sz w:val="13"/>
          <w:szCs w:val="13"/>
          <w:color w:val="auto"/>
        </w:rPr>
      </w:pPr>
    </w:p>
    <w:p>
      <w:pPr>
        <w:ind w:left="660" w:right="340" w:hanging="327"/>
        <w:spacing w:after="0" w:line="258" w:lineRule="auto"/>
        <w:tabs>
          <w:tab w:leader="none" w:pos="660" w:val="left"/>
        </w:tabs>
        <w:numPr>
          <w:ilvl w:val="0"/>
          <w:numId w:val="9"/>
        </w:numPr>
        <w:rPr>
          <w:rFonts w:ascii="Arial" w:cs="Arial" w:eastAsia="Arial" w:hAnsi="Arial"/>
          <w:sz w:val="13"/>
          <w:szCs w:val="13"/>
          <w:color w:val="auto"/>
        </w:rPr>
      </w:pPr>
      <w:r>
        <w:rPr>
          <w:rFonts w:ascii="Arial" w:cs="Arial" w:eastAsia="Arial" w:hAnsi="Arial"/>
          <w:sz w:val="13"/>
          <w:szCs w:val="13"/>
          <w:color w:val="auto"/>
        </w:rPr>
        <w:t>Represents corporate income taxes at an assumed effective tax rate of 22.0% and 26.4% applied to Adjusted Net Income before income taxes for the three months ended March 31, 2020 and 2019, respectively.</w:t>
      </w:r>
    </w:p>
    <w:p>
      <w:pPr>
        <w:spacing w:after="0" w:line="245" w:lineRule="exact"/>
        <w:rPr>
          <w:sz w:val="20"/>
          <w:szCs w:val="20"/>
          <w:color w:val="auto"/>
        </w:rPr>
      </w:pPr>
    </w:p>
    <w:p>
      <w:pPr>
        <w:ind w:left="9200"/>
        <w:spacing w:after="0"/>
        <w:rPr>
          <w:sz w:val="20"/>
          <w:szCs w:val="20"/>
          <w:color w:val="auto"/>
        </w:rPr>
      </w:pPr>
      <w:r>
        <w:rPr>
          <w:rFonts w:ascii="Arial" w:cs="Arial" w:eastAsia="Arial" w:hAnsi="Arial"/>
          <w:sz w:val="18"/>
          <w:szCs w:val="18"/>
          <w:color w:val="auto"/>
        </w:rPr>
        <w:t>Page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16" w:right="999" w:bottom="1440" w:gutter="0" w:footer="0" w:header="0"/>
        </w:sectPr>
      </w:pPr>
    </w:p>
    <w:bookmarkStart w:id="8" w:name="page9"/>
    <w:bookmarkEnd w:id="8"/>
    <w:p>
      <w:pPr>
        <w:ind w:left="660" w:right="180" w:hanging="327"/>
        <w:spacing w:after="0" w:line="243" w:lineRule="auto"/>
        <w:tabs>
          <w:tab w:leader="none" w:pos="6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Adjusted Diluted EPS includes certain tax related adjustments to reflect an assumed effective tax rate for all periods presented and, for the three months ended March 31, 2020, assumes all LLC Interests are exchanged for shares of Class A or Class B common stock. As a result, we believe that Adjusted Diluted EPS for Tradeweb Markets Inc. and Tradeweb Markets LLC are comparable. Due to the Reorganization Transactions and the IPO completed in April 2019, shares outstanding during the three months ended March 31, 2020 represent shares of Class A and Class B common stock of Tradeweb Markets, Inc. (post-IPO period) and shares outstanding during the three months ended March 31, 2019 represent shares of TWM LLC (pre-IPO period).</w:t>
      </w:r>
    </w:p>
    <w:p>
      <w:pPr>
        <w:spacing w:after="0" w:line="200" w:lineRule="exact"/>
        <w:rPr>
          <w:sz w:val="20"/>
          <w:szCs w:val="20"/>
          <w:color w:val="auto"/>
        </w:rPr>
      </w:pPr>
    </w:p>
    <w:p>
      <w:pPr>
        <w:spacing w:after="0" w:line="223" w:lineRule="exact"/>
        <w:rPr>
          <w:sz w:val="20"/>
          <w:szCs w:val="20"/>
          <w:color w:val="auto"/>
        </w:rPr>
      </w:pPr>
    </w:p>
    <w:p>
      <w:pPr>
        <w:ind w:left="80"/>
        <w:spacing w:after="0"/>
        <w:rPr>
          <w:sz w:val="20"/>
          <w:szCs w:val="20"/>
          <w:color w:val="auto"/>
        </w:rPr>
      </w:pPr>
      <w:r>
        <w:rPr>
          <w:rFonts w:ascii="Arial" w:cs="Arial" w:eastAsia="Arial" w:hAnsi="Arial"/>
          <w:sz w:val="14"/>
          <w:szCs w:val="14"/>
          <w:color w:val="auto"/>
        </w:rPr>
        <w:t>The following table summarizes the calculation of Adjusted Diluted EPS for the periods presented:</w:t>
      </w:r>
    </w:p>
    <w:p>
      <w:pPr>
        <w:sectPr>
          <w:pgSz w:w="11900" w:h="16838" w:orient="portrait"/>
          <w:cols w:equalWidth="0" w:num="1">
            <w:col w:w="9920"/>
          </w:cols>
          <w:pgMar w:left="980" w:top="341" w:right="999" w:bottom="1440" w:gutter="0" w:footer="0" w:header="0"/>
        </w:sectPr>
      </w:pPr>
    </w:p>
    <w:p>
      <w:pPr>
        <w:spacing w:after="0" w:line="320" w:lineRule="exact"/>
        <w:rPr>
          <w:sz w:val="20"/>
          <w:szCs w:val="20"/>
          <w:color w:val="auto"/>
        </w:rPr>
      </w:pPr>
    </w:p>
    <w:p>
      <w:pPr>
        <w:ind w:right="860"/>
        <w:spacing w:after="0" w:line="293" w:lineRule="auto"/>
        <w:rPr>
          <w:sz w:val="20"/>
          <w:szCs w:val="20"/>
          <w:color w:val="auto"/>
        </w:rPr>
      </w:pPr>
      <w:r>
        <w:rPr>
          <w:rFonts w:ascii="Arial" w:cs="Arial" w:eastAsia="Arial" w:hAnsi="Arial"/>
          <w:sz w:val="15"/>
          <w:szCs w:val="15"/>
          <w:b w:val="1"/>
          <w:bCs w:val="1"/>
          <w:color w:val="auto"/>
        </w:rPr>
        <w:t>Reconciliation of Diluted Weighted Average Shares Outstanding to Adjusted Diluted Weighted 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wp:posOffset>
            </wp:positionV>
            <wp:extent cx="629221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Diluted weighted average TWM LLC shares outstanding</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Diluted weighted average shares of Class A and Class B common stock outstanding</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Assumed exchange of LLC interests for shares of Class A or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-76835</wp:posOffset>
            </wp:positionV>
            <wp:extent cx="6292215"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9705"/>
                    </a:xfrm>
                    <a:prstGeom prst="rect">
                      <a:avLst/>
                    </a:prstGeom>
                    <a:noFill/>
                  </pic:spPr>
                </pic:pic>
              </a:graphicData>
            </a:graphic>
          </wp:anchor>
        </w:drawing>
      </w:r>
    </w:p>
    <w:p>
      <w:pPr>
        <w:spacing w:after="0"/>
        <w:rPr>
          <w:sz w:val="20"/>
          <w:szCs w:val="20"/>
          <w:color w:val="auto"/>
        </w:rPr>
      </w:pPr>
      <w:r>
        <w:rPr>
          <w:rFonts w:ascii="Arial" w:cs="Arial" w:eastAsia="Arial" w:hAnsi="Arial"/>
          <w:sz w:val="9"/>
          <w:szCs w:val="9"/>
          <w:color w:val="auto"/>
        </w:rPr>
        <w:t>(1)</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Three Months Ended</w:t>
            </w:r>
          </w:p>
        </w:tc>
        <w:tc>
          <w:tcPr>
            <w:tcW w:w="1900" w:type="dxa"/>
            <w:vAlign w:val="bottom"/>
          </w:tcPr>
          <w:p>
            <w:pPr>
              <w:jc w:val="right"/>
              <w:ind w:right="139"/>
              <w:spacing w:after="0"/>
              <w:rPr>
                <w:sz w:val="20"/>
                <w:szCs w:val="20"/>
                <w:color w:val="auto"/>
              </w:rPr>
            </w:pPr>
            <w:r>
              <w:rPr>
                <w:rFonts w:ascii="Arial" w:cs="Arial" w:eastAsia="Arial" w:hAnsi="Arial"/>
                <w:sz w:val="16"/>
                <w:szCs w:val="16"/>
                <w:b w:val="1"/>
                <w:bCs w:val="1"/>
                <w:color w:val="auto"/>
              </w:rPr>
              <w:t>Three Months Ended</w:t>
            </w:r>
          </w:p>
        </w:tc>
      </w:tr>
      <w:tr>
        <w:trPr>
          <w:trHeight w:val="213"/>
        </w:trPr>
        <w:tc>
          <w:tcPr>
            <w:tcW w:w="2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March 31, 2020</w:t>
            </w:r>
          </w:p>
        </w:tc>
        <w:tc>
          <w:tcPr>
            <w:tcW w:w="1900" w:type="dxa"/>
            <w:vAlign w:val="bottom"/>
          </w:tcPr>
          <w:p>
            <w:pPr>
              <w:jc w:val="right"/>
              <w:ind w:right="339"/>
              <w:spacing w:after="0"/>
              <w:rPr>
                <w:sz w:val="20"/>
                <w:szCs w:val="20"/>
                <w:color w:val="auto"/>
              </w:rPr>
            </w:pPr>
            <w:r>
              <w:rPr>
                <w:rFonts w:ascii="Arial" w:cs="Arial" w:eastAsia="Arial" w:hAnsi="Arial"/>
                <w:sz w:val="16"/>
                <w:szCs w:val="16"/>
                <w:b w:val="1"/>
                <w:bCs w:val="1"/>
                <w:color w:val="auto"/>
              </w:rPr>
              <w:t>March 31, 2019</w:t>
            </w:r>
          </w:p>
        </w:tc>
      </w:tr>
      <w:tr>
        <w:trPr>
          <w:trHeight w:val="189"/>
        </w:trPr>
        <w:tc>
          <w:tcPr>
            <w:tcW w:w="1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223,320,457</w:t>
            </w:r>
          </w:p>
        </w:tc>
      </w:tr>
      <w:tr>
        <w:trPr>
          <w:trHeight w:val="206"/>
        </w:trPr>
        <w:tc>
          <w:tcPr>
            <w:tcW w:w="1900" w:type="dxa"/>
            <w:vAlign w:val="bottom"/>
          </w:tcPr>
          <w:p>
            <w:pPr>
              <w:jc w:val="right"/>
              <w:spacing w:after="0"/>
              <w:rPr>
                <w:sz w:val="20"/>
                <w:szCs w:val="20"/>
                <w:color w:val="auto"/>
              </w:rPr>
            </w:pPr>
            <w:r>
              <w:rPr>
                <w:rFonts w:ascii="Arial" w:cs="Arial" w:eastAsia="Arial" w:hAnsi="Arial"/>
                <w:sz w:val="16"/>
                <w:szCs w:val="16"/>
                <w:color w:val="auto"/>
              </w:rPr>
              <w:t>174,517,244</w:t>
            </w:r>
          </w:p>
        </w:tc>
        <w:tc>
          <w:tcPr>
            <w:tcW w:w="26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3"/>
        </w:trPr>
        <w:tc>
          <w:tcPr>
            <w:tcW w:w="1900" w:type="dxa"/>
            <w:vAlign w:val="bottom"/>
          </w:tcPr>
          <w:p>
            <w:pPr>
              <w:jc w:val="right"/>
              <w:spacing w:after="0"/>
              <w:rPr>
                <w:sz w:val="20"/>
                <w:szCs w:val="20"/>
                <w:color w:val="auto"/>
              </w:rPr>
            </w:pPr>
            <w:r>
              <w:rPr>
                <w:rFonts w:ascii="Arial" w:cs="Arial" w:eastAsia="Arial" w:hAnsi="Arial"/>
                <w:sz w:val="16"/>
                <w:szCs w:val="16"/>
                <w:color w:val="auto"/>
              </w:rPr>
              <w:t>57,644,547</w:t>
            </w:r>
          </w:p>
        </w:tc>
        <w:tc>
          <w:tcPr>
            <w:tcW w:w="2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1" w:lineRule="exact"/>
        <w:rPr>
          <w:sz w:val="20"/>
          <w:szCs w:val="20"/>
          <w:color w:val="auto"/>
        </w:rPr>
      </w:pPr>
    </w:p>
    <w:p>
      <w:pPr>
        <w:sectPr>
          <w:pgSz w:w="11900" w:h="16838" w:orient="portrait"/>
          <w:cols w:equalWidth="0" w:num="2">
            <w:col w:w="5480" w:space="380"/>
            <w:col w:w="4060"/>
          </w:cols>
          <w:pgMar w:left="980" w:top="341" w:right="99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58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Adjusted diluted weighted average shares outstanding</w:t>
            </w:r>
          </w:p>
        </w:tc>
        <w:tc>
          <w:tcPr>
            <w:tcW w:w="5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232,161,791</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223,320,457</w:t>
            </w:r>
          </w:p>
        </w:tc>
      </w:tr>
      <w:tr>
        <w:trPr>
          <w:trHeight w:val="223"/>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Adjusted Net Income (in thousands)</w:t>
            </w:r>
          </w:p>
        </w:tc>
        <w:tc>
          <w:tcPr>
            <w:tcW w:w="560" w:type="dxa"/>
            <w:vAlign w:val="bottom"/>
            <w:tcBorders>
              <w:bottom w:val="single" w:sz="8" w:color="auto"/>
            </w:tcBorders>
            <w:shd w:val="clear" w:color="auto" w:fill="CCEEFF"/>
          </w:tcPr>
          <w:p>
            <w:pPr>
              <w:jc w:val="right"/>
              <w:ind w:right="40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85,368</w:t>
            </w:r>
          </w:p>
        </w:tc>
        <w:tc>
          <w:tcPr>
            <w:tcW w:w="2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52,190</w:t>
            </w:r>
          </w:p>
        </w:tc>
      </w:tr>
      <w:tr>
        <w:trPr>
          <w:trHeight w:val="197"/>
        </w:trPr>
        <w:tc>
          <w:tcPr>
            <w:tcW w:w="5860" w:type="dxa"/>
            <w:vAlign w:val="bottom"/>
          </w:tcPr>
          <w:p>
            <w:pPr>
              <w:spacing w:after="0"/>
              <w:rPr>
                <w:sz w:val="20"/>
                <w:szCs w:val="20"/>
                <w:color w:val="auto"/>
              </w:rPr>
            </w:pPr>
            <w:r>
              <w:rPr>
                <w:rFonts w:ascii="Arial" w:cs="Arial" w:eastAsia="Arial" w:hAnsi="Arial"/>
                <w:sz w:val="16"/>
                <w:szCs w:val="16"/>
                <w:color w:val="auto"/>
              </w:rPr>
              <w:t>Adjusted Diluted EPS</w:t>
            </w:r>
          </w:p>
        </w:tc>
        <w:tc>
          <w:tcPr>
            <w:tcW w:w="56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0.37</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42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0.23</w:t>
            </w:r>
          </w:p>
        </w:tc>
      </w:tr>
    </w:tbl>
    <w:p>
      <w:pPr>
        <w:spacing w:after="0" w:line="215" w:lineRule="exact"/>
        <w:rPr>
          <w:sz w:val="20"/>
          <w:szCs w:val="20"/>
          <w:color w:val="auto"/>
        </w:rPr>
      </w:pPr>
    </w:p>
    <w:p>
      <w:pPr>
        <w:ind w:left="660" w:right="220" w:hanging="327"/>
        <w:spacing w:after="0" w:line="258" w:lineRule="auto"/>
        <w:tabs>
          <w:tab w:leader="none" w:pos="6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Assumes the full exchange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8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w w:val="92"/>
              </w:rPr>
              <w:t>Three Months Ended</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right"/>
              <w:ind w:right="179"/>
              <w:spacing w:after="0"/>
              <w:rPr>
                <w:sz w:val="20"/>
                <w:szCs w:val="20"/>
                <w:color w:val="auto"/>
              </w:rPr>
            </w:pPr>
            <w:r>
              <w:rPr>
                <w:rFonts w:ascii="Arial" w:cs="Arial" w:eastAsia="Arial" w:hAnsi="Arial"/>
                <w:sz w:val="16"/>
                <w:szCs w:val="16"/>
                <w:b w:val="1"/>
                <w:bCs w:val="1"/>
                <w:color w:val="auto"/>
                <w:w w:val="90"/>
              </w:rPr>
              <w:t>Three Months Ended</w:t>
            </w:r>
          </w:p>
        </w:tc>
      </w:tr>
      <w:tr>
        <w:trPr>
          <w:trHeight w:val="213"/>
        </w:trPr>
        <w:tc>
          <w:tcPr>
            <w:tcW w:w="5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Reconciliation of Operating Expenses to Adjusted Expenses</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2"/>
          </w:tcPr>
          <w:p>
            <w:pPr>
              <w:jc w:val="center"/>
              <w:ind w:right="620"/>
              <w:spacing w:after="0"/>
              <w:rPr>
                <w:sz w:val="20"/>
                <w:szCs w:val="20"/>
                <w:color w:val="auto"/>
              </w:rPr>
            </w:pPr>
            <w:r>
              <w:rPr>
                <w:rFonts w:ascii="Arial" w:cs="Arial" w:eastAsia="Arial" w:hAnsi="Arial"/>
                <w:sz w:val="16"/>
                <w:szCs w:val="16"/>
                <w:b w:val="1"/>
                <w:bCs w:val="1"/>
                <w:color w:val="auto"/>
                <w:w w:val="93"/>
              </w:rPr>
              <w:t>March 31, 2020</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March 31, 2019</w:t>
            </w:r>
          </w:p>
        </w:tc>
      </w:tr>
      <w:tr>
        <w:trPr>
          <w:trHeight w:val="199"/>
        </w:trPr>
        <w:tc>
          <w:tcPr>
            <w:tcW w:w="5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40" w:type="dxa"/>
            <w:vAlign w:val="bottom"/>
            <w:gridSpan w:val="4"/>
          </w:tcPr>
          <w:p>
            <w:pPr>
              <w:jc w:val="right"/>
              <w:spacing w:after="0"/>
              <w:rPr>
                <w:sz w:val="20"/>
                <w:szCs w:val="20"/>
                <w:color w:val="auto"/>
              </w:rPr>
            </w:pPr>
            <w:r>
              <w:rPr>
                <w:rFonts w:ascii="Arial" w:cs="Arial" w:eastAsia="Arial" w:hAnsi="Arial"/>
                <w:sz w:val="16"/>
                <w:szCs w:val="16"/>
                <w:b w:val="1"/>
                <w:bCs w:val="1"/>
                <w:color w:val="auto"/>
              </w:rPr>
              <w:t>(in thousands)</w:t>
            </w:r>
          </w:p>
        </w:tc>
        <w:tc>
          <w:tcPr>
            <w:tcW w:w="1720" w:type="dxa"/>
            <w:vAlign w:val="bottom"/>
          </w:tcPr>
          <w:p>
            <w:pPr>
              <w:spacing w:after="0"/>
              <w:rPr>
                <w:sz w:val="17"/>
                <w:szCs w:val="17"/>
                <w:color w:val="auto"/>
              </w:rPr>
            </w:pPr>
          </w:p>
        </w:tc>
      </w:tr>
      <w:tr>
        <w:trPr>
          <w:trHeight w:val="203"/>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46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156,991</w:t>
            </w:r>
          </w:p>
        </w:tc>
        <w:tc>
          <w:tcPr>
            <w:tcW w:w="4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29"/>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140,515</w:t>
            </w:r>
          </w:p>
        </w:tc>
      </w:tr>
      <w:tr>
        <w:trPr>
          <w:trHeight w:val="203"/>
        </w:trPr>
        <w:tc>
          <w:tcPr>
            <w:tcW w:w="5200" w:type="dxa"/>
            <w:vAlign w:val="bottom"/>
          </w:tcPr>
          <w:p>
            <w:pPr>
              <w:spacing w:after="0"/>
              <w:rPr>
                <w:sz w:val="20"/>
                <w:szCs w:val="20"/>
                <w:color w:val="auto"/>
              </w:rPr>
            </w:pPr>
            <w:r>
              <w:rPr>
                <w:rFonts w:ascii="Arial" w:cs="Arial" w:eastAsia="Arial" w:hAnsi="Arial"/>
                <w:sz w:val="16"/>
                <w:szCs w:val="16"/>
                <w:color w:val="auto"/>
              </w:rPr>
              <w:t>Acquisition and Refinitiv Transaction related D&amp;A</w:t>
            </w:r>
            <w:r>
              <w:rPr>
                <w:rFonts w:ascii="Arial" w:cs="Arial" w:eastAsia="Arial" w:hAnsi="Arial"/>
                <w:sz w:val="17"/>
                <w:szCs w:val="17"/>
                <w:color w:val="auto"/>
                <w:vertAlign w:val="superscript"/>
              </w:rPr>
              <w:t>(1)</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(26,273)</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(23,209)</w:t>
            </w:r>
          </w:p>
        </w:tc>
      </w:tr>
      <w:tr>
        <w:trPr>
          <w:trHeight w:val="203"/>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r>
              <w:rPr>
                <w:rFonts w:ascii="Arial" w:cs="Arial" w:eastAsia="Arial" w:hAnsi="Arial"/>
                <w:sz w:val="17"/>
                <w:szCs w:val="17"/>
                <w:color w:val="auto"/>
                <w:vertAlign w:val="superscript"/>
              </w:rPr>
              <w:t>(2)</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(3,497)</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5200" w:type="dxa"/>
            <w:vAlign w:val="bottom"/>
          </w:tcPr>
          <w:p>
            <w:pPr>
              <w:spacing w:after="0"/>
              <w:rPr>
                <w:sz w:val="20"/>
                <w:szCs w:val="20"/>
                <w:color w:val="auto"/>
              </w:rPr>
            </w:pPr>
            <w:r>
              <w:rPr>
                <w:rFonts w:ascii="Arial" w:cs="Arial" w:eastAsia="Arial" w:hAnsi="Arial"/>
                <w:sz w:val="16"/>
                <w:szCs w:val="16"/>
                <w:color w:val="auto"/>
              </w:rPr>
              <w:t>Unrealized foreign exchange gains / (losses)</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(1,164)</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293</w:t>
            </w:r>
          </w:p>
        </w:tc>
      </w:tr>
      <w:tr>
        <w:trPr>
          <w:trHeight w:val="203"/>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Loss from revaluation of foreign-denominated cash</w:t>
            </w:r>
            <w:r>
              <w:rPr>
                <w:rFonts w:ascii="Arial" w:cs="Arial" w:eastAsia="Arial" w:hAnsi="Arial"/>
                <w:sz w:val="17"/>
                <w:szCs w:val="17"/>
                <w:color w:val="auto"/>
                <w:vertAlign w:val="superscript"/>
              </w:rPr>
              <w:t>(3)</w:t>
            </w:r>
          </w:p>
        </w:tc>
        <w:tc>
          <w:tcPr>
            <w:tcW w:w="3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(860)</w:t>
            </w:r>
          </w:p>
        </w:tc>
      </w:tr>
      <w:tr>
        <w:trPr>
          <w:trHeight w:val="203"/>
        </w:trPr>
        <w:tc>
          <w:tcPr>
            <w:tcW w:w="5200" w:type="dxa"/>
            <w:vAlign w:val="bottom"/>
          </w:tcPr>
          <w:p>
            <w:pPr>
              <w:spacing w:after="0"/>
              <w:rPr>
                <w:sz w:val="20"/>
                <w:szCs w:val="20"/>
                <w:color w:val="auto"/>
              </w:rPr>
            </w:pPr>
            <w:r>
              <w:rPr>
                <w:rFonts w:ascii="Arial" w:cs="Arial" w:eastAsia="Arial" w:hAnsi="Arial"/>
                <w:sz w:val="16"/>
                <w:szCs w:val="16"/>
                <w:color w:val="auto"/>
              </w:rPr>
              <w:t>Adjusted Expenses</w:t>
            </w:r>
          </w:p>
        </w:tc>
        <w:tc>
          <w:tcPr>
            <w:tcW w:w="30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125,859</w:t>
            </w:r>
          </w:p>
        </w:tc>
        <w:tc>
          <w:tcPr>
            <w:tcW w:w="4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116,739</w:t>
            </w:r>
          </w:p>
        </w:tc>
      </w:tr>
    </w:tbl>
    <w:p>
      <w:pPr>
        <w:spacing w:after="0" w:line="202" w:lineRule="exact"/>
        <w:rPr>
          <w:sz w:val="20"/>
          <w:szCs w:val="20"/>
          <w:color w:val="auto"/>
        </w:rPr>
      </w:pPr>
    </w:p>
    <w:p>
      <w:pPr>
        <w:ind w:left="660" w:right="80" w:hanging="327"/>
        <w:spacing w:after="0" w:line="251" w:lineRule="auto"/>
        <w:tabs>
          <w:tab w:leader="none" w:pos="6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pacing w:after="0" w:line="267" w:lineRule="exact"/>
        <w:rPr>
          <w:rFonts w:ascii="Arial" w:cs="Arial" w:eastAsia="Arial" w:hAnsi="Arial"/>
          <w:sz w:val="13"/>
          <w:szCs w:val="13"/>
          <w:color w:val="auto"/>
        </w:rPr>
      </w:pPr>
    </w:p>
    <w:p>
      <w:pPr>
        <w:ind w:left="660" w:right="240" w:hanging="327"/>
        <w:spacing w:after="0" w:line="258" w:lineRule="auto"/>
        <w:tabs>
          <w:tab w:leader="none" w:pos="6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Represents non-cash stock-based compensation expense associated with the Special Option Award and post-IPO options awarded in 2019 and payroll taxes associated with exercises of such options during the applicable period.</w:t>
      </w:r>
    </w:p>
    <w:p>
      <w:pPr>
        <w:spacing w:after="0" w:line="110" w:lineRule="exact"/>
        <w:rPr>
          <w:rFonts w:ascii="Arial" w:cs="Arial" w:eastAsia="Arial" w:hAnsi="Arial"/>
          <w:sz w:val="13"/>
          <w:szCs w:val="13"/>
          <w:color w:val="auto"/>
        </w:rPr>
      </w:pPr>
    </w:p>
    <w:p>
      <w:pPr>
        <w:ind w:left="660" w:hanging="327"/>
        <w:spacing w:after="0"/>
        <w:tabs>
          <w:tab w:leader="none" w:pos="6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Represents foreign exchange gain or loss from the revaluation of cash denominated in a different currency than the entity’s functional currency.</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20" w:type="dxa"/>
            <w:vAlign w:val="bottom"/>
          </w:tcPr>
          <w:p>
            <w:pPr>
              <w:spacing w:after="0"/>
              <w:rPr>
                <w:sz w:val="20"/>
                <w:szCs w:val="20"/>
                <w:color w:val="auto"/>
              </w:rPr>
            </w:pPr>
            <w:r>
              <w:rPr>
                <w:rFonts w:ascii="Arial" w:cs="Arial" w:eastAsia="Arial" w:hAnsi="Arial"/>
                <w:sz w:val="16"/>
                <w:szCs w:val="16"/>
                <w:b w:val="1"/>
                <w:bCs w:val="1"/>
                <w:color w:val="auto"/>
              </w:rPr>
              <w:t>Reconciliation of Cash Flows from Operating Activities to</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Trailing Twelve Months</w:t>
            </w:r>
          </w:p>
        </w:tc>
      </w:tr>
      <w:tr>
        <w:trPr>
          <w:trHeight w:val="213"/>
        </w:trPr>
        <w:tc>
          <w:tcPr>
            <w:tcW w:w="7520" w:type="dxa"/>
            <w:vAlign w:val="bottom"/>
          </w:tcPr>
          <w:p>
            <w:pPr>
              <w:spacing w:after="0"/>
              <w:rPr>
                <w:sz w:val="20"/>
                <w:szCs w:val="20"/>
                <w:color w:val="auto"/>
              </w:rPr>
            </w:pPr>
            <w:r>
              <w:rPr>
                <w:rFonts w:ascii="Arial" w:cs="Arial" w:eastAsia="Arial" w:hAnsi="Arial"/>
                <w:sz w:val="16"/>
                <w:szCs w:val="16"/>
                <w:b w:val="1"/>
                <w:bCs w:val="1"/>
                <w:color w:val="auto"/>
              </w:rPr>
              <w:t>Free Cash Flow</w:t>
            </w: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4"/>
              </w:rPr>
              <w:t>March 31, 2020</w:t>
            </w:r>
          </w:p>
        </w:tc>
      </w:tr>
      <w:tr>
        <w:trPr>
          <w:trHeight w:val="199"/>
        </w:trPr>
        <w:tc>
          <w:tcPr>
            <w:tcW w:w="7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tcPr>
          <w:p>
            <w:pPr>
              <w:jc w:val="center"/>
              <w:ind w:right="139"/>
              <w:spacing w:after="0"/>
              <w:rPr>
                <w:sz w:val="20"/>
                <w:szCs w:val="20"/>
                <w:color w:val="auto"/>
              </w:rPr>
            </w:pPr>
            <w:r>
              <w:rPr>
                <w:rFonts w:ascii="Arial" w:cs="Arial" w:eastAsia="Arial" w:hAnsi="Arial"/>
                <w:sz w:val="16"/>
                <w:szCs w:val="16"/>
                <w:b w:val="1"/>
                <w:bCs w:val="1"/>
                <w:color w:val="auto"/>
                <w:w w:val="88"/>
              </w:rPr>
              <w:t>(in thousands)</w:t>
            </w:r>
          </w:p>
        </w:tc>
      </w:tr>
      <w:tr>
        <w:trPr>
          <w:trHeight w:val="202"/>
        </w:trPr>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Cash flow from operating activities</w:t>
            </w:r>
          </w:p>
        </w:tc>
        <w:tc>
          <w:tcPr>
            <w:tcW w:w="240" w:type="dxa"/>
            <w:vAlign w:val="bottom"/>
            <w:gridSpan w:val="2"/>
            <w:shd w:val="clear" w:color="auto" w:fill="CCEEFF"/>
          </w:tcPr>
          <w:p>
            <w:pPr>
              <w:jc w:val="right"/>
              <w:ind w:right="109"/>
              <w:spacing w:after="0"/>
              <w:rPr>
                <w:sz w:val="20"/>
                <w:szCs w:val="20"/>
                <w:color w:val="auto"/>
              </w:rPr>
            </w:pPr>
            <w:r>
              <w:rPr>
                <w:rFonts w:ascii="Arial" w:cs="Arial" w:eastAsia="Arial" w:hAnsi="Arial"/>
                <w:sz w:val="15"/>
                <w:szCs w:val="15"/>
                <w:color w:val="auto"/>
                <w:w w:val="71"/>
              </w:rPr>
              <w:t>$</w:t>
            </w:r>
          </w:p>
        </w:tc>
        <w:tc>
          <w:tcPr>
            <w:tcW w:w="2160" w:type="dxa"/>
            <w:vAlign w:val="bottom"/>
            <w:shd w:val="clear" w:color="auto" w:fill="CCEEFF"/>
          </w:tcPr>
          <w:p>
            <w:pPr>
              <w:ind w:left="1600"/>
              <w:spacing w:after="0"/>
              <w:rPr>
                <w:sz w:val="20"/>
                <w:szCs w:val="20"/>
                <w:color w:val="auto"/>
              </w:rPr>
            </w:pPr>
            <w:r>
              <w:rPr>
                <w:rFonts w:ascii="Arial" w:cs="Arial" w:eastAsia="Arial" w:hAnsi="Arial"/>
                <w:sz w:val="16"/>
                <w:szCs w:val="16"/>
                <w:color w:val="auto"/>
                <w:w w:val="93"/>
              </w:rPr>
              <w:t>310,324</w:t>
            </w:r>
          </w:p>
        </w:tc>
      </w:tr>
      <w:tr>
        <w:trPr>
          <w:trHeight w:val="203"/>
        </w:trPr>
        <w:tc>
          <w:tcPr>
            <w:tcW w:w="7520" w:type="dxa"/>
            <w:vAlign w:val="bottom"/>
          </w:tcPr>
          <w:p>
            <w:pPr>
              <w:spacing w:after="0"/>
              <w:rPr>
                <w:sz w:val="20"/>
                <w:szCs w:val="20"/>
                <w:color w:val="auto"/>
              </w:rPr>
            </w:pPr>
            <w:r>
              <w:rPr>
                <w:rFonts w:ascii="Arial" w:cs="Arial" w:eastAsia="Arial" w:hAnsi="Arial"/>
                <w:sz w:val="16"/>
                <w:szCs w:val="16"/>
                <w:color w:val="auto"/>
              </w:rPr>
              <w:t>Less: Capitalization of software development costs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tcPr>
          <w:p>
            <w:pPr>
              <w:ind w:left="1600"/>
              <w:spacing w:after="0"/>
              <w:rPr>
                <w:sz w:val="20"/>
                <w:szCs w:val="20"/>
                <w:color w:val="auto"/>
              </w:rPr>
            </w:pPr>
            <w:r>
              <w:rPr>
                <w:rFonts w:ascii="Arial" w:cs="Arial" w:eastAsia="Arial" w:hAnsi="Arial"/>
                <w:sz w:val="16"/>
                <w:szCs w:val="16"/>
                <w:color w:val="auto"/>
                <w:w w:val="90"/>
              </w:rPr>
              <w:t>(28,977)</w:t>
            </w:r>
          </w:p>
        </w:tc>
      </w:tr>
      <w:tr>
        <w:trPr>
          <w:trHeight w:val="203"/>
        </w:trPr>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Less: Purchases of furniture, equipment and leasehold improvements</w:t>
            </w: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160" w:type="dxa"/>
            <w:vAlign w:val="bottom"/>
            <w:tcBorders>
              <w:bottom w:val="single" w:sz="8" w:color="auto"/>
            </w:tcBorders>
            <w:shd w:val="clear" w:color="auto" w:fill="CCEEFF"/>
          </w:tcPr>
          <w:p>
            <w:pPr>
              <w:ind w:left="1600"/>
              <w:spacing w:after="0"/>
              <w:rPr>
                <w:sz w:val="20"/>
                <w:szCs w:val="20"/>
                <w:color w:val="auto"/>
              </w:rPr>
            </w:pPr>
            <w:r>
              <w:rPr>
                <w:rFonts w:ascii="Arial" w:cs="Arial" w:eastAsia="Arial" w:hAnsi="Arial"/>
                <w:sz w:val="16"/>
                <w:szCs w:val="16"/>
                <w:color w:val="auto"/>
                <w:w w:val="90"/>
              </w:rPr>
              <w:t>(15,563)</w:t>
            </w:r>
          </w:p>
        </w:tc>
      </w:tr>
      <w:tr>
        <w:trPr>
          <w:trHeight w:val="203"/>
        </w:trPr>
        <w:tc>
          <w:tcPr>
            <w:tcW w:w="7520" w:type="dxa"/>
            <w:vAlign w:val="bottom"/>
          </w:tcPr>
          <w:p>
            <w:pPr>
              <w:spacing w:after="0"/>
              <w:rPr>
                <w:sz w:val="20"/>
                <w:szCs w:val="20"/>
                <w:color w:val="auto"/>
              </w:rPr>
            </w:pPr>
            <w:r>
              <w:rPr>
                <w:rFonts w:ascii="Arial" w:cs="Arial" w:eastAsia="Arial" w:hAnsi="Arial"/>
                <w:sz w:val="16"/>
                <w:szCs w:val="16"/>
                <w:color w:val="auto"/>
              </w:rPr>
              <w:t>Free Cash Flow</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2160" w:type="dxa"/>
            <w:vAlign w:val="bottom"/>
            <w:tcBorders>
              <w:bottom w:val="single" w:sz="8" w:color="auto"/>
            </w:tcBorders>
          </w:tcPr>
          <w:p>
            <w:pPr>
              <w:ind w:left="1600"/>
              <w:spacing w:after="0"/>
              <w:rPr>
                <w:sz w:val="20"/>
                <w:szCs w:val="20"/>
                <w:color w:val="auto"/>
              </w:rPr>
            </w:pPr>
            <w:r>
              <w:rPr>
                <w:rFonts w:ascii="Arial" w:cs="Arial" w:eastAsia="Arial" w:hAnsi="Arial"/>
                <w:sz w:val="16"/>
                <w:szCs w:val="16"/>
                <w:color w:val="auto"/>
                <w:w w:val="93"/>
              </w:rPr>
              <w:t>265,784</w:t>
            </w:r>
          </w:p>
        </w:tc>
      </w:tr>
    </w:tbl>
    <w:p>
      <w:pPr>
        <w:spacing w:after="0" w:line="200" w:lineRule="exact"/>
        <w:rPr>
          <w:sz w:val="20"/>
          <w:szCs w:val="20"/>
          <w:color w:val="auto"/>
        </w:rPr>
      </w:pPr>
    </w:p>
    <w:p>
      <w:pPr>
        <w:spacing w:after="0" w:line="366" w:lineRule="exact"/>
        <w:rPr>
          <w:sz w:val="20"/>
          <w:szCs w:val="20"/>
          <w:color w:val="auto"/>
        </w:rPr>
      </w:pPr>
    </w:p>
    <w:p>
      <w:pPr>
        <w:ind w:left="9200"/>
        <w:spacing w:after="0"/>
        <w:rPr>
          <w:sz w:val="20"/>
          <w:szCs w:val="20"/>
          <w:color w:val="auto"/>
        </w:rPr>
      </w:pPr>
      <w:r>
        <w:rPr>
          <w:rFonts w:ascii="Arial" w:cs="Arial" w:eastAsia="Arial" w:hAnsi="Arial"/>
          <w:sz w:val="18"/>
          <w:szCs w:val="18"/>
          <w:color w:val="auto"/>
        </w:rPr>
        <w:t>Page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7"/>
          <w:szCs w:val="17"/>
          <w:b w:val="1"/>
          <w:bCs w:val="1"/>
          <w:color w:val="083566"/>
        </w:rPr>
        <w:t>TRADEWEB MARKETS INC.</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083566"/>
        </w:rPr>
        <w:t>BASIC AND DILUTED EPS CALCULATIONS (UNAUDITED)</w:t>
      </w:r>
    </w:p>
    <w:p>
      <w:pPr>
        <w:spacing w:after="0"/>
        <w:rPr>
          <w:sz w:val="20"/>
          <w:szCs w:val="20"/>
          <w:color w:val="auto"/>
        </w:rPr>
      </w:pPr>
      <w:r>
        <w:rPr>
          <w:rFonts w:ascii="Arial" w:cs="Arial" w:eastAsia="Arial" w:hAnsi="Arial"/>
          <w:sz w:val="17"/>
          <w:szCs w:val="17"/>
          <w:b w:val="1"/>
          <w:bCs w:val="1"/>
          <w:color w:val="083566"/>
        </w:rPr>
        <w:t>Dollars in Thousands, Except per Share Data</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basic and diluted earnings per share calculations for Tradeweb Markets LLC (pre-IPO period):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jc w:val="right"/>
              <w:ind w:right="199"/>
              <w:spacing w:after="0"/>
              <w:rPr>
                <w:sz w:val="20"/>
                <w:szCs w:val="20"/>
                <w:color w:val="auto"/>
              </w:rPr>
            </w:pPr>
            <w:r>
              <w:rPr>
                <w:rFonts w:ascii="Arial" w:cs="Arial" w:eastAsia="Arial" w:hAnsi="Arial"/>
                <w:sz w:val="16"/>
                <w:szCs w:val="16"/>
                <w:b w:val="1"/>
                <w:bCs w:val="1"/>
                <w:color w:val="auto"/>
                <w:w w:val="98"/>
              </w:rPr>
              <w:t>Three Months Ended</w:t>
            </w:r>
          </w:p>
        </w:tc>
        <w:tc>
          <w:tcPr>
            <w:tcW w:w="0" w:type="dxa"/>
            <w:vAlign w:val="bottom"/>
          </w:tcPr>
          <w:p>
            <w:pPr>
              <w:spacing w:after="0"/>
              <w:rPr>
                <w:sz w:val="1"/>
                <w:szCs w:val="1"/>
                <w:color w:val="auto"/>
              </w:rPr>
            </w:pPr>
          </w:p>
        </w:tc>
      </w:tr>
      <w:tr>
        <w:trPr>
          <w:trHeight w:val="216"/>
        </w:trPr>
        <w:tc>
          <w:tcPr>
            <w:tcW w:w="7880" w:type="dxa"/>
            <w:vAlign w:val="bottom"/>
            <w:gridSpan w:val="4"/>
          </w:tcPr>
          <w:p>
            <w:pPr>
              <w:spacing w:after="0"/>
              <w:rPr>
                <w:sz w:val="20"/>
                <w:szCs w:val="20"/>
                <w:color w:val="auto"/>
              </w:rPr>
            </w:pPr>
            <w:r>
              <w:rPr>
                <w:rFonts w:ascii="Arial" w:cs="Arial" w:eastAsia="Arial" w:hAnsi="Arial"/>
                <w:sz w:val="16"/>
                <w:szCs w:val="16"/>
                <w:b w:val="1"/>
                <w:bCs w:val="1"/>
                <w:color w:val="auto"/>
              </w:rPr>
              <w:t>EPS: Net income attributable to Tradeweb Markets LLC</w:t>
            </w:r>
            <w:r>
              <w:rPr>
                <w:rFonts w:ascii="Arial" w:cs="Arial" w:eastAsia="Arial" w:hAnsi="Arial"/>
                <w:sz w:val="17"/>
                <w:szCs w:val="17"/>
                <w:b w:val="1"/>
                <w:bCs w:val="1"/>
                <w:color w:val="auto"/>
                <w:vertAlign w:val="superscript"/>
              </w:rPr>
              <w:t>(1)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right"/>
              <w:ind w:right="399"/>
              <w:spacing w:after="0"/>
              <w:rPr>
                <w:sz w:val="20"/>
                <w:szCs w:val="20"/>
                <w:color w:val="auto"/>
              </w:rPr>
            </w:pPr>
            <w:r>
              <w:rPr>
                <w:rFonts w:ascii="Arial" w:cs="Arial" w:eastAsia="Arial" w:hAnsi="Arial"/>
                <w:sz w:val="16"/>
                <w:szCs w:val="16"/>
                <w:b w:val="1"/>
                <w:bCs w:val="1"/>
                <w:color w:val="auto"/>
              </w:rPr>
              <w:t>March 31,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980" w:type="dxa"/>
            <w:vAlign w:val="bottom"/>
            <w:tcBorders>
              <w:top w:val="single" w:sz="8" w:color="auto"/>
            </w:tcBorders>
          </w:tcPr>
          <w:p>
            <w:pPr>
              <w:ind w:left="2280"/>
              <w:spacing w:after="0"/>
              <w:rPr>
                <w:sz w:val="20"/>
                <w:szCs w:val="20"/>
                <w:color w:val="auto"/>
              </w:rPr>
            </w:pPr>
            <w:r>
              <w:rPr>
                <w:rFonts w:ascii="Arial" w:cs="Arial" w:eastAsia="Arial" w:hAnsi="Arial"/>
                <w:sz w:val="16"/>
                <w:szCs w:val="16"/>
                <w:b w:val="1"/>
                <w:bCs w:val="1"/>
                <w:color w:val="auto"/>
              </w:rPr>
              <w:t>(in thousands, except share and per share amounts)</w:t>
            </w: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shd w:val="clear" w:color="auto" w:fill="CCEEFF"/>
          </w:tcPr>
          <w:p>
            <w:pPr>
              <w:spacing w:after="0" w:line="162" w:lineRule="exact"/>
              <w:rPr>
                <w:sz w:val="20"/>
                <w:szCs w:val="20"/>
                <w:color w:val="auto"/>
              </w:rPr>
            </w:pPr>
            <w:r>
              <w:rPr>
                <w:rFonts w:ascii="Arial" w:cs="Arial" w:eastAsia="Arial" w:hAnsi="Arial"/>
                <w:sz w:val="16"/>
                <w:szCs w:val="16"/>
                <w:color w:val="auto"/>
                <w:w w:val="89"/>
              </w:rPr>
              <w:t>Numerator:</w:t>
            </w:r>
          </w:p>
        </w:tc>
        <w:tc>
          <w:tcPr>
            <w:tcW w:w="7120" w:type="dxa"/>
            <w:vAlign w:val="bottom"/>
            <w:tcBorders>
              <w:bottom w:val="single" w:sz="8" w:color="CCEEFF"/>
            </w:tcBorders>
            <w:gridSpan w:val="2"/>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gridSpan w:val="3"/>
          </w:tcPr>
          <w:p>
            <w:pPr>
              <w:spacing w:after="0"/>
              <w:rPr>
                <w:sz w:val="20"/>
                <w:szCs w:val="20"/>
                <w:color w:val="auto"/>
              </w:rPr>
            </w:pPr>
            <w:r>
              <w:rPr>
                <w:rFonts w:ascii="Arial" w:cs="Arial" w:eastAsia="Arial" w:hAnsi="Arial"/>
                <w:sz w:val="16"/>
                <w:szCs w:val="16"/>
                <w:color w:val="auto"/>
              </w:rPr>
              <w:t>Net income attributable to Tradeweb Markets LLC</w:t>
            </w: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42,352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7860" w:type="dxa"/>
            <w:vAlign w:val="bottom"/>
            <w:gridSpan w:val="3"/>
          </w:tcPr>
          <w:p>
            <w:pPr>
              <w:spacing w:after="0" w:line="162" w:lineRule="exact"/>
              <w:rPr>
                <w:sz w:val="20"/>
                <w:szCs w:val="20"/>
                <w:color w:val="auto"/>
              </w:rPr>
            </w:pPr>
            <w:r>
              <w:rPr>
                <w:rFonts w:ascii="Arial" w:cs="Arial" w:eastAsia="Arial" w:hAnsi="Arial"/>
                <w:sz w:val="16"/>
                <w:szCs w:val="16"/>
                <w:color w:val="auto"/>
              </w:rPr>
              <w:t>Denominator: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8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Weighted average LLC Interests outstanding - Basic</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222,222,197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tcBorders>
              <w:bottom w:val="single" w:sz="8" w:color="CCEEFF"/>
            </w:tcBorders>
            <w:gridSpan w:val="3"/>
          </w:tcPr>
          <w:p>
            <w:pPr>
              <w:ind w:left="100"/>
              <w:spacing w:after="0"/>
              <w:rPr>
                <w:sz w:val="20"/>
                <w:szCs w:val="20"/>
                <w:color w:val="auto"/>
              </w:rPr>
            </w:pPr>
            <w:r>
              <w:rPr>
                <w:rFonts w:ascii="Arial" w:cs="Arial" w:eastAsia="Arial" w:hAnsi="Arial"/>
                <w:sz w:val="16"/>
                <w:szCs w:val="16"/>
                <w:color w:val="auto"/>
              </w:rPr>
              <w:t>Dilutive effect of equity-settled PRSUs</w:t>
            </w: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1,098,260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Weighted average LLC Interests outstanding - Diluted</w:t>
            </w: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223,320,457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8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Earnings per share - Basic</w:t>
            </w:r>
          </w:p>
        </w:tc>
        <w:tc>
          <w:tcPr>
            <w:tcW w:w="180" w:type="dxa"/>
            <w:vAlign w:val="bottom"/>
            <w:gridSpan w:val="2"/>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60" w:type="dxa"/>
            <w:vAlign w:val="bottom"/>
            <w:tcBorders>
              <w:top w:val="single" w:sz="8" w:color="CCEEFF"/>
            </w:tcBorders>
            <w:gridSpan w:val="3"/>
          </w:tcPr>
          <w:p>
            <w:pPr>
              <w:spacing w:after="0"/>
              <w:rPr>
                <w:sz w:val="20"/>
                <w:szCs w:val="20"/>
                <w:color w:val="auto"/>
              </w:rPr>
            </w:pPr>
            <w:r>
              <w:rPr>
                <w:rFonts w:ascii="Arial" w:cs="Arial" w:eastAsia="Arial" w:hAnsi="Arial"/>
                <w:sz w:val="16"/>
                <w:szCs w:val="16"/>
                <w:color w:val="auto"/>
              </w:rPr>
              <w:t>Earnings per share - Diluted</w:t>
            </w:r>
          </w:p>
        </w:tc>
        <w:tc>
          <w:tcPr>
            <w:tcW w:w="20" w:type="dxa"/>
            <w:vAlign w:val="bottom"/>
            <w:tcBorders>
              <w:top w:val="single" w:sz="8" w:color="CCEEFF"/>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20" w:hanging="327"/>
        <w:spacing w:after="0" w:line="245" w:lineRule="auto"/>
        <w:tabs>
          <w:tab w:leader="none" w:pos="6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Earnings per share and weighted average shares outstanding for the pre-IPO periods have been computed to give effect to the Reorganization Transactions, including the amendment and restatement of the fourth amended and restated limited liability company agreement of Tradeweb Markets LLC to, among other things, (i) provide for a new single class of common membership interests in Tradeweb Markets LLC (“LLC Interests”) and (ii) exchange all of the original members’ existing membership interests for LLC Interests.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basic and diluted earnings per share calculations for Tradeweb Markets Inc. (post-IPO period):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jc w:val="right"/>
              <w:ind w:right="199"/>
              <w:spacing w:after="0"/>
              <w:rPr>
                <w:sz w:val="20"/>
                <w:szCs w:val="20"/>
                <w:color w:val="auto"/>
              </w:rPr>
            </w:pPr>
            <w:r>
              <w:rPr>
                <w:rFonts w:ascii="Arial" w:cs="Arial" w:eastAsia="Arial" w:hAnsi="Arial"/>
                <w:sz w:val="16"/>
                <w:szCs w:val="16"/>
                <w:b w:val="1"/>
                <w:bCs w:val="1"/>
                <w:color w:val="auto"/>
                <w:w w:val="98"/>
              </w:rPr>
              <w:t>Three Months Ended</w:t>
            </w:r>
          </w:p>
        </w:tc>
        <w:tc>
          <w:tcPr>
            <w:tcW w:w="0" w:type="dxa"/>
            <w:vAlign w:val="bottom"/>
          </w:tcPr>
          <w:p>
            <w:pPr>
              <w:spacing w:after="0"/>
              <w:rPr>
                <w:sz w:val="1"/>
                <w:szCs w:val="1"/>
                <w:color w:val="auto"/>
              </w:rPr>
            </w:pPr>
          </w:p>
        </w:tc>
      </w:tr>
      <w:tr>
        <w:trPr>
          <w:trHeight w:val="213"/>
        </w:trPr>
        <w:tc>
          <w:tcPr>
            <w:tcW w:w="7880" w:type="dxa"/>
            <w:vAlign w:val="bottom"/>
            <w:gridSpan w:val="4"/>
          </w:tcPr>
          <w:p>
            <w:pPr>
              <w:spacing w:after="0"/>
              <w:rPr>
                <w:sz w:val="20"/>
                <w:szCs w:val="20"/>
                <w:color w:val="auto"/>
              </w:rPr>
            </w:pPr>
            <w:r>
              <w:rPr>
                <w:rFonts w:ascii="Arial" w:cs="Arial" w:eastAsia="Arial" w:hAnsi="Arial"/>
                <w:sz w:val="16"/>
                <w:szCs w:val="16"/>
                <w:b w:val="1"/>
                <w:bCs w:val="1"/>
                <w:color w:val="auto"/>
              </w:rPr>
              <w:t>EPS: Net income attributable to Tradeweb Markets Inc.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right"/>
              <w:ind w:right="399"/>
              <w:spacing w:after="0"/>
              <w:rPr>
                <w:sz w:val="20"/>
                <w:szCs w:val="20"/>
                <w:color w:val="auto"/>
              </w:rPr>
            </w:pPr>
            <w:r>
              <w:rPr>
                <w:rFonts w:ascii="Arial" w:cs="Arial" w:eastAsia="Arial" w:hAnsi="Arial"/>
                <w:sz w:val="16"/>
                <w:szCs w:val="16"/>
                <w:b w:val="1"/>
                <w:bCs w:val="1"/>
                <w:color w:val="auto"/>
              </w:rPr>
              <w:t>March 31, 2020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980" w:type="dxa"/>
            <w:vAlign w:val="bottom"/>
            <w:tcBorders>
              <w:top w:val="single" w:sz="8" w:color="auto"/>
            </w:tcBorders>
          </w:tcPr>
          <w:p>
            <w:pPr>
              <w:ind w:left="2280"/>
              <w:spacing w:after="0"/>
              <w:rPr>
                <w:sz w:val="20"/>
                <w:szCs w:val="20"/>
                <w:color w:val="auto"/>
              </w:rPr>
            </w:pPr>
            <w:r>
              <w:rPr>
                <w:rFonts w:ascii="Arial" w:cs="Arial" w:eastAsia="Arial" w:hAnsi="Arial"/>
                <w:sz w:val="16"/>
                <w:szCs w:val="16"/>
                <w:b w:val="1"/>
                <w:bCs w:val="1"/>
                <w:color w:val="auto"/>
              </w:rPr>
              <w:t>(in thousands, except share and per share amounts)</w:t>
            </w: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shd w:val="clear" w:color="auto" w:fill="CCEEFF"/>
          </w:tcPr>
          <w:p>
            <w:pPr>
              <w:spacing w:after="0" w:line="162" w:lineRule="exact"/>
              <w:rPr>
                <w:sz w:val="20"/>
                <w:szCs w:val="20"/>
                <w:color w:val="auto"/>
              </w:rPr>
            </w:pPr>
            <w:r>
              <w:rPr>
                <w:rFonts w:ascii="Arial" w:cs="Arial" w:eastAsia="Arial" w:hAnsi="Arial"/>
                <w:sz w:val="16"/>
                <w:szCs w:val="16"/>
                <w:color w:val="auto"/>
                <w:w w:val="89"/>
              </w:rPr>
              <w:t>Numerator:</w:t>
            </w:r>
          </w:p>
        </w:tc>
        <w:tc>
          <w:tcPr>
            <w:tcW w:w="7120" w:type="dxa"/>
            <w:vAlign w:val="bottom"/>
            <w:tcBorders>
              <w:bottom w:val="single" w:sz="8" w:color="CCEEFF"/>
            </w:tcBorders>
            <w:gridSpan w:val="2"/>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gridSpan w:val="3"/>
          </w:tcPr>
          <w:p>
            <w:pPr>
              <w:spacing w:after="0"/>
              <w:rPr>
                <w:sz w:val="20"/>
                <w:szCs w:val="20"/>
                <w:color w:val="auto"/>
              </w:rPr>
            </w:pPr>
            <w:r>
              <w:rPr>
                <w:rFonts w:ascii="Arial" w:cs="Arial" w:eastAsia="Arial" w:hAnsi="Arial"/>
                <w:sz w:val="16"/>
                <w:szCs w:val="16"/>
                <w:color w:val="auto"/>
              </w:rPr>
              <w:t>Net income attributable to Tradeweb Markets Inc.</w:t>
            </w: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43,928</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7860" w:type="dxa"/>
            <w:vAlign w:val="bottom"/>
            <w:gridSpan w:val="3"/>
          </w:tcPr>
          <w:p>
            <w:pPr>
              <w:spacing w:after="0" w:line="162" w:lineRule="exact"/>
              <w:rPr>
                <w:sz w:val="20"/>
                <w:szCs w:val="20"/>
                <w:color w:val="auto"/>
              </w:rPr>
            </w:pPr>
            <w:r>
              <w:rPr>
                <w:rFonts w:ascii="Arial" w:cs="Arial" w:eastAsia="Arial" w:hAnsi="Arial"/>
                <w:sz w:val="16"/>
                <w:szCs w:val="16"/>
                <w:color w:val="auto"/>
              </w:rPr>
              <w:t>Denominator: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8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Weighted average shares of Class A and Class B common stock outstanding - Basic</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166,234,749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gridSpan w:val="3"/>
          </w:tcPr>
          <w:p>
            <w:pPr>
              <w:ind w:left="100"/>
              <w:spacing w:after="0"/>
              <w:rPr>
                <w:sz w:val="20"/>
                <w:szCs w:val="20"/>
                <w:color w:val="auto"/>
              </w:rPr>
            </w:pPr>
            <w:r>
              <w:rPr>
                <w:rFonts w:ascii="Arial" w:cs="Arial" w:eastAsia="Arial" w:hAnsi="Arial"/>
                <w:sz w:val="16"/>
                <w:szCs w:val="16"/>
                <w:color w:val="auto"/>
              </w:rPr>
              <w:t>Dilutive effect of equity-settled PRSUs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2,038,422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Dilutive effect of options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6,221,549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tcBorders>
              <w:bottom w:val="single" w:sz="8" w:color="CCEEFF"/>
            </w:tcBorders>
            <w:gridSpan w:val="3"/>
          </w:tcPr>
          <w:p>
            <w:pPr>
              <w:ind w:left="100"/>
              <w:spacing w:after="0"/>
              <w:rPr>
                <w:sz w:val="20"/>
                <w:szCs w:val="20"/>
                <w:color w:val="auto"/>
              </w:rPr>
            </w:pPr>
            <w:r>
              <w:rPr>
                <w:rFonts w:ascii="Arial" w:cs="Arial" w:eastAsia="Arial" w:hAnsi="Arial"/>
                <w:sz w:val="16"/>
                <w:szCs w:val="16"/>
                <w:color w:val="auto"/>
              </w:rPr>
              <w:t>Dilutive effect of RSUs</w:t>
            </w: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Weighted average shares of Class A and Class B common stock outstanding - Diluted</w:t>
            </w: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174,517,244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8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Earnings per share - Basic</w:t>
            </w:r>
          </w:p>
        </w:tc>
        <w:tc>
          <w:tcPr>
            <w:tcW w:w="180" w:type="dxa"/>
            <w:vAlign w:val="bottom"/>
            <w:gridSpan w:val="2"/>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60" w:type="dxa"/>
            <w:vAlign w:val="bottom"/>
            <w:tcBorders>
              <w:top w:val="single" w:sz="8" w:color="CCEEFF"/>
            </w:tcBorders>
            <w:gridSpan w:val="3"/>
          </w:tcPr>
          <w:p>
            <w:pPr>
              <w:spacing w:after="0"/>
              <w:rPr>
                <w:sz w:val="20"/>
                <w:szCs w:val="20"/>
                <w:color w:val="auto"/>
              </w:rPr>
            </w:pPr>
            <w:r>
              <w:rPr>
                <w:rFonts w:ascii="Arial" w:cs="Arial" w:eastAsia="Arial" w:hAnsi="Arial"/>
                <w:sz w:val="16"/>
                <w:szCs w:val="16"/>
                <w:color w:val="auto"/>
              </w:rPr>
              <w:t>Earnings per share - Diluted</w:t>
            </w:r>
          </w:p>
        </w:tc>
        <w:tc>
          <w:tcPr>
            <w:tcW w:w="20" w:type="dxa"/>
            <w:vAlign w:val="bottom"/>
            <w:tcBorders>
              <w:top w:val="single" w:sz="8" w:color="CCEEFF"/>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bl>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083566"/>
        </w:rPr>
        <w:t>TRADEWEB MARKETS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083566"/>
        </w:rPr>
        <w:t>GROSS REVENUES BY ASSET CLASS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5"/>
          </w:tcPr>
          <w:p>
            <w:pPr>
              <w:ind w:left="20"/>
              <w:spacing w:after="0"/>
              <w:rPr>
                <w:sz w:val="20"/>
                <w:szCs w:val="20"/>
                <w:color w:val="auto"/>
              </w:rPr>
            </w:pPr>
            <w:r>
              <w:rPr>
                <w:rFonts w:ascii="Arial" w:cs="Arial" w:eastAsia="Arial" w:hAnsi="Arial"/>
                <w:sz w:val="16"/>
                <w:szCs w:val="16"/>
                <w:b w:val="1"/>
                <w:bCs w:val="1"/>
                <w:color w:val="auto"/>
                <w:w w:val="92"/>
              </w:rPr>
              <w:t>Three Months Ended</w:t>
            </w:r>
          </w:p>
        </w:tc>
        <w:tc>
          <w:tcPr>
            <w:tcW w:w="120" w:type="dxa"/>
            <w:vAlign w:val="bottom"/>
          </w:tcPr>
          <w:p>
            <w:pPr>
              <w:spacing w:after="0"/>
              <w:rPr>
                <w:sz w:val="17"/>
                <w:szCs w:val="17"/>
                <w:color w:val="auto"/>
              </w:rPr>
            </w:pPr>
          </w:p>
        </w:tc>
        <w:tc>
          <w:tcPr>
            <w:tcW w:w="1500" w:type="dxa"/>
            <w:vAlign w:val="bottom"/>
            <w:gridSpan w:val="4"/>
          </w:tcPr>
          <w:p>
            <w:pPr>
              <w:jc w:val="right"/>
              <w:spacing w:after="0"/>
              <w:rPr>
                <w:sz w:val="20"/>
                <w:szCs w:val="20"/>
                <w:color w:val="auto"/>
              </w:rPr>
            </w:pPr>
            <w:r>
              <w:rPr>
                <w:rFonts w:ascii="Arial" w:cs="Arial" w:eastAsia="Arial" w:hAnsi="Arial"/>
                <w:sz w:val="16"/>
                <w:szCs w:val="16"/>
                <w:b w:val="1"/>
                <w:bCs w:val="1"/>
                <w:color w:val="auto"/>
                <w:w w:val="92"/>
              </w:rPr>
              <w:t>Three Months Ended</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March 31, 2020</w:t>
            </w:r>
          </w:p>
        </w:tc>
        <w:tc>
          <w:tcPr>
            <w:tcW w:w="120" w:type="dxa"/>
            <w:vAlign w:val="bottom"/>
          </w:tcPr>
          <w:p>
            <w:pPr>
              <w:spacing w:after="0"/>
              <w:rPr>
                <w:sz w:val="18"/>
                <w:szCs w:val="18"/>
                <w:color w:val="auto"/>
              </w:rPr>
            </w:pPr>
          </w:p>
        </w:tc>
        <w:tc>
          <w:tcPr>
            <w:tcW w:w="150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March 31, 2019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 Change</w:t>
            </w:r>
          </w:p>
        </w:tc>
        <w:tc>
          <w:tcPr>
            <w:tcW w:w="180" w:type="dxa"/>
            <w:vAlign w:val="bottom"/>
          </w:tcPr>
          <w:p>
            <w:pPr>
              <w:spacing w:after="0"/>
              <w:rPr>
                <w:sz w:val="18"/>
                <w:szCs w:val="18"/>
                <w:color w:val="auto"/>
              </w:rPr>
            </w:pPr>
          </w:p>
        </w:tc>
        <w:tc>
          <w:tcPr>
            <w:tcW w:w="146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rPr>
              <w:t>% Change</w:t>
            </w:r>
          </w:p>
        </w:tc>
      </w:tr>
      <w:tr>
        <w:trPr>
          <w:trHeight w:val="202"/>
        </w:trPr>
        <w:tc>
          <w:tcPr>
            <w:tcW w:w="3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Revenues</w:t>
            </w:r>
          </w:p>
        </w:tc>
        <w:tc>
          <w:tcPr>
            <w:tcW w:w="200" w:type="dxa"/>
            <w:vAlign w:val="bottom"/>
          </w:tcPr>
          <w:p>
            <w:pPr>
              <w:spacing w:after="0"/>
              <w:rPr>
                <w:sz w:val="17"/>
                <w:szCs w:val="17"/>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6"/>
              </w:rPr>
              <w:t>Variable</w:t>
            </w:r>
          </w:p>
        </w:tc>
        <w:tc>
          <w:tcPr>
            <w:tcW w:w="1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5"/>
              </w:rPr>
              <w:t>Fixed</w:t>
            </w:r>
          </w:p>
        </w:tc>
        <w:tc>
          <w:tcPr>
            <w:tcW w:w="120" w:type="dxa"/>
            <w:vAlign w:val="bottom"/>
            <w:tcBorders>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Variable</w:t>
            </w:r>
          </w:p>
        </w:tc>
        <w:tc>
          <w:tcPr>
            <w:tcW w:w="1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5"/>
              </w:rPr>
              <w:t>Fixed</w:t>
            </w:r>
          </w:p>
        </w:tc>
        <w:tc>
          <w:tcPr>
            <w:tcW w:w="200" w:type="dxa"/>
            <w:vAlign w:val="bottom"/>
            <w:tcBorders>
              <w:bottom w:val="single" w:sz="8" w:color="auto"/>
            </w:tcBorders>
          </w:tcPr>
          <w:p>
            <w:pPr>
              <w:spacing w:after="0"/>
              <w:rPr>
                <w:sz w:val="17"/>
                <w:szCs w:val="17"/>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Variable</w:t>
            </w:r>
          </w:p>
        </w:tc>
        <w:tc>
          <w:tcPr>
            <w:tcW w:w="1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5"/>
              </w:rPr>
              <w:t>Fixed</w:t>
            </w:r>
          </w:p>
        </w:tc>
        <w:tc>
          <w:tcPr>
            <w:tcW w:w="180" w:type="dxa"/>
            <w:vAlign w:val="bottom"/>
            <w:tcBorders>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3"/>
              </w:rPr>
              <w:t>Variable</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Fixed</w:t>
            </w:r>
          </w:p>
        </w:tc>
        <w:tc>
          <w:tcPr>
            <w:tcW w:w="140" w:type="dxa"/>
            <w:vAlign w:val="bottom"/>
          </w:tcPr>
          <w:p>
            <w:pPr>
              <w:spacing w:after="0"/>
              <w:rPr>
                <w:sz w:val="17"/>
                <w:szCs w:val="17"/>
                <w:color w:val="auto"/>
              </w:rPr>
            </w:pPr>
          </w:p>
        </w:tc>
      </w:tr>
      <w:tr>
        <w:trPr>
          <w:trHeight w:val="196"/>
        </w:trPr>
        <w:tc>
          <w:tcPr>
            <w:tcW w:w="3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gridSpan w:val="6"/>
          </w:tcPr>
          <w:p>
            <w:pPr>
              <w:jc w:val="right"/>
              <w:ind w:right="19"/>
              <w:spacing w:after="0"/>
              <w:rPr>
                <w:sz w:val="20"/>
                <w:szCs w:val="20"/>
                <w:color w:val="auto"/>
              </w:rPr>
            </w:pPr>
            <w:r>
              <w:rPr>
                <w:rFonts w:ascii="Arial" w:cs="Arial" w:eastAsia="Arial" w:hAnsi="Arial"/>
                <w:sz w:val="16"/>
                <w:szCs w:val="16"/>
                <w:b w:val="1"/>
                <w:bCs w:val="1"/>
                <w:color w:val="auto"/>
                <w:w w:val="96"/>
              </w:rPr>
              <w:t>(dollars in thousands)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Rates</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75,541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50,498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53,650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50,440</w:t>
            </w:r>
          </w:p>
        </w:tc>
        <w:tc>
          <w:tcPr>
            <w:tcW w:w="36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21,891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40.8 %</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0.1 %</w:t>
            </w:r>
          </w:p>
        </w:tc>
      </w:tr>
      <w:tr>
        <w:trPr>
          <w:trHeight w:val="203"/>
        </w:trPr>
        <w:tc>
          <w:tcPr>
            <w:tcW w:w="3200" w:type="dxa"/>
            <w:vAlign w:val="bottom"/>
          </w:tcPr>
          <w:p>
            <w:pPr>
              <w:spacing w:after="0"/>
              <w:rPr>
                <w:sz w:val="20"/>
                <w:szCs w:val="20"/>
                <w:color w:val="auto"/>
              </w:rPr>
            </w:pPr>
            <w:r>
              <w:rPr>
                <w:rFonts w:ascii="Arial" w:cs="Arial" w:eastAsia="Arial" w:hAnsi="Arial"/>
                <w:sz w:val="16"/>
                <w:szCs w:val="16"/>
                <w:color w:val="auto"/>
              </w:rPr>
              <w:t>Credit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48,575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5,403</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34,358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5,077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14,217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326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41.4 %</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6.4 %</w:t>
            </w:r>
          </w:p>
        </w:tc>
      </w:tr>
      <w:tr>
        <w:trPr>
          <w:trHeight w:val="203"/>
        </w:trPr>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Equities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10,152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68.4 %</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41.8 %</w:t>
            </w:r>
          </w:p>
        </w:tc>
      </w:tr>
      <w:tr>
        <w:trPr>
          <w:trHeight w:val="203"/>
        </w:trPr>
        <w:tc>
          <w:tcPr>
            <w:tcW w:w="3200" w:type="dxa"/>
            <w:vAlign w:val="bottom"/>
          </w:tcPr>
          <w:p>
            <w:pPr>
              <w:spacing w:after="0"/>
              <w:rPr>
                <w:sz w:val="20"/>
                <w:szCs w:val="20"/>
                <w:color w:val="auto"/>
              </w:rPr>
            </w:pPr>
            <w:r>
              <w:rPr>
                <w:rFonts w:ascii="Arial" w:cs="Arial" w:eastAsia="Arial" w:hAnsi="Arial"/>
                <w:sz w:val="16"/>
                <w:szCs w:val="16"/>
                <w:color w:val="auto"/>
              </w:rPr>
              <w:t>Money Markets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7,137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4,071</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5,823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3,739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1,314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332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22.6 %</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8.9 %</w:t>
            </w:r>
          </w:p>
        </w:tc>
      </w:tr>
      <w:tr>
        <w:trPr>
          <w:trHeight w:val="203"/>
        </w:trPr>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Market Data</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18,562</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16,903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1,659</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9.8 %</w:t>
            </w:r>
          </w:p>
        </w:tc>
      </w:tr>
      <w:tr>
        <w:trPr>
          <w:trHeight w:val="203"/>
        </w:trPr>
        <w:tc>
          <w:tcPr>
            <w:tcW w:w="3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5,385</w:t>
            </w:r>
          </w:p>
        </w:tc>
        <w:tc>
          <w:tcPr>
            <w:tcW w:w="12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5,004</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18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7.6 %</w:t>
            </w:r>
          </w:p>
        </w:tc>
      </w:tr>
      <w:tr>
        <w:trPr>
          <w:trHeight w:val="203"/>
        </w:trPr>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Gross revenue</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148,353</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86,253</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$ 103,983</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82,809</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44,370</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3,444</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42.7 %</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200"/>
        <w:spacing w:after="0"/>
        <w:rPr>
          <w:sz w:val="20"/>
          <w:szCs w:val="20"/>
          <w:color w:val="auto"/>
        </w:rPr>
      </w:pPr>
      <w:r>
        <w:rPr>
          <w:rFonts w:ascii="Arial" w:cs="Arial" w:eastAsia="Arial" w:hAnsi="Arial"/>
          <w:sz w:val="18"/>
          <w:szCs w:val="18"/>
          <w:color w:val="auto"/>
        </w:rPr>
        <w:t>Page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16" w:right="99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083566"/>
        </w:rPr>
        <w:t>TRADEWEB MARKETS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083566"/>
        </w:rPr>
        <w:t>AVERAGE VARIABLE FEES PER MILLION DOLLARS OF VOLUME (UNAUDITED)</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Three Months Ended</w:t>
            </w:r>
          </w:p>
        </w:tc>
        <w:tc>
          <w:tcPr>
            <w:tcW w:w="220" w:type="dxa"/>
            <w:vAlign w:val="bottom"/>
          </w:tcPr>
          <w:p>
            <w:pPr>
              <w:spacing w:after="0"/>
              <w:rPr>
                <w:sz w:val="17"/>
                <w:szCs w:val="17"/>
                <w:color w:val="auto"/>
              </w:rPr>
            </w:pPr>
          </w:p>
        </w:tc>
        <w:tc>
          <w:tcPr>
            <w:tcW w:w="1700" w:type="dxa"/>
            <w:vAlign w:val="bottom"/>
            <w:gridSpan w:val="3"/>
          </w:tcPr>
          <w:p>
            <w:pPr>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7"/>
                <w:szCs w:val="17"/>
                <w:color w:val="auto"/>
              </w:rPr>
            </w:pPr>
          </w:p>
        </w:tc>
        <w:tc>
          <w:tcPr>
            <w:tcW w:w="76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YoY</w:t>
            </w:r>
          </w:p>
        </w:tc>
        <w:tc>
          <w:tcPr>
            <w:tcW w:w="0" w:type="dxa"/>
            <w:vAlign w:val="bottom"/>
          </w:tcPr>
          <w:p>
            <w:pPr>
              <w:spacing w:after="0"/>
              <w:rPr>
                <w:sz w:val="1"/>
                <w:szCs w:val="1"/>
                <w:color w:val="auto"/>
              </w:rPr>
            </w:pPr>
          </w:p>
        </w:tc>
      </w:tr>
      <w:tr>
        <w:trPr>
          <w:trHeight w:val="213"/>
        </w:trPr>
        <w:tc>
          <w:tcPr>
            <w:tcW w:w="10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March 31, 2020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6"/>
                <w:szCs w:val="16"/>
                <w:b w:val="1"/>
                <w:bCs w:val="1"/>
                <w:color w:val="auto"/>
              </w:rPr>
              <w:t>March 31, 2019</w:t>
            </w:r>
          </w:p>
        </w:tc>
        <w:tc>
          <w:tcPr>
            <w:tcW w:w="92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w w:val="95"/>
              </w:rPr>
              <w:t>% Change</w:t>
            </w:r>
          </w:p>
        </w:tc>
        <w:tc>
          <w:tcPr>
            <w:tcW w:w="0" w:type="dxa"/>
            <w:vAlign w:val="bottom"/>
          </w:tcPr>
          <w:p>
            <w:pPr>
              <w:spacing w:after="0"/>
              <w:rPr>
                <w:sz w:val="1"/>
                <w:szCs w:val="1"/>
                <w:color w:val="auto"/>
              </w:rPr>
            </w:pPr>
          </w:p>
        </w:tc>
      </w:tr>
      <w:tr>
        <w:trPr>
          <w:trHeight w:val="199"/>
        </w:trPr>
        <w:tc>
          <w:tcPr>
            <w:tcW w:w="1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Rates</w:t>
            </w:r>
          </w:p>
        </w:tc>
        <w:tc>
          <w:tcPr>
            <w:tcW w:w="24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61"/>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3"/>
        </w:trPr>
        <w:tc>
          <w:tcPr>
            <w:tcW w:w="4780" w:type="dxa"/>
            <w:vAlign w:val="bottom"/>
            <w:gridSpan w:val="3"/>
          </w:tcPr>
          <w:p>
            <w:pPr>
              <w:ind w:left="120"/>
              <w:spacing w:after="0"/>
              <w:rPr>
                <w:sz w:val="20"/>
                <w:szCs w:val="20"/>
                <w:color w:val="auto"/>
              </w:rPr>
            </w:pPr>
            <w:r>
              <w:rPr>
                <w:rFonts w:ascii="Arial" w:cs="Arial" w:eastAsia="Arial" w:hAnsi="Arial"/>
                <w:sz w:val="16"/>
                <w:szCs w:val="16"/>
                <w:color w:val="auto"/>
              </w:rPr>
              <w:t>Rates - excluding short-tenor swaps (less than 1 year)</w:t>
            </w:r>
          </w:p>
        </w:tc>
        <w:tc>
          <w:tcPr>
            <w:tcW w:w="1520" w:type="dxa"/>
            <w:vAlign w:val="bottom"/>
            <w:gridSpan w:val="2"/>
          </w:tcPr>
          <w:p>
            <w:pPr>
              <w:jc w:val="right"/>
              <w:ind w:right="56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2.39</w:t>
            </w:r>
          </w:p>
        </w:tc>
        <w:tc>
          <w:tcPr>
            <w:tcW w:w="4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2.09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14.4 %</w:t>
            </w:r>
          </w:p>
        </w:tc>
        <w:tc>
          <w:tcPr>
            <w:tcW w:w="0" w:type="dxa"/>
            <w:vAlign w:val="bottom"/>
          </w:tcPr>
          <w:p>
            <w:pPr>
              <w:spacing w:after="0"/>
              <w:rPr>
                <w:sz w:val="1"/>
                <w:szCs w:val="1"/>
                <w:color w:val="auto"/>
              </w:rPr>
            </w:pPr>
          </w:p>
        </w:tc>
      </w:tr>
      <w:tr>
        <w:trPr>
          <w:trHeight w:val="203"/>
        </w:trPr>
        <w:tc>
          <w:tcPr>
            <w:tcW w:w="1080" w:type="dxa"/>
            <w:vAlign w:val="bottom"/>
            <w:shd w:val="clear" w:color="auto" w:fill="CCEEFF"/>
          </w:tcPr>
          <w:p>
            <w:pPr>
              <w:spacing w:after="0"/>
              <w:rPr>
                <w:sz w:val="20"/>
                <w:szCs w:val="20"/>
                <w:color w:val="auto"/>
              </w:rPr>
            </w:pPr>
            <w:r>
              <w:rPr>
                <w:rFonts w:ascii="Arial" w:cs="Arial" w:eastAsia="Arial" w:hAnsi="Arial"/>
                <w:sz w:val="16"/>
                <w:szCs w:val="16"/>
                <w:color w:val="auto"/>
              </w:rPr>
              <w:t>Credit</w:t>
            </w:r>
          </w:p>
        </w:tc>
        <w:tc>
          <w:tcPr>
            <w:tcW w:w="2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61"/>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23.46</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03"/>
        </w:trPr>
        <w:tc>
          <w:tcPr>
            <w:tcW w:w="1080" w:type="dxa"/>
            <w:vAlign w:val="bottom"/>
          </w:tcPr>
          <w:p>
            <w:pPr>
              <w:spacing w:after="0"/>
              <w:rPr>
                <w:sz w:val="20"/>
                <w:szCs w:val="20"/>
                <w:color w:val="auto"/>
              </w:rPr>
            </w:pPr>
            <w:r>
              <w:rPr>
                <w:rFonts w:ascii="Arial" w:cs="Arial" w:eastAsia="Arial" w:hAnsi="Arial"/>
                <w:sz w:val="16"/>
                <w:szCs w:val="16"/>
                <w:color w:val="auto"/>
              </w:rPr>
              <w:t>Equities</w:t>
            </w:r>
          </w:p>
        </w:tc>
        <w:tc>
          <w:tcPr>
            <w:tcW w:w="2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20" w:type="dxa"/>
            <w:vAlign w:val="bottom"/>
            <w:gridSpan w:val="2"/>
          </w:tcPr>
          <w:p>
            <w:pPr>
              <w:jc w:val="right"/>
              <w:ind w:right="56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15.39</w:t>
            </w:r>
          </w:p>
        </w:tc>
        <w:tc>
          <w:tcPr>
            <w:tcW w:w="4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21.15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03"/>
        </w:trPr>
        <w:tc>
          <w:tcPr>
            <w:tcW w:w="1080" w:type="dxa"/>
            <w:vAlign w:val="bottom"/>
            <w:shd w:val="clear" w:color="auto" w:fill="CCEEFF"/>
          </w:tcPr>
          <w:p>
            <w:pPr>
              <w:spacing w:after="0"/>
              <w:rPr>
                <w:sz w:val="20"/>
                <w:szCs w:val="20"/>
                <w:color w:val="auto"/>
              </w:rPr>
            </w:pPr>
            <w:r>
              <w:rPr>
                <w:rFonts w:ascii="Arial" w:cs="Arial" w:eastAsia="Arial" w:hAnsi="Arial"/>
                <w:sz w:val="16"/>
                <w:szCs w:val="16"/>
                <w:color w:val="auto"/>
                <w:w w:val="96"/>
              </w:rPr>
              <w:t>Money Markets</w:t>
            </w:r>
          </w:p>
        </w:tc>
        <w:tc>
          <w:tcPr>
            <w:tcW w:w="2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61"/>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3"/>
        </w:trPr>
        <w:tc>
          <w:tcPr>
            <w:tcW w:w="3500" w:type="dxa"/>
            <w:vAlign w:val="bottom"/>
            <w:gridSpan w:val="2"/>
          </w:tcPr>
          <w:p>
            <w:pPr>
              <w:spacing w:after="0"/>
              <w:rPr>
                <w:sz w:val="20"/>
                <w:szCs w:val="20"/>
                <w:color w:val="auto"/>
              </w:rPr>
            </w:pPr>
            <w:r>
              <w:rPr>
                <w:rFonts w:ascii="Arial" w:cs="Arial" w:eastAsia="Arial" w:hAnsi="Arial"/>
                <w:sz w:val="16"/>
                <w:szCs w:val="16"/>
                <w:color w:val="auto"/>
              </w:rPr>
              <w:t>Total Fees per Million</w:t>
            </w:r>
          </w:p>
        </w:tc>
        <w:tc>
          <w:tcPr>
            <w:tcW w:w="1280" w:type="dxa"/>
            <w:vAlign w:val="bottom"/>
          </w:tcPr>
          <w:p>
            <w:pPr>
              <w:spacing w:after="0"/>
              <w:rPr>
                <w:sz w:val="17"/>
                <w:szCs w:val="17"/>
                <w:color w:val="auto"/>
              </w:rPr>
            </w:pPr>
          </w:p>
        </w:tc>
        <w:tc>
          <w:tcPr>
            <w:tcW w:w="1520" w:type="dxa"/>
            <w:vAlign w:val="bottom"/>
            <w:gridSpan w:val="2"/>
          </w:tcPr>
          <w:p>
            <w:pPr>
              <w:jc w:val="right"/>
              <w:ind w:right="56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2.65</w:t>
            </w:r>
          </w:p>
        </w:tc>
        <w:tc>
          <w:tcPr>
            <w:tcW w:w="4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2.62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03"/>
        </w:trPr>
        <w:tc>
          <w:tcPr>
            <w:tcW w:w="47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w w:val="93"/>
              </w:rPr>
              <w:t>Total Fees per Million - excluding short-tenor swaps (less than 1 year)</w:t>
            </w:r>
          </w:p>
        </w:tc>
        <w:tc>
          <w:tcPr>
            <w:tcW w:w="1520" w:type="dxa"/>
            <w:vAlign w:val="bottom"/>
            <w:gridSpan w:val="2"/>
            <w:shd w:val="clear" w:color="auto" w:fill="CCEEFF"/>
          </w:tcPr>
          <w:p>
            <w:pPr>
              <w:jc w:val="right"/>
              <w:ind w:right="561"/>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0" w:type="dxa"/>
            <w:vAlign w:val="bottom"/>
          </w:tcPr>
          <w:p>
            <w:pPr>
              <w:spacing w:after="0"/>
              <w:rPr>
                <w:sz w:val="1"/>
                <w:szCs w:val="1"/>
                <w:color w:val="auto"/>
              </w:rPr>
            </w:pPr>
          </w:p>
        </w:tc>
      </w:tr>
      <w:tr>
        <w:trPr>
          <w:trHeight w:val="581"/>
        </w:trPr>
        <w:tc>
          <w:tcPr>
            <w:tcW w:w="3500" w:type="dxa"/>
            <w:vAlign w:val="bottom"/>
            <w:gridSpan w:val="2"/>
          </w:tcPr>
          <w:p>
            <w:pPr>
              <w:spacing w:after="0"/>
              <w:rPr>
                <w:sz w:val="20"/>
                <w:szCs w:val="20"/>
                <w:color w:val="auto"/>
              </w:rPr>
            </w:pPr>
            <w:r>
              <w:rPr>
                <w:rFonts w:ascii="Arial" w:cs="Arial" w:eastAsia="Arial" w:hAnsi="Arial"/>
                <w:sz w:val="17"/>
                <w:szCs w:val="17"/>
                <w:b w:val="1"/>
                <w:bCs w:val="1"/>
                <w:color w:val="083566"/>
              </w:rPr>
              <w:t>TRADEWEB MARKETS INC.</w:t>
            </w: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500" w:type="dxa"/>
            <w:vAlign w:val="bottom"/>
            <w:gridSpan w:val="2"/>
          </w:tcPr>
          <w:p>
            <w:pPr>
              <w:spacing w:after="0"/>
              <w:rPr>
                <w:sz w:val="20"/>
                <w:szCs w:val="20"/>
                <w:color w:val="auto"/>
              </w:rPr>
            </w:pPr>
            <w:r>
              <w:rPr>
                <w:rFonts w:ascii="Arial" w:cs="Arial" w:eastAsia="Arial" w:hAnsi="Arial"/>
                <w:sz w:val="17"/>
                <w:szCs w:val="17"/>
                <w:b w:val="1"/>
                <w:bCs w:val="1"/>
                <w:color w:val="083566"/>
              </w:rPr>
              <w:t>AVERAGE DAILY VOLUME (UNAUDITED)</w:t>
            </w:r>
          </w:p>
        </w:tc>
        <w:tc>
          <w:tcPr>
            <w:tcW w:w="1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2"/>
        </w:trPr>
        <w:tc>
          <w:tcPr>
            <w:tcW w:w="10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800" w:type="dxa"/>
            <w:vAlign w:val="bottom"/>
            <w:gridSpan w:val="3"/>
          </w:tcPr>
          <w:p>
            <w:pPr>
              <w:jc w:val="right"/>
              <w:ind w:right="1041"/>
              <w:spacing w:after="0"/>
              <w:rPr>
                <w:sz w:val="20"/>
                <w:szCs w:val="20"/>
                <w:color w:val="auto"/>
              </w:rPr>
            </w:pPr>
            <w:r>
              <w:rPr>
                <w:rFonts w:ascii="Arial" w:cs="Arial" w:eastAsia="Arial" w:hAnsi="Arial"/>
                <w:sz w:val="16"/>
                <w:szCs w:val="16"/>
                <w:b w:val="1"/>
                <w:bCs w:val="1"/>
                <w:color w:val="auto"/>
              </w:rPr>
              <w:t>2020 Q1</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3"/>
          </w:tcPr>
          <w:p>
            <w:pPr>
              <w:ind w:left="120"/>
              <w:spacing w:after="0"/>
              <w:rPr>
                <w:sz w:val="20"/>
                <w:szCs w:val="20"/>
                <w:color w:val="auto"/>
              </w:rPr>
            </w:pPr>
            <w:r>
              <w:rPr>
                <w:rFonts w:ascii="Arial" w:cs="Arial" w:eastAsia="Arial" w:hAnsi="Arial"/>
                <w:sz w:val="16"/>
                <w:szCs w:val="16"/>
                <w:b w:val="1"/>
                <w:bCs w:val="1"/>
                <w:color w:val="auto"/>
              </w:rPr>
              <w:t>2019 Q1</w:t>
            </w:r>
          </w:p>
        </w:tc>
        <w:tc>
          <w:tcPr>
            <w:tcW w:w="160" w:type="dxa"/>
            <w:vAlign w:val="bottom"/>
          </w:tcPr>
          <w:p>
            <w:pPr>
              <w:spacing w:after="0"/>
              <w:rPr>
                <w:sz w:val="24"/>
                <w:szCs w:val="24"/>
                <w:color w:val="auto"/>
              </w:rPr>
            </w:pPr>
          </w:p>
        </w:tc>
        <w:tc>
          <w:tcPr>
            <w:tcW w:w="76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YoY</w:t>
            </w:r>
          </w:p>
        </w:tc>
        <w:tc>
          <w:tcPr>
            <w:tcW w:w="0" w:type="dxa"/>
            <w:vAlign w:val="bottom"/>
          </w:tcPr>
          <w:p>
            <w:pPr>
              <w:spacing w:after="0"/>
              <w:rPr>
                <w:sz w:val="1"/>
                <w:szCs w:val="1"/>
                <w:color w:val="auto"/>
              </w:rPr>
            </w:pPr>
          </w:p>
        </w:tc>
      </w:tr>
      <w:tr>
        <w:trPr>
          <w:trHeight w:val="210"/>
        </w:trPr>
        <w:tc>
          <w:tcPr>
            <w:tcW w:w="10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Asset Class</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Product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ADV (USD mm)</w:t>
            </w:r>
          </w:p>
        </w:tc>
        <w:tc>
          <w:tcPr>
            <w:tcW w:w="152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16"/>
                <w:szCs w:val="16"/>
                <w:b w:val="1"/>
                <w:bCs w:val="1"/>
                <w:color w:val="auto"/>
                <w:w w:val="97"/>
              </w:rPr>
              <w:t>Volume (USD mm)</w:t>
            </w: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ADV (USD mm)</w:t>
            </w:r>
          </w:p>
        </w:tc>
        <w:tc>
          <w:tcPr>
            <w:tcW w:w="150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w w:val="93"/>
              </w:rPr>
              <w:t>Volume (USD mm)</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6"/>
                <w:szCs w:val="16"/>
                <w:b w:val="1"/>
                <w:bCs w:val="1"/>
                <w:color w:val="auto"/>
              </w:rPr>
              <w:t>ADV</w:t>
            </w:r>
          </w:p>
        </w:tc>
        <w:tc>
          <w:tcPr>
            <w:tcW w:w="0" w:type="dxa"/>
            <w:vAlign w:val="bottom"/>
          </w:tcPr>
          <w:p>
            <w:pPr>
              <w:spacing w:after="0"/>
              <w:rPr>
                <w:sz w:val="1"/>
                <w:szCs w:val="1"/>
                <w:color w:val="auto"/>
              </w:rPr>
            </w:pPr>
          </w:p>
        </w:tc>
      </w:tr>
      <w:tr>
        <w:trPr>
          <w:trHeight w:val="202"/>
        </w:trPr>
        <w:tc>
          <w:tcPr>
            <w:tcW w:w="1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Rates</w:t>
            </w:r>
          </w:p>
        </w:tc>
        <w:tc>
          <w:tcPr>
            <w:tcW w:w="2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341,556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21,229,545</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274,976</w:t>
            </w:r>
          </w:p>
        </w:tc>
        <w:tc>
          <w:tcPr>
            <w:tcW w:w="166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16,819,267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24.21%</w:t>
            </w: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2420" w:type="dxa"/>
            <w:vAlign w:val="bottom"/>
          </w:tcPr>
          <w:p>
            <w:pPr>
              <w:jc w:val="right"/>
              <w:spacing w:after="0"/>
              <w:rPr>
                <w:sz w:val="20"/>
                <w:szCs w:val="20"/>
                <w:color w:val="auto"/>
              </w:rPr>
            </w:pPr>
            <w:r>
              <w:rPr>
                <w:rFonts w:ascii="Arial" w:cs="Arial" w:eastAsia="Arial" w:hAnsi="Arial"/>
                <w:sz w:val="16"/>
                <w:szCs w:val="16"/>
                <w:i w:val="1"/>
                <w:iCs w:val="1"/>
                <w:color w:val="auto"/>
              </w:rPr>
              <w:t>U.S. Government Bonds</w:t>
            </w:r>
          </w:p>
        </w:tc>
        <w:tc>
          <w:tcPr>
            <w:tcW w:w="1280" w:type="dxa"/>
            <w:vAlign w:val="bottom"/>
          </w:tcPr>
          <w:p>
            <w:pPr>
              <w:jc w:val="right"/>
              <w:spacing w:after="0"/>
              <w:rPr>
                <w:sz w:val="20"/>
                <w:szCs w:val="20"/>
                <w:color w:val="auto"/>
              </w:rPr>
            </w:pPr>
            <w:r>
              <w:rPr>
                <w:rFonts w:ascii="Arial" w:cs="Arial" w:eastAsia="Arial" w:hAnsi="Arial"/>
                <w:sz w:val="16"/>
                <w:szCs w:val="16"/>
                <w:color w:val="auto"/>
              </w:rPr>
              <w:t>93,517</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5,798,066</w:t>
            </w: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82,128</w:t>
            </w:r>
          </w:p>
        </w:tc>
        <w:tc>
          <w:tcPr>
            <w:tcW w:w="1660" w:type="dxa"/>
            <w:vAlign w:val="bottom"/>
            <w:gridSpan w:val="3"/>
          </w:tcPr>
          <w:p>
            <w:pPr>
              <w:jc w:val="right"/>
              <w:ind w:right="19"/>
              <w:spacing w:after="0"/>
              <w:rPr>
                <w:sz w:val="20"/>
                <w:szCs w:val="20"/>
                <w:color w:val="auto"/>
              </w:rPr>
            </w:pPr>
            <w:r>
              <w:rPr>
                <w:rFonts w:ascii="Arial" w:cs="Arial" w:eastAsia="Arial" w:hAnsi="Arial"/>
                <w:sz w:val="16"/>
                <w:szCs w:val="16"/>
                <w:color w:val="auto"/>
              </w:rPr>
              <w:t>5,009,806</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13.87%</w:t>
            </w:r>
          </w:p>
        </w:tc>
        <w:tc>
          <w:tcPr>
            <w:tcW w:w="0" w:type="dxa"/>
            <w:vAlign w:val="bottom"/>
          </w:tcPr>
          <w:p>
            <w:pPr>
              <w:spacing w:after="0"/>
              <w:rPr>
                <w:sz w:val="1"/>
                <w:szCs w:val="1"/>
                <w:color w:val="auto"/>
              </w:rPr>
            </w:pPr>
          </w:p>
        </w:tc>
      </w:tr>
      <w:tr>
        <w:trPr>
          <w:trHeight w:val="203"/>
        </w:trPr>
        <w:tc>
          <w:tcPr>
            <w:tcW w:w="1080" w:type="dxa"/>
            <w:vAlign w:val="bottom"/>
            <w:shd w:val="clear" w:color="auto" w:fill="CCEEFF"/>
          </w:tcPr>
          <w:p>
            <w:pPr>
              <w:spacing w:after="0"/>
              <w:rPr>
                <w:sz w:val="17"/>
                <w:szCs w:val="17"/>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European Government Bonds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28,116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1,799,420</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23,033</w:t>
            </w:r>
          </w:p>
        </w:tc>
        <w:tc>
          <w:tcPr>
            <w:tcW w:w="166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1,451,106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22.07%</w:t>
            </w:r>
          </w:p>
        </w:tc>
        <w:tc>
          <w:tcPr>
            <w:tcW w:w="0" w:type="dxa"/>
            <w:vAlign w:val="bottom"/>
          </w:tcPr>
          <w:p>
            <w:pPr>
              <w:spacing w:after="0"/>
              <w:rPr>
                <w:sz w:val="1"/>
                <w:szCs w:val="1"/>
                <w:color w:val="auto"/>
              </w:rPr>
            </w:pPr>
          </w:p>
        </w:tc>
      </w:tr>
      <w:tr>
        <w:trPr>
          <w:trHeight w:val="202"/>
        </w:trPr>
        <w:tc>
          <w:tcPr>
            <w:tcW w:w="1080" w:type="dxa"/>
            <w:vAlign w:val="bottom"/>
          </w:tcPr>
          <w:p>
            <w:pPr>
              <w:spacing w:after="0"/>
              <w:rPr>
                <w:sz w:val="17"/>
                <w:szCs w:val="17"/>
                <w:color w:val="auto"/>
              </w:rPr>
            </w:pPr>
          </w:p>
        </w:tc>
        <w:tc>
          <w:tcPr>
            <w:tcW w:w="2420" w:type="dxa"/>
            <w:vAlign w:val="bottom"/>
          </w:tcPr>
          <w:p>
            <w:pPr>
              <w:jc w:val="right"/>
              <w:spacing w:after="0"/>
              <w:rPr>
                <w:sz w:val="20"/>
                <w:szCs w:val="20"/>
                <w:color w:val="auto"/>
              </w:rPr>
            </w:pPr>
            <w:r>
              <w:rPr>
                <w:rFonts w:ascii="Arial" w:cs="Arial" w:eastAsia="Arial" w:hAnsi="Arial"/>
                <w:sz w:val="16"/>
                <w:szCs w:val="16"/>
                <w:i w:val="1"/>
                <w:iCs w:val="1"/>
                <w:color w:val="auto"/>
              </w:rPr>
              <w:t>Mortgages</w:t>
            </w:r>
          </w:p>
        </w:tc>
        <w:tc>
          <w:tcPr>
            <w:tcW w:w="1280" w:type="dxa"/>
            <w:vAlign w:val="bottom"/>
          </w:tcPr>
          <w:p>
            <w:pPr>
              <w:jc w:val="right"/>
              <w:spacing w:after="0"/>
              <w:rPr>
                <w:sz w:val="20"/>
                <w:szCs w:val="20"/>
                <w:color w:val="auto"/>
              </w:rPr>
            </w:pPr>
            <w:r>
              <w:rPr>
                <w:rFonts w:ascii="Arial" w:cs="Arial" w:eastAsia="Arial" w:hAnsi="Arial"/>
                <w:sz w:val="16"/>
                <w:szCs w:val="16"/>
                <w:color w:val="auto"/>
              </w:rPr>
              <w:t>214,946</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13,326,659</w:t>
            </w: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166,277</w:t>
            </w:r>
          </w:p>
        </w:tc>
        <w:tc>
          <w:tcPr>
            <w:tcW w:w="1660" w:type="dxa"/>
            <w:vAlign w:val="bottom"/>
            <w:gridSpan w:val="3"/>
          </w:tcPr>
          <w:p>
            <w:pPr>
              <w:jc w:val="right"/>
              <w:ind w:right="19"/>
              <w:spacing w:after="0"/>
              <w:rPr>
                <w:sz w:val="20"/>
                <w:szCs w:val="20"/>
                <w:color w:val="auto"/>
              </w:rPr>
            </w:pPr>
            <w:r>
              <w:rPr>
                <w:rFonts w:ascii="Arial" w:cs="Arial" w:eastAsia="Arial" w:hAnsi="Arial"/>
                <w:sz w:val="16"/>
                <w:szCs w:val="16"/>
                <w:color w:val="auto"/>
              </w:rPr>
              <w:t>10,142,913</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29.27%</w:t>
            </w:r>
          </w:p>
        </w:tc>
        <w:tc>
          <w:tcPr>
            <w:tcW w:w="0" w:type="dxa"/>
            <w:vAlign w:val="bottom"/>
          </w:tcPr>
          <w:p>
            <w:pPr>
              <w:spacing w:after="0"/>
              <w:rPr>
                <w:sz w:val="1"/>
                <w:szCs w:val="1"/>
                <w:color w:val="auto"/>
              </w:rPr>
            </w:pPr>
          </w:p>
        </w:tc>
      </w:tr>
      <w:tr>
        <w:trPr>
          <w:trHeight w:val="203"/>
        </w:trPr>
        <w:tc>
          <w:tcPr>
            <w:tcW w:w="1080" w:type="dxa"/>
            <w:vAlign w:val="bottom"/>
            <w:shd w:val="clear" w:color="auto" w:fill="CCEEFF"/>
          </w:tcPr>
          <w:p>
            <w:pPr>
              <w:spacing w:after="0"/>
              <w:rPr>
                <w:sz w:val="17"/>
                <w:szCs w:val="17"/>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Other Government Bonds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305,401</w:t>
            </w:r>
          </w:p>
        </w:tc>
        <w:tc>
          <w:tcPr>
            <w:tcW w:w="7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9"/>
              </w:rPr>
              <w:t>3,537</w:t>
            </w:r>
          </w:p>
        </w:tc>
        <w:tc>
          <w:tcPr>
            <w:tcW w:w="166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215,442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40.70%</w:t>
            </w: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Derivatives</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249,217</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rPr>
              <w:t>15,638,292</w:t>
            </w: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154,251</w:t>
            </w:r>
          </w:p>
        </w:tc>
        <w:tc>
          <w:tcPr>
            <w:tcW w:w="166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9,538,077</w:t>
            </w:r>
          </w:p>
        </w:tc>
        <w:tc>
          <w:tcPr>
            <w:tcW w:w="760" w:type="dxa"/>
            <w:vAlign w:val="bottom"/>
            <w:gridSpan w:val="2"/>
          </w:tcPr>
          <w:p>
            <w:pPr>
              <w:jc w:val="right"/>
              <w:spacing w:after="0"/>
              <w:rPr>
                <w:sz w:val="20"/>
                <w:szCs w:val="20"/>
                <w:color w:val="auto"/>
              </w:rPr>
            </w:pPr>
            <w:r>
              <w:rPr>
                <w:rFonts w:ascii="Arial" w:cs="Arial" w:eastAsia="Arial" w:hAnsi="Arial"/>
                <w:sz w:val="16"/>
                <w:szCs w:val="16"/>
                <w:b w:val="1"/>
                <w:bCs w:val="1"/>
                <w:color w:val="auto"/>
              </w:rPr>
              <w:t>61.57%</w:t>
            </w:r>
          </w:p>
        </w:tc>
        <w:tc>
          <w:tcPr>
            <w:tcW w:w="0" w:type="dxa"/>
            <w:vAlign w:val="bottom"/>
          </w:tcPr>
          <w:p>
            <w:pPr>
              <w:spacing w:after="0"/>
              <w:rPr>
                <w:sz w:val="1"/>
                <w:szCs w:val="1"/>
                <w:color w:val="auto"/>
              </w:rPr>
            </w:pPr>
          </w:p>
        </w:tc>
      </w:tr>
      <w:tr>
        <w:trPr>
          <w:trHeight w:val="203"/>
        </w:trPr>
        <w:tc>
          <w:tcPr>
            <w:tcW w:w="1080" w:type="dxa"/>
            <w:vAlign w:val="bottom"/>
            <w:shd w:val="clear" w:color="auto" w:fill="CCEEFF"/>
          </w:tcPr>
          <w:p>
            <w:pPr>
              <w:spacing w:after="0"/>
              <w:rPr>
                <w:sz w:val="17"/>
                <w:szCs w:val="17"/>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 xml:space="preserve">Swaps/Swaptions </w:t>
            </w:r>
            <w:r>
              <w:rPr>
                <w:rFonts w:ascii="Arial" w:cs="Arial" w:eastAsia="Arial" w:hAnsi="Arial"/>
                <w:sz w:val="16"/>
                <w:szCs w:val="16"/>
                <w:color w:val="auto"/>
              </w:rPr>
              <w:t>≥</w:t>
            </w:r>
            <w:r>
              <w:rPr>
                <w:rFonts w:ascii="Arial" w:cs="Arial" w:eastAsia="Arial" w:hAnsi="Arial"/>
                <w:sz w:val="16"/>
                <w:szCs w:val="16"/>
                <w:i w:val="1"/>
                <w:iCs w:val="1"/>
                <w:color w:val="auto"/>
              </w:rPr>
              <w:t xml:space="preserve"> 1Y</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159,515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10,013,269</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142,263</w:t>
            </w:r>
          </w:p>
        </w:tc>
        <w:tc>
          <w:tcPr>
            <w:tcW w:w="166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8,794,997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12.13%</w:t>
            </w: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2420" w:type="dxa"/>
            <w:vAlign w:val="bottom"/>
          </w:tcPr>
          <w:p>
            <w:pPr>
              <w:jc w:val="right"/>
              <w:spacing w:after="0"/>
              <w:rPr>
                <w:sz w:val="20"/>
                <w:szCs w:val="20"/>
                <w:color w:val="auto"/>
              </w:rPr>
            </w:pPr>
            <w:r>
              <w:rPr>
                <w:rFonts w:ascii="Arial" w:cs="Arial" w:eastAsia="Arial" w:hAnsi="Arial"/>
                <w:sz w:val="16"/>
                <w:szCs w:val="16"/>
                <w:i w:val="1"/>
                <w:iCs w:val="1"/>
                <w:color w:val="auto"/>
              </w:rPr>
              <w:t>Swaps/Swaptions &lt; 1Y</w:t>
            </w:r>
          </w:p>
        </w:tc>
        <w:tc>
          <w:tcPr>
            <w:tcW w:w="1280" w:type="dxa"/>
            <w:vAlign w:val="bottom"/>
          </w:tcPr>
          <w:p>
            <w:pPr>
              <w:jc w:val="right"/>
              <w:spacing w:after="0"/>
              <w:rPr>
                <w:sz w:val="20"/>
                <w:szCs w:val="20"/>
                <w:color w:val="auto"/>
              </w:rPr>
            </w:pPr>
            <w:r>
              <w:rPr>
                <w:rFonts w:ascii="Arial" w:cs="Arial" w:eastAsia="Arial" w:hAnsi="Arial"/>
                <w:sz w:val="16"/>
                <w:szCs w:val="16"/>
                <w:color w:val="auto"/>
              </w:rPr>
              <w:t>89,092</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5,587,159</w:t>
            </w: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11,486</w:t>
            </w:r>
          </w:p>
        </w:tc>
        <w:tc>
          <w:tcPr>
            <w:tcW w:w="1660" w:type="dxa"/>
            <w:vAlign w:val="bottom"/>
            <w:gridSpan w:val="3"/>
          </w:tcPr>
          <w:p>
            <w:pPr>
              <w:jc w:val="right"/>
              <w:ind w:right="19"/>
              <w:spacing w:after="0"/>
              <w:rPr>
                <w:sz w:val="20"/>
                <w:szCs w:val="20"/>
                <w:color w:val="auto"/>
              </w:rPr>
            </w:pPr>
            <w:r>
              <w:rPr>
                <w:rFonts w:ascii="Arial" w:cs="Arial" w:eastAsia="Arial" w:hAnsi="Arial"/>
                <w:sz w:val="16"/>
                <w:szCs w:val="16"/>
                <w:color w:val="auto"/>
              </w:rPr>
              <w:t>712,441</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675.68%</w:t>
            </w:r>
          </w:p>
        </w:tc>
        <w:tc>
          <w:tcPr>
            <w:tcW w:w="0" w:type="dxa"/>
            <w:vAlign w:val="bottom"/>
          </w:tcPr>
          <w:p>
            <w:pPr>
              <w:spacing w:after="0"/>
              <w:rPr>
                <w:sz w:val="1"/>
                <w:szCs w:val="1"/>
                <w:color w:val="auto"/>
              </w:rPr>
            </w:pPr>
          </w:p>
        </w:tc>
      </w:tr>
      <w:tr>
        <w:trPr>
          <w:trHeight w:val="203"/>
        </w:trPr>
        <w:tc>
          <w:tcPr>
            <w:tcW w:w="1080" w:type="dxa"/>
            <w:vAlign w:val="bottom"/>
            <w:shd w:val="clear" w:color="auto" w:fill="CCEEFF"/>
          </w:tcPr>
          <w:p>
            <w:pPr>
              <w:spacing w:after="0"/>
              <w:rPr>
                <w:sz w:val="17"/>
                <w:szCs w:val="17"/>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Futures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37,865</w:t>
            </w:r>
          </w:p>
        </w:tc>
        <w:tc>
          <w:tcPr>
            <w:tcW w:w="78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1660" w:type="dxa"/>
            <w:vAlign w:val="bottom"/>
            <w:tcBorders>
              <w:bottom w:val="single" w:sz="8" w:color="auto"/>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30,638</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21.60%</w:t>
            </w:r>
          </w:p>
        </w:tc>
        <w:tc>
          <w:tcPr>
            <w:tcW w:w="0" w:type="dxa"/>
            <w:vAlign w:val="bottom"/>
          </w:tcPr>
          <w:p>
            <w:pPr>
              <w:spacing w:after="0"/>
              <w:rPr>
                <w:sz w:val="1"/>
                <w:szCs w:val="1"/>
                <w:color w:val="auto"/>
              </w:rPr>
            </w:pPr>
          </w:p>
        </w:tc>
      </w:tr>
      <w:tr>
        <w:trPr>
          <w:trHeight w:val="196"/>
        </w:trPr>
        <w:tc>
          <w:tcPr>
            <w:tcW w:w="1080" w:type="dxa"/>
            <w:vAlign w:val="bottom"/>
            <w:tcBorders>
              <w:bottom w:val="single" w:sz="8" w:color="CCEEFF"/>
            </w:tcBorders>
          </w:tcPr>
          <w:p>
            <w:pPr>
              <w:spacing w:after="0"/>
              <w:rPr>
                <w:sz w:val="17"/>
                <w:szCs w:val="17"/>
                <w:color w:val="auto"/>
              </w:rPr>
            </w:pPr>
          </w:p>
        </w:tc>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590,773</w:t>
            </w: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36,867,838</w:t>
            </w: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429,226</w:t>
            </w:r>
          </w:p>
        </w:tc>
        <w:tc>
          <w:tcPr>
            <w:tcW w:w="16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26,357,344</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37.64%</w:t>
            </w:r>
          </w:p>
        </w:tc>
        <w:tc>
          <w:tcPr>
            <w:tcW w:w="0" w:type="dxa"/>
            <w:vAlign w:val="bottom"/>
          </w:tcPr>
          <w:p>
            <w:pPr>
              <w:spacing w:after="0"/>
              <w:rPr>
                <w:sz w:val="1"/>
                <w:szCs w:val="1"/>
                <w:color w:val="auto"/>
              </w:rPr>
            </w:pPr>
          </w:p>
        </w:tc>
      </w:tr>
      <w:tr>
        <w:trPr>
          <w:trHeight w:val="196"/>
        </w:trPr>
        <w:tc>
          <w:tcPr>
            <w:tcW w:w="1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Credit</w:t>
            </w:r>
          </w:p>
        </w:tc>
        <w:tc>
          <w:tcPr>
            <w:tcW w:w="2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7,255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449,797</w:t>
            </w:r>
          </w:p>
        </w:tc>
        <w:tc>
          <w:tcPr>
            <w:tcW w:w="7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5,631</w:t>
            </w:r>
          </w:p>
        </w:tc>
        <w:tc>
          <w:tcPr>
            <w:tcW w:w="166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343,725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28.84%</w:t>
            </w:r>
          </w:p>
        </w:tc>
        <w:tc>
          <w:tcPr>
            <w:tcW w:w="0" w:type="dxa"/>
            <w:vAlign w:val="bottom"/>
          </w:tcPr>
          <w:p>
            <w:pPr>
              <w:spacing w:after="0"/>
              <w:rPr>
                <w:sz w:val="1"/>
                <w:szCs w:val="1"/>
                <w:color w:val="auto"/>
              </w:rPr>
            </w:pPr>
          </w:p>
        </w:tc>
      </w:tr>
      <w:tr>
        <w:trPr>
          <w:trHeight w:val="202"/>
        </w:trPr>
        <w:tc>
          <w:tcPr>
            <w:tcW w:w="1080" w:type="dxa"/>
            <w:vAlign w:val="bottom"/>
          </w:tcPr>
          <w:p>
            <w:pPr>
              <w:spacing w:after="0"/>
              <w:rPr>
                <w:sz w:val="17"/>
                <w:szCs w:val="17"/>
                <w:color w:val="auto"/>
              </w:rPr>
            </w:pPr>
          </w:p>
        </w:tc>
        <w:tc>
          <w:tcPr>
            <w:tcW w:w="2420" w:type="dxa"/>
            <w:vAlign w:val="bottom"/>
          </w:tcPr>
          <w:p>
            <w:pPr>
              <w:jc w:val="right"/>
              <w:spacing w:after="0"/>
              <w:rPr>
                <w:sz w:val="20"/>
                <w:szCs w:val="20"/>
                <w:color w:val="auto"/>
              </w:rPr>
            </w:pPr>
            <w:r>
              <w:rPr>
                <w:rFonts w:ascii="Arial" w:cs="Arial" w:eastAsia="Arial" w:hAnsi="Arial"/>
                <w:sz w:val="16"/>
                <w:szCs w:val="16"/>
                <w:i w:val="1"/>
                <w:iCs w:val="1"/>
                <w:color w:val="auto"/>
              </w:rPr>
              <w:t>U.S. High-Grade</w:t>
            </w:r>
          </w:p>
        </w:tc>
        <w:tc>
          <w:tcPr>
            <w:tcW w:w="1280" w:type="dxa"/>
            <w:vAlign w:val="bottom"/>
          </w:tcPr>
          <w:p>
            <w:pPr>
              <w:jc w:val="right"/>
              <w:spacing w:after="0"/>
              <w:rPr>
                <w:sz w:val="20"/>
                <w:szCs w:val="20"/>
                <w:color w:val="auto"/>
              </w:rPr>
            </w:pPr>
            <w:r>
              <w:rPr>
                <w:rFonts w:ascii="Arial" w:cs="Arial" w:eastAsia="Arial" w:hAnsi="Arial"/>
                <w:sz w:val="16"/>
                <w:szCs w:val="16"/>
                <w:color w:val="auto"/>
              </w:rPr>
              <w:t>3,903</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241,959</w:t>
            </w:r>
          </w:p>
        </w:tc>
        <w:tc>
          <w:tcPr>
            <w:tcW w:w="78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6"/>
                <w:szCs w:val="16"/>
                <w:color w:val="auto"/>
                <w:w w:val="99"/>
              </w:rPr>
              <w:t>2,812</w:t>
            </w:r>
          </w:p>
        </w:tc>
        <w:tc>
          <w:tcPr>
            <w:tcW w:w="1660" w:type="dxa"/>
            <w:vAlign w:val="bottom"/>
            <w:gridSpan w:val="3"/>
          </w:tcPr>
          <w:p>
            <w:pPr>
              <w:jc w:val="right"/>
              <w:ind w:right="19"/>
              <w:spacing w:after="0"/>
              <w:rPr>
                <w:sz w:val="20"/>
                <w:szCs w:val="20"/>
                <w:color w:val="auto"/>
              </w:rPr>
            </w:pPr>
            <w:r>
              <w:rPr>
                <w:rFonts w:ascii="Arial" w:cs="Arial" w:eastAsia="Arial" w:hAnsi="Arial"/>
                <w:sz w:val="16"/>
                <w:szCs w:val="16"/>
                <w:color w:val="auto"/>
              </w:rPr>
              <w:t>171,553</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38.77%</w:t>
            </w:r>
          </w:p>
        </w:tc>
        <w:tc>
          <w:tcPr>
            <w:tcW w:w="0" w:type="dxa"/>
            <w:vAlign w:val="bottom"/>
          </w:tcPr>
          <w:p>
            <w:pPr>
              <w:spacing w:after="0"/>
              <w:rPr>
                <w:sz w:val="1"/>
                <w:szCs w:val="1"/>
                <w:color w:val="auto"/>
              </w:rPr>
            </w:pPr>
          </w:p>
        </w:tc>
      </w:tr>
      <w:tr>
        <w:trPr>
          <w:trHeight w:val="203"/>
        </w:trPr>
        <w:tc>
          <w:tcPr>
            <w:tcW w:w="1080" w:type="dxa"/>
            <w:vAlign w:val="bottom"/>
            <w:shd w:val="clear" w:color="auto" w:fill="CCEEFF"/>
          </w:tcPr>
          <w:p>
            <w:pPr>
              <w:spacing w:after="0"/>
              <w:rPr>
                <w:sz w:val="17"/>
                <w:szCs w:val="17"/>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U.S. High-Yield</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30,167</w:t>
            </w:r>
          </w:p>
        </w:tc>
        <w:tc>
          <w:tcPr>
            <w:tcW w:w="7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66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20,090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47.74%</w:t>
            </w: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2420" w:type="dxa"/>
            <w:vAlign w:val="bottom"/>
          </w:tcPr>
          <w:p>
            <w:pPr>
              <w:jc w:val="right"/>
              <w:spacing w:after="0"/>
              <w:rPr>
                <w:sz w:val="20"/>
                <w:szCs w:val="20"/>
                <w:color w:val="auto"/>
              </w:rPr>
            </w:pPr>
            <w:r>
              <w:rPr>
                <w:rFonts w:ascii="Arial" w:cs="Arial" w:eastAsia="Arial" w:hAnsi="Arial"/>
                <w:sz w:val="16"/>
                <w:szCs w:val="16"/>
                <w:i w:val="1"/>
                <w:iCs w:val="1"/>
                <w:color w:val="auto"/>
              </w:rPr>
              <w:t>European Credit</w:t>
            </w:r>
          </w:p>
        </w:tc>
        <w:tc>
          <w:tcPr>
            <w:tcW w:w="1280" w:type="dxa"/>
            <w:vAlign w:val="bottom"/>
          </w:tcPr>
          <w:p>
            <w:pPr>
              <w:jc w:val="right"/>
              <w:spacing w:after="0"/>
              <w:rPr>
                <w:sz w:val="20"/>
                <w:szCs w:val="20"/>
                <w:color w:val="auto"/>
              </w:rPr>
            </w:pPr>
            <w:r>
              <w:rPr>
                <w:rFonts w:ascii="Arial" w:cs="Arial" w:eastAsia="Arial" w:hAnsi="Arial"/>
                <w:sz w:val="16"/>
                <w:szCs w:val="16"/>
                <w:color w:val="auto"/>
              </w:rPr>
              <w:t>1,658</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106,115</w:t>
            </w:r>
          </w:p>
        </w:tc>
        <w:tc>
          <w:tcPr>
            <w:tcW w:w="78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6"/>
                <w:szCs w:val="16"/>
                <w:color w:val="auto"/>
                <w:w w:val="99"/>
              </w:rPr>
              <w:t>1,321</w:t>
            </w:r>
          </w:p>
        </w:tc>
        <w:tc>
          <w:tcPr>
            <w:tcW w:w="1660" w:type="dxa"/>
            <w:vAlign w:val="bottom"/>
            <w:gridSpan w:val="3"/>
          </w:tcPr>
          <w:p>
            <w:pPr>
              <w:jc w:val="right"/>
              <w:ind w:right="19"/>
              <w:spacing w:after="0"/>
              <w:rPr>
                <w:sz w:val="20"/>
                <w:szCs w:val="20"/>
                <w:color w:val="auto"/>
              </w:rPr>
            </w:pPr>
            <w:r>
              <w:rPr>
                <w:rFonts w:ascii="Arial" w:cs="Arial" w:eastAsia="Arial" w:hAnsi="Arial"/>
                <w:sz w:val="16"/>
                <w:szCs w:val="16"/>
                <w:color w:val="auto"/>
              </w:rPr>
              <w:t>83,203</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25.54%</w:t>
            </w:r>
          </w:p>
        </w:tc>
        <w:tc>
          <w:tcPr>
            <w:tcW w:w="0" w:type="dxa"/>
            <w:vAlign w:val="bottom"/>
          </w:tcPr>
          <w:p>
            <w:pPr>
              <w:spacing w:after="0"/>
              <w:rPr>
                <w:sz w:val="1"/>
                <w:szCs w:val="1"/>
                <w:color w:val="auto"/>
              </w:rPr>
            </w:pPr>
          </w:p>
        </w:tc>
      </w:tr>
      <w:tr>
        <w:trPr>
          <w:trHeight w:val="203"/>
        </w:trPr>
        <w:tc>
          <w:tcPr>
            <w:tcW w:w="1080" w:type="dxa"/>
            <w:vAlign w:val="bottom"/>
            <w:shd w:val="clear" w:color="auto" w:fill="CCEEFF"/>
          </w:tcPr>
          <w:p>
            <w:pPr>
              <w:spacing w:after="0"/>
              <w:rPr>
                <w:sz w:val="17"/>
                <w:szCs w:val="17"/>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Municipal Bonds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17,902</w:t>
            </w:r>
          </w:p>
        </w:tc>
        <w:tc>
          <w:tcPr>
            <w:tcW w:w="7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66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17,027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2420" w:type="dxa"/>
            <w:vAlign w:val="bottom"/>
          </w:tcPr>
          <w:p>
            <w:pPr>
              <w:jc w:val="right"/>
              <w:spacing w:after="0"/>
              <w:rPr>
                <w:sz w:val="20"/>
                <w:szCs w:val="20"/>
                <w:color w:val="auto"/>
              </w:rPr>
            </w:pPr>
            <w:r>
              <w:rPr>
                <w:rFonts w:ascii="Arial" w:cs="Arial" w:eastAsia="Arial" w:hAnsi="Arial"/>
                <w:sz w:val="16"/>
                <w:szCs w:val="16"/>
                <w:i w:val="1"/>
                <w:iCs w:val="1"/>
                <w:color w:val="auto"/>
              </w:rPr>
              <w:t>Chinese Bonds</w:t>
            </w:r>
          </w:p>
        </w:tc>
        <w:tc>
          <w:tcPr>
            <w:tcW w:w="1280" w:type="dxa"/>
            <w:vAlign w:val="bottom"/>
          </w:tcPr>
          <w:p>
            <w:pPr>
              <w:jc w:val="right"/>
              <w:spacing w:after="0"/>
              <w:rPr>
                <w:sz w:val="20"/>
                <w:szCs w:val="20"/>
                <w:color w:val="auto"/>
              </w:rPr>
            </w:pPr>
            <w:r>
              <w:rPr>
                <w:rFonts w:ascii="Arial" w:cs="Arial" w:eastAsia="Arial" w:hAnsi="Arial"/>
                <w:sz w:val="16"/>
                <w:szCs w:val="16"/>
                <w:color w:val="auto"/>
              </w:rPr>
              <w:t>857</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49,715</w:t>
            </w:r>
          </w:p>
        </w:tc>
        <w:tc>
          <w:tcPr>
            <w:tcW w:w="78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833</w:t>
            </w:r>
          </w:p>
        </w:tc>
        <w:tc>
          <w:tcPr>
            <w:tcW w:w="1660" w:type="dxa"/>
            <w:vAlign w:val="bottom"/>
            <w:gridSpan w:val="3"/>
          </w:tcPr>
          <w:p>
            <w:pPr>
              <w:jc w:val="right"/>
              <w:ind w:right="19"/>
              <w:spacing w:after="0"/>
              <w:rPr>
                <w:sz w:val="20"/>
                <w:szCs w:val="20"/>
                <w:color w:val="auto"/>
              </w:rPr>
            </w:pPr>
            <w:r>
              <w:rPr>
                <w:rFonts w:ascii="Arial" w:cs="Arial" w:eastAsia="Arial" w:hAnsi="Arial"/>
                <w:sz w:val="16"/>
                <w:szCs w:val="16"/>
                <w:color w:val="auto"/>
              </w:rPr>
              <w:t>48,293</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03"/>
        </w:trPr>
        <w:tc>
          <w:tcPr>
            <w:tcW w:w="1080" w:type="dxa"/>
            <w:vAlign w:val="bottom"/>
            <w:shd w:val="clear" w:color="auto" w:fill="CCEEFF"/>
          </w:tcPr>
          <w:p>
            <w:pPr>
              <w:spacing w:after="0"/>
              <w:rPr>
                <w:sz w:val="17"/>
                <w:szCs w:val="17"/>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Other Credit Bonds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3,939</w:t>
            </w:r>
          </w:p>
        </w:tc>
        <w:tc>
          <w:tcPr>
            <w:tcW w:w="7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66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3,560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8.82%</w:t>
            </w: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Derivatives</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25,741</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rPr>
              <w:t>1,621,014</w:t>
            </w: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10,755</w:t>
            </w:r>
          </w:p>
        </w:tc>
        <w:tc>
          <w:tcPr>
            <w:tcW w:w="166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666,312</w:t>
            </w:r>
          </w:p>
        </w:tc>
        <w:tc>
          <w:tcPr>
            <w:tcW w:w="760" w:type="dxa"/>
            <w:vAlign w:val="bottom"/>
            <w:gridSpan w:val="2"/>
          </w:tcPr>
          <w:p>
            <w:pPr>
              <w:jc w:val="right"/>
              <w:spacing w:after="0"/>
              <w:rPr>
                <w:sz w:val="20"/>
                <w:szCs w:val="20"/>
                <w:color w:val="auto"/>
              </w:rPr>
            </w:pPr>
            <w:r>
              <w:rPr>
                <w:rFonts w:ascii="Arial" w:cs="Arial" w:eastAsia="Arial" w:hAnsi="Arial"/>
                <w:sz w:val="16"/>
                <w:szCs w:val="16"/>
                <w:b w:val="1"/>
                <w:bCs w:val="1"/>
                <w:color w:val="auto"/>
              </w:rPr>
              <w:t>139.34%</w:t>
            </w:r>
          </w:p>
        </w:tc>
        <w:tc>
          <w:tcPr>
            <w:tcW w:w="0" w:type="dxa"/>
            <w:vAlign w:val="bottom"/>
          </w:tcPr>
          <w:p>
            <w:pPr>
              <w:spacing w:after="0"/>
              <w:rPr>
                <w:sz w:val="1"/>
                <w:szCs w:val="1"/>
                <w:color w:val="auto"/>
              </w:rPr>
            </w:pPr>
          </w:p>
        </w:tc>
      </w:tr>
      <w:tr>
        <w:trPr>
          <w:trHeight w:val="203"/>
        </w:trPr>
        <w:tc>
          <w:tcPr>
            <w:tcW w:w="1080" w:type="dxa"/>
            <w:vAlign w:val="bottom"/>
            <w:shd w:val="clear" w:color="auto" w:fill="CCEEFF"/>
          </w:tcPr>
          <w:p>
            <w:pPr>
              <w:spacing w:after="0"/>
              <w:rPr>
                <w:sz w:val="17"/>
                <w:szCs w:val="17"/>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Swaps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25,741</w:t>
            </w: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1,621,014</w:t>
            </w: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10,755</w:t>
            </w:r>
          </w:p>
        </w:tc>
        <w:tc>
          <w:tcPr>
            <w:tcW w:w="1660" w:type="dxa"/>
            <w:vAlign w:val="bottom"/>
            <w:tcBorders>
              <w:bottom w:val="single" w:sz="8" w:color="auto"/>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666,312</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139.34%</w:t>
            </w:r>
          </w:p>
        </w:tc>
        <w:tc>
          <w:tcPr>
            <w:tcW w:w="0" w:type="dxa"/>
            <w:vAlign w:val="bottom"/>
          </w:tcPr>
          <w:p>
            <w:pPr>
              <w:spacing w:after="0"/>
              <w:rPr>
                <w:sz w:val="1"/>
                <w:szCs w:val="1"/>
                <w:color w:val="auto"/>
              </w:rPr>
            </w:pPr>
          </w:p>
        </w:tc>
      </w:tr>
      <w:tr>
        <w:trPr>
          <w:trHeight w:val="196"/>
        </w:trPr>
        <w:tc>
          <w:tcPr>
            <w:tcW w:w="1080" w:type="dxa"/>
            <w:vAlign w:val="bottom"/>
            <w:tcBorders>
              <w:bottom w:val="single" w:sz="8" w:color="CCEEFF"/>
            </w:tcBorders>
          </w:tcPr>
          <w:p>
            <w:pPr>
              <w:spacing w:after="0"/>
              <w:rPr>
                <w:sz w:val="17"/>
                <w:szCs w:val="17"/>
                <w:color w:val="auto"/>
              </w:rPr>
            </w:pPr>
          </w:p>
        </w:tc>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32,997</w:t>
            </w: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2,070,811</w:t>
            </w: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16,386</w:t>
            </w:r>
          </w:p>
        </w:tc>
        <w:tc>
          <w:tcPr>
            <w:tcW w:w="16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1,010,037</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101.37%</w:t>
            </w:r>
          </w:p>
        </w:tc>
        <w:tc>
          <w:tcPr>
            <w:tcW w:w="0" w:type="dxa"/>
            <w:vAlign w:val="bottom"/>
          </w:tcPr>
          <w:p>
            <w:pPr>
              <w:spacing w:after="0"/>
              <w:rPr>
                <w:sz w:val="1"/>
                <w:szCs w:val="1"/>
                <w:color w:val="auto"/>
              </w:rPr>
            </w:pPr>
          </w:p>
        </w:tc>
      </w:tr>
      <w:tr>
        <w:trPr>
          <w:trHeight w:val="169"/>
        </w:trPr>
        <w:tc>
          <w:tcPr>
            <w:tcW w:w="108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Money</w:t>
            </w:r>
          </w:p>
        </w:tc>
        <w:tc>
          <w:tcPr>
            <w:tcW w:w="24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b w:val="1"/>
                <w:bCs w:val="1"/>
                <w:color w:val="auto"/>
              </w:rPr>
              <w:t>Cash</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256,193</w:t>
            </w:r>
          </w:p>
        </w:tc>
        <w:tc>
          <w:tcPr>
            <w:tcW w:w="15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15,948,560</w:t>
            </w:r>
          </w:p>
        </w:tc>
        <w:tc>
          <w:tcPr>
            <w:tcW w:w="120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192,264</w:t>
            </w:r>
          </w:p>
        </w:tc>
        <w:tc>
          <w:tcPr>
            <w:tcW w:w="1660" w:type="dxa"/>
            <w:vAlign w:val="bottom"/>
            <w:gridSpan w:val="3"/>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11,771,636</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33.25%</w:t>
            </w:r>
          </w:p>
        </w:tc>
        <w:tc>
          <w:tcPr>
            <w:tcW w:w="0" w:type="dxa"/>
            <w:vAlign w:val="bottom"/>
          </w:tcPr>
          <w:p>
            <w:pPr>
              <w:spacing w:after="0"/>
              <w:rPr>
                <w:sz w:val="1"/>
                <w:szCs w:val="1"/>
                <w:color w:val="auto"/>
              </w:rPr>
            </w:pPr>
          </w:p>
        </w:tc>
      </w:tr>
      <w:tr>
        <w:trPr>
          <w:trHeight w:val="116"/>
        </w:trPr>
        <w:tc>
          <w:tcPr>
            <w:tcW w:w="108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Markets</w:t>
            </w:r>
          </w:p>
        </w:tc>
        <w:tc>
          <w:tcPr>
            <w:tcW w:w="2420" w:type="dxa"/>
            <w:vAlign w:val="bottom"/>
            <w:shd w:val="clear" w:color="auto" w:fill="CCEEFF"/>
          </w:tcPr>
          <w:p>
            <w:pPr>
              <w:spacing w:after="0"/>
              <w:rPr>
                <w:sz w:val="10"/>
                <w:szCs w:val="10"/>
                <w:color w:val="auto"/>
              </w:rPr>
            </w:pPr>
          </w:p>
        </w:tc>
        <w:tc>
          <w:tcPr>
            <w:tcW w:w="1280" w:type="dxa"/>
            <w:vAlign w:val="bottom"/>
            <w:vMerge w:val="continue"/>
            <w:shd w:val="clear" w:color="auto" w:fill="CCEEFF"/>
          </w:tcPr>
          <w:p>
            <w:pPr>
              <w:spacing w:after="0"/>
              <w:rPr>
                <w:sz w:val="10"/>
                <w:szCs w:val="10"/>
                <w:color w:val="auto"/>
              </w:rPr>
            </w:pPr>
          </w:p>
        </w:tc>
        <w:tc>
          <w:tcPr>
            <w:tcW w:w="1520" w:type="dxa"/>
            <w:vAlign w:val="bottom"/>
            <w:gridSpan w:val="2"/>
            <w:vMerge w:val="continue"/>
            <w:shd w:val="clear" w:color="auto" w:fill="CCEEFF"/>
          </w:tcPr>
          <w:p>
            <w:pPr>
              <w:spacing w:after="0"/>
              <w:rPr>
                <w:sz w:val="10"/>
                <w:szCs w:val="10"/>
                <w:color w:val="auto"/>
              </w:rPr>
            </w:pPr>
          </w:p>
        </w:tc>
        <w:tc>
          <w:tcPr>
            <w:tcW w:w="1200" w:type="dxa"/>
            <w:vAlign w:val="bottom"/>
            <w:gridSpan w:val="3"/>
            <w:vMerge w:val="continue"/>
            <w:shd w:val="clear" w:color="auto" w:fill="CCEEFF"/>
          </w:tcPr>
          <w:p>
            <w:pPr>
              <w:spacing w:after="0"/>
              <w:rPr>
                <w:sz w:val="10"/>
                <w:szCs w:val="10"/>
                <w:color w:val="auto"/>
              </w:rPr>
            </w:pPr>
          </w:p>
        </w:tc>
        <w:tc>
          <w:tcPr>
            <w:tcW w:w="1660" w:type="dxa"/>
            <w:vAlign w:val="bottom"/>
            <w:gridSpan w:val="3"/>
            <w:vMerge w:val="continue"/>
            <w:shd w:val="clear" w:color="auto" w:fill="CCEEFF"/>
          </w:tcPr>
          <w:p>
            <w:pPr>
              <w:spacing w:after="0"/>
              <w:rPr>
                <w:sz w:val="10"/>
                <w:szCs w:val="10"/>
                <w:color w:val="auto"/>
              </w:rPr>
            </w:pPr>
          </w:p>
        </w:tc>
        <w:tc>
          <w:tcPr>
            <w:tcW w:w="76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080" w:type="dxa"/>
            <w:vAlign w:val="bottom"/>
            <w:vMerge w:val="continue"/>
            <w:shd w:val="clear" w:color="auto" w:fill="CCEEFF"/>
          </w:tcPr>
          <w:p>
            <w:pPr>
              <w:spacing w:after="0"/>
              <w:rPr>
                <w:sz w:val="8"/>
                <w:szCs w:val="8"/>
                <w:color w:val="auto"/>
              </w:rPr>
            </w:pPr>
          </w:p>
        </w:tc>
        <w:tc>
          <w:tcPr>
            <w:tcW w:w="24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1080" w:type="dxa"/>
            <w:vAlign w:val="bottom"/>
          </w:tcPr>
          <w:p>
            <w:pPr>
              <w:spacing w:after="0"/>
              <w:rPr>
                <w:sz w:val="17"/>
                <w:szCs w:val="17"/>
                <w:color w:val="auto"/>
              </w:rPr>
            </w:pPr>
          </w:p>
        </w:tc>
        <w:tc>
          <w:tcPr>
            <w:tcW w:w="2420" w:type="dxa"/>
            <w:vAlign w:val="bottom"/>
          </w:tcPr>
          <w:p>
            <w:pPr>
              <w:jc w:val="right"/>
              <w:spacing w:after="0"/>
              <w:rPr>
                <w:sz w:val="20"/>
                <w:szCs w:val="20"/>
                <w:color w:val="auto"/>
              </w:rPr>
            </w:pPr>
            <w:r>
              <w:rPr>
                <w:rFonts w:ascii="Arial" w:cs="Arial" w:eastAsia="Arial" w:hAnsi="Arial"/>
                <w:sz w:val="16"/>
                <w:szCs w:val="16"/>
                <w:i w:val="1"/>
                <w:iCs w:val="1"/>
                <w:color w:val="auto"/>
              </w:rPr>
              <w:t>Repurchase Agreements (Repo)</w:t>
            </w:r>
          </w:p>
        </w:tc>
        <w:tc>
          <w:tcPr>
            <w:tcW w:w="1280" w:type="dxa"/>
            <w:vAlign w:val="bottom"/>
          </w:tcPr>
          <w:p>
            <w:pPr>
              <w:jc w:val="right"/>
              <w:spacing w:after="0"/>
              <w:rPr>
                <w:sz w:val="20"/>
                <w:szCs w:val="20"/>
                <w:color w:val="auto"/>
              </w:rPr>
            </w:pPr>
            <w:r>
              <w:rPr>
                <w:rFonts w:ascii="Arial" w:cs="Arial" w:eastAsia="Arial" w:hAnsi="Arial"/>
                <w:sz w:val="16"/>
                <w:szCs w:val="16"/>
                <w:color w:val="auto"/>
              </w:rPr>
              <w:t>237,211</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14,769,141</w:t>
            </w: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173,522</w:t>
            </w:r>
          </w:p>
        </w:tc>
        <w:tc>
          <w:tcPr>
            <w:tcW w:w="1660" w:type="dxa"/>
            <w:vAlign w:val="bottom"/>
            <w:gridSpan w:val="3"/>
          </w:tcPr>
          <w:p>
            <w:pPr>
              <w:jc w:val="right"/>
              <w:ind w:right="19"/>
              <w:spacing w:after="0"/>
              <w:rPr>
                <w:sz w:val="20"/>
                <w:szCs w:val="20"/>
                <w:color w:val="auto"/>
              </w:rPr>
            </w:pPr>
            <w:r>
              <w:rPr>
                <w:rFonts w:ascii="Arial" w:cs="Arial" w:eastAsia="Arial" w:hAnsi="Arial"/>
                <w:sz w:val="16"/>
                <w:szCs w:val="16"/>
                <w:color w:val="auto"/>
              </w:rPr>
              <w:t>10,626,099</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36.70%</w:t>
            </w:r>
          </w:p>
        </w:tc>
        <w:tc>
          <w:tcPr>
            <w:tcW w:w="0" w:type="dxa"/>
            <w:vAlign w:val="bottom"/>
          </w:tcPr>
          <w:p>
            <w:pPr>
              <w:spacing w:after="0"/>
              <w:rPr>
                <w:sz w:val="1"/>
                <w:szCs w:val="1"/>
                <w:color w:val="auto"/>
              </w:rPr>
            </w:pPr>
          </w:p>
        </w:tc>
      </w:tr>
      <w:tr>
        <w:trPr>
          <w:trHeight w:val="203"/>
        </w:trPr>
        <w:tc>
          <w:tcPr>
            <w:tcW w:w="1080" w:type="dxa"/>
            <w:vAlign w:val="bottom"/>
            <w:shd w:val="clear" w:color="auto" w:fill="CCEEFF"/>
          </w:tcPr>
          <w:p>
            <w:pPr>
              <w:spacing w:after="0"/>
              <w:rPr>
                <w:sz w:val="17"/>
                <w:szCs w:val="17"/>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Other Money Markets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18,982</w:t>
            </w: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1,179,419</w:t>
            </w: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18,742</w:t>
            </w:r>
          </w:p>
        </w:tc>
        <w:tc>
          <w:tcPr>
            <w:tcW w:w="1660" w:type="dxa"/>
            <w:vAlign w:val="bottom"/>
            <w:tcBorders>
              <w:bottom w:val="single" w:sz="8" w:color="auto"/>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1,145,538</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196"/>
        </w:trPr>
        <w:tc>
          <w:tcPr>
            <w:tcW w:w="1080" w:type="dxa"/>
            <w:vAlign w:val="bottom"/>
            <w:tcBorders>
              <w:bottom w:val="single" w:sz="8" w:color="CCEEFF"/>
            </w:tcBorders>
          </w:tcPr>
          <w:p>
            <w:pPr>
              <w:spacing w:after="0"/>
              <w:rPr>
                <w:sz w:val="17"/>
                <w:szCs w:val="17"/>
                <w:color w:val="auto"/>
              </w:rPr>
            </w:pPr>
          </w:p>
        </w:tc>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256,193</w:t>
            </w: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15,948,560</w:t>
            </w: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192,264</w:t>
            </w:r>
          </w:p>
        </w:tc>
        <w:tc>
          <w:tcPr>
            <w:tcW w:w="16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11,771,636</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33.25%</w:t>
            </w:r>
          </w:p>
        </w:tc>
        <w:tc>
          <w:tcPr>
            <w:tcW w:w="0" w:type="dxa"/>
            <w:vAlign w:val="bottom"/>
          </w:tcPr>
          <w:p>
            <w:pPr>
              <w:spacing w:after="0"/>
              <w:rPr>
                <w:sz w:val="1"/>
                <w:szCs w:val="1"/>
                <w:color w:val="auto"/>
              </w:rPr>
            </w:pPr>
          </w:p>
        </w:tc>
      </w:tr>
      <w:tr>
        <w:trPr>
          <w:trHeight w:val="196"/>
        </w:trPr>
        <w:tc>
          <w:tcPr>
            <w:tcW w:w="1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Equities</w:t>
            </w:r>
          </w:p>
        </w:tc>
        <w:tc>
          <w:tcPr>
            <w:tcW w:w="2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9,218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576,880</w:t>
            </w:r>
          </w:p>
        </w:tc>
        <w:tc>
          <w:tcPr>
            <w:tcW w:w="7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4,479</w:t>
            </w:r>
          </w:p>
        </w:tc>
        <w:tc>
          <w:tcPr>
            <w:tcW w:w="166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276,207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105.81%</w:t>
            </w: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2420" w:type="dxa"/>
            <w:vAlign w:val="bottom"/>
          </w:tcPr>
          <w:p>
            <w:pPr>
              <w:jc w:val="right"/>
              <w:spacing w:after="0"/>
              <w:rPr>
                <w:sz w:val="20"/>
                <w:szCs w:val="20"/>
                <w:color w:val="auto"/>
              </w:rPr>
            </w:pPr>
            <w:r>
              <w:rPr>
                <w:rFonts w:ascii="Arial" w:cs="Arial" w:eastAsia="Arial" w:hAnsi="Arial"/>
                <w:sz w:val="16"/>
                <w:szCs w:val="16"/>
                <w:i w:val="1"/>
                <w:iCs w:val="1"/>
                <w:color w:val="auto"/>
              </w:rPr>
              <w:t>U.S. ETFs</w:t>
            </w:r>
          </w:p>
        </w:tc>
        <w:tc>
          <w:tcPr>
            <w:tcW w:w="1280" w:type="dxa"/>
            <w:vAlign w:val="bottom"/>
          </w:tcPr>
          <w:p>
            <w:pPr>
              <w:jc w:val="right"/>
              <w:spacing w:after="0"/>
              <w:rPr>
                <w:sz w:val="20"/>
                <w:szCs w:val="20"/>
                <w:color w:val="auto"/>
              </w:rPr>
            </w:pPr>
            <w:r>
              <w:rPr>
                <w:rFonts w:ascii="Arial" w:cs="Arial" w:eastAsia="Arial" w:hAnsi="Arial"/>
                <w:sz w:val="16"/>
                <w:szCs w:val="16"/>
                <w:color w:val="auto"/>
              </w:rPr>
              <w:t>6,527</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404,656</w:t>
            </w:r>
          </w:p>
        </w:tc>
        <w:tc>
          <w:tcPr>
            <w:tcW w:w="78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6"/>
                <w:szCs w:val="16"/>
                <w:color w:val="auto"/>
                <w:w w:val="99"/>
              </w:rPr>
              <w:t>2,979</w:t>
            </w:r>
          </w:p>
        </w:tc>
        <w:tc>
          <w:tcPr>
            <w:tcW w:w="1660" w:type="dxa"/>
            <w:vAlign w:val="bottom"/>
            <w:gridSpan w:val="3"/>
          </w:tcPr>
          <w:p>
            <w:pPr>
              <w:jc w:val="right"/>
              <w:ind w:right="19"/>
              <w:spacing w:after="0"/>
              <w:rPr>
                <w:sz w:val="20"/>
                <w:szCs w:val="20"/>
                <w:color w:val="auto"/>
              </w:rPr>
            </w:pPr>
            <w:r>
              <w:rPr>
                <w:rFonts w:ascii="Arial" w:cs="Arial" w:eastAsia="Arial" w:hAnsi="Arial"/>
                <w:sz w:val="16"/>
                <w:szCs w:val="16"/>
                <w:color w:val="auto"/>
              </w:rPr>
              <w:t>181,745</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119.06%</w:t>
            </w:r>
          </w:p>
        </w:tc>
        <w:tc>
          <w:tcPr>
            <w:tcW w:w="0" w:type="dxa"/>
            <w:vAlign w:val="bottom"/>
          </w:tcPr>
          <w:p>
            <w:pPr>
              <w:spacing w:after="0"/>
              <w:rPr>
                <w:sz w:val="1"/>
                <w:szCs w:val="1"/>
                <w:color w:val="auto"/>
              </w:rPr>
            </w:pPr>
          </w:p>
        </w:tc>
      </w:tr>
      <w:tr>
        <w:trPr>
          <w:trHeight w:val="203"/>
        </w:trPr>
        <w:tc>
          <w:tcPr>
            <w:tcW w:w="1080" w:type="dxa"/>
            <w:vAlign w:val="bottom"/>
            <w:shd w:val="clear" w:color="auto" w:fill="CCEEFF"/>
          </w:tcPr>
          <w:p>
            <w:pPr>
              <w:spacing w:after="0"/>
              <w:rPr>
                <w:sz w:val="17"/>
                <w:szCs w:val="17"/>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Europe ETFs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172,223</w:t>
            </w:r>
          </w:p>
        </w:tc>
        <w:tc>
          <w:tcPr>
            <w:tcW w:w="7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9"/>
              </w:rPr>
              <w:t>1,499</w:t>
            </w:r>
          </w:p>
        </w:tc>
        <w:tc>
          <w:tcPr>
            <w:tcW w:w="166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94,462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79.47%</w:t>
            </w: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Derivatives</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8,576</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rPr>
              <w:t>534,392</w:t>
            </w:r>
          </w:p>
        </w:tc>
        <w:tc>
          <w:tcPr>
            <w:tcW w:w="78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6"/>
                <w:szCs w:val="16"/>
                <w:b w:val="1"/>
                <w:bCs w:val="1"/>
                <w:color w:val="auto"/>
                <w:w w:val="99"/>
              </w:rPr>
              <w:t>3,292</w:t>
            </w:r>
          </w:p>
        </w:tc>
        <w:tc>
          <w:tcPr>
            <w:tcW w:w="166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203,730</w:t>
            </w:r>
          </w:p>
        </w:tc>
        <w:tc>
          <w:tcPr>
            <w:tcW w:w="760" w:type="dxa"/>
            <w:vAlign w:val="bottom"/>
            <w:gridSpan w:val="2"/>
          </w:tcPr>
          <w:p>
            <w:pPr>
              <w:jc w:val="right"/>
              <w:spacing w:after="0"/>
              <w:rPr>
                <w:sz w:val="20"/>
                <w:szCs w:val="20"/>
                <w:color w:val="auto"/>
              </w:rPr>
            </w:pPr>
            <w:r>
              <w:rPr>
                <w:rFonts w:ascii="Arial" w:cs="Arial" w:eastAsia="Arial" w:hAnsi="Arial"/>
                <w:sz w:val="16"/>
                <w:szCs w:val="16"/>
                <w:b w:val="1"/>
                <w:bCs w:val="1"/>
                <w:color w:val="auto"/>
              </w:rPr>
              <w:t>160.51%</w:t>
            </w:r>
          </w:p>
        </w:tc>
        <w:tc>
          <w:tcPr>
            <w:tcW w:w="0" w:type="dxa"/>
            <w:vAlign w:val="bottom"/>
          </w:tcPr>
          <w:p>
            <w:pPr>
              <w:spacing w:after="0"/>
              <w:rPr>
                <w:sz w:val="1"/>
                <w:szCs w:val="1"/>
                <w:color w:val="auto"/>
              </w:rPr>
            </w:pPr>
          </w:p>
        </w:tc>
      </w:tr>
      <w:tr>
        <w:trPr>
          <w:trHeight w:val="203"/>
        </w:trPr>
        <w:tc>
          <w:tcPr>
            <w:tcW w:w="1080" w:type="dxa"/>
            <w:vAlign w:val="bottom"/>
            <w:shd w:val="clear" w:color="auto" w:fill="CCEEFF"/>
          </w:tcPr>
          <w:p>
            <w:pPr>
              <w:spacing w:after="0"/>
              <w:rPr>
                <w:sz w:val="17"/>
                <w:szCs w:val="17"/>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Options/Convertibles/Swaps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248,646</w:t>
            </w:r>
          </w:p>
        </w:tc>
        <w:tc>
          <w:tcPr>
            <w:tcW w:w="7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9"/>
              </w:rPr>
              <w:t>1,438</w:t>
            </w:r>
          </w:p>
        </w:tc>
        <w:tc>
          <w:tcPr>
            <w:tcW w:w="166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90,194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176.30%</w:t>
            </w:r>
          </w:p>
        </w:tc>
        <w:tc>
          <w:tcPr>
            <w:tcW w:w="0" w:type="dxa"/>
            <w:vAlign w:val="bottom"/>
          </w:tcPr>
          <w:p>
            <w:pPr>
              <w:spacing w:after="0"/>
              <w:rPr>
                <w:sz w:val="1"/>
                <w:szCs w:val="1"/>
                <w:color w:val="auto"/>
              </w:rPr>
            </w:pPr>
          </w:p>
        </w:tc>
      </w:tr>
      <w:tr>
        <w:trPr>
          <w:trHeight w:val="203"/>
        </w:trPr>
        <w:tc>
          <w:tcPr>
            <w:tcW w:w="1080" w:type="dxa"/>
            <w:vAlign w:val="bottom"/>
            <w:tcBorders>
              <w:bottom w:val="single" w:sz="8" w:color="CCEEFF"/>
            </w:tcBorders>
          </w:tcPr>
          <w:p>
            <w:pPr>
              <w:spacing w:after="0"/>
              <w:rPr>
                <w:sz w:val="17"/>
                <w:szCs w:val="17"/>
                <w:color w:val="auto"/>
              </w:rPr>
            </w:pPr>
          </w:p>
        </w:tc>
        <w:tc>
          <w:tcPr>
            <w:tcW w:w="2420" w:type="dxa"/>
            <w:vAlign w:val="bottom"/>
            <w:tcBorders>
              <w:bottom w:val="single" w:sz="8" w:color="CCEEFF"/>
            </w:tcBorders>
          </w:tcPr>
          <w:p>
            <w:pPr>
              <w:jc w:val="right"/>
              <w:spacing w:after="0"/>
              <w:rPr>
                <w:sz w:val="20"/>
                <w:szCs w:val="20"/>
                <w:color w:val="auto"/>
              </w:rPr>
            </w:pPr>
            <w:r>
              <w:rPr>
                <w:rFonts w:ascii="Arial" w:cs="Arial" w:eastAsia="Arial" w:hAnsi="Arial"/>
                <w:sz w:val="16"/>
                <w:szCs w:val="16"/>
                <w:i w:val="1"/>
                <w:iCs w:val="1"/>
                <w:color w:val="auto"/>
              </w:rPr>
              <w:t>Futures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4,602</w:t>
            </w: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285,746</w:t>
            </w:r>
          </w:p>
        </w:tc>
        <w:tc>
          <w:tcPr>
            <w:tcW w:w="7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99"/>
              </w:rPr>
              <w:t>1,854</w:t>
            </w:r>
          </w:p>
        </w:tc>
        <w:tc>
          <w:tcPr>
            <w:tcW w:w="16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color w:val="auto"/>
              </w:rPr>
              <w:t>113,535</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148.27%</w:t>
            </w:r>
          </w:p>
        </w:tc>
        <w:tc>
          <w:tcPr>
            <w:tcW w:w="0" w:type="dxa"/>
            <w:vAlign w:val="bottom"/>
          </w:tcPr>
          <w:p>
            <w:pPr>
              <w:spacing w:after="0"/>
              <w:rPr>
                <w:sz w:val="1"/>
                <w:szCs w:val="1"/>
                <w:color w:val="auto"/>
              </w:rPr>
            </w:pPr>
          </w:p>
        </w:tc>
      </w:tr>
      <w:tr>
        <w:trPr>
          <w:trHeight w:val="196"/>
        </w:trPr>
        <w:tc>
          <w:tcPr>
            <w:tcW w:w="1080" w:type="dxa"/>
            <w:vAlign w:val="bottom"/>
            <w:shd w:val="clear" w:color="auto" w:fill="CCEEFF"/>
          </w:tcPr>
          <w:p>
            <w:pPr>
              <w:spacing w:after="0"/>
              <w:rPr>
                <w:sz w:val="17"/>
                <w:szCs w:val="17"/>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17,793</w:t>
            </w: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1,111,272</w:t>
            </w:r>
          </w:p>
        </w:tc>
        <w:tc>
          <w:tcPr>
            <w:tcW w:w="78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7,771</w:t>
            </w:r>
          </w:p>
        </w:tc>
        <w:tc>
          <w:tcPr>
            <w:tcW w:w="1660" w:type="dxa"/>
            <w:vAlign w:val="bottom"/>
            <w:tcBorders>
              <w:bottom w:val="single" w:sz="8" w:color="auto"/>
            </w:tcBorders>
            <w:gridSpan w:val="3"/>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479,937</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128.98%</w:t>
            </w:r>
          </w:p>
        </w:tc>
        <w:tc>
          <w:tcPr>
            <w:tcW w:w="0" w:type="dxa"/>
            <w:vAlign w:val="bottom"/>
          </w:tcPr>
          <w:p>
            <w:pPr>
              <w:spacing w:after="0"/>
              <w:rPr>
                <w:sz w:val="1"/>
                <w:szCs w:val="1"/>
                <w:color w:val="auto"/>
              </w:rPr>
            </w:pPr>
          </w:p>
        </w:tc>
      </w:tr>
    </w:tbl>
    <w:p>
      <w:pPr>
        <w:spacing w:after="0" w:line="183" w:lineRule="exact"/>
        <w:rPr>
          <w:sz w:val="20"/>
          <w:szCs w:val="20"/>
          <w:color w:val="auto"/>
        </w:rPr>
      </w:pPr>
    </w:p>
    <w:p>
      <w:pPr>
        <w:sectPr>
          <w:pgSz w:w="11900" w:h="16838" w:orient="portrait"/>
          <w:cols w:equalWidth="0" w:num="1">
            <w:col w:w="9940"/>
          </w:cols>
          <w:pgMar w:left="980" w:top="316" w:right="979" w:bottom="1440" w:gutter="0" w:footer="0" w:header="0"/>
        </w:sectPr>
      </w:pPr>
    </w:p>
    <w:p>
      <w:pPr>
        <w:spacing w:after="0" w:line="235"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29"/>
        </w:trPr>
        <w:tc>
          <w:tcPr>
            <w:tcW w:w="12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6"/>
                <w:szCs w:val="16"/>
                <w:b w:val="1"/>
                <w:bCs w:val="1"/>
                <w:color w:val="auto"/>
              </w:rPr>
              <w:t>ADV (USD mm)</w:t>
            </w:r>
          </w:p>
        </w:tc>
        <w:tc>
          <w:tcPr>
            <w:tcW w:w="15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w w:val="94"/>
              </w:rPr>
              <w:t>Average Daily Trades</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ADV (USD mm)</w:t>
            </w:r>
          </w:p>
        </w:tc>
        <w:tc>
          <w:tcPr>
            <w:tcW w:w="15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w w:val="94"/>
              </w:rPr>
              <w:t>Average Daily Trades</w:t>
            </w:r>
          </w:p>
        </w:tc>
        <w:tc>
          <w:tcPr>
            <w:tcW w:w="82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16"/>
                <w:szCs w:val="16"/>
                <w:b w:val="1"/>
                <w:bCs w:val="1"/>
                <w:color w:val="auto"/>
              </w:rPr>
              <w:t>YoY</w:t>
            </w:r>
          </w:p>
        </w:tc>
      </w:tr>
      <w:tr>
        <w:trPr>
          <w:trHeight w:val="216"/>
        </w:trPr>
        <w:tc>
          <w:tcPr>
            <w:tcW w:w="1240" w:type="dxa"/>
            <w:vAlign w:val="bottom"/>
            <w:tcBorders>
              <w:left w:val="single" w:sz="8" w:color="auto"/>
            </w:tcBorders>
          </w:tcPr>
          <w:p>
            <w:pPr>
              <w:jc w:val="right"/>
              <w:spacing w:after="0"/>
              <w:rPr>
                <w:sz w:val="20"/>
                <w:szCs w:val="20"/>
                <w:color w:val="auto"/>
              </w:rPr>
            </w:pPr>
            <w:r>
              <w:rPr>
                <w:rFonts w:ascii="Arial" w:cs="Arial" w:eastAsia="Arial" w:hAnsi="Arial"/>
                <w:sz w:val="16"/>
                <w:szCs w:val="16"/>
                <w:b w:val="1"/>
                <w:bCs w:val="1"/>
                <w:color w:val="auto"/>
              </w:rPr>
              <w:t>897,756</w:t>
            </w:r>
          </w:p>
        </w:tc>
        <w:tc>
          <w:tcPr>
            <w:tcW w:w="1560" w:type="dxa"/>
            <w:vAlign w:val="bottom"/>
          </w:tcPr>
          <w:p>
            <w:pPr>
              <w:jc w:val="right"/>
              <w:spacing w:after="0"/>
              <w:rPr>
                <w:sz w:val="20"/>
                <w:szCs w:val="20"/>
                <w:color w:val="auto"/>
              </w:rPr>
            </w:pPr>
            <w:r>
              <w:rPr>
                <w:rFonts w:ascii="Arial" w:cs="Arial" w:eastAsia="Arial" w:hAnsi="Arial"/>
                <w:sz w:val="16"/>
                <w:szCs w:val="16"/>
                <w:color w:val="auto"/>
              </w:rPr>
              <w:t>63,079</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645,647</w:t>
            </w: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50,951</w:t>
            </w:r>
          </w:p>
        </w:tc>
        <w:tc>
          <w:tcPr>
            <w:tcW w:w="820" w:type="dxa"/>
            <w:vAlign w:val="bottom"/>
            <w:tcBorders>
              <w:right w:val="single" w:sz="8" w:color="auto"/>
            </w:tcBorders>
          </w:tcPr>
          <w:p>
            <w:pPr>
              <w:ind w:left="240"/>
              <w:spacing w:after="0"/>
              <w:rPr>
                <w:sz w:val="20"/>
                <w:szCs w:val="20"/>
                <w:color w:val="auto"/>
              </w:rPr>
            </w:pPr>
            <w:r>
              <w:rPr>
                <w:rFonts w:ascii="Arial" w:cs="Arial" w:eastAsia="Arial" w:hAnsi="Arial"/>
                <w:sz w:val="16"/>
                <w:szCs w:val="16"/>
                <w:b w:val="1"/>
                <w:bCs w:val="1"/>
                <w:color w:val="auto"/>
                <w:w w:val="99"/>
              </w:rPr>
              <w:t>39.05%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-1521460</wp:posOffset>
            </wp:positionH>
            <wp:positionV relativeFrom="paragraph">
              <wp:posOffset>-145415</wp:posOffset>
            </wp:positionV>
            <wp:extent cx="5606415"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0641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80" w:space="720"/>
            <w:col w:w="6440"/>
          </w:cols>
          <w:pgMar w:left="980" w:top="316" w:right="97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access historical traded volumes, go to </w:t>
      </w:r>
      <w:r>
        <w:rPr>
          <w:rFonts w:ascii="Arial" w:cs="Arial" w:eastAsia="Arial" w:hAnsi="Arial"/>
          <w:sz w:val="16"/>
          <w:szCs w:val="16"/>
          <w:u w:val="single" w:color="auto"/>
          <w:color w:val="055FC1"/>
        </w:rPr>
        <w:t>https://www.tradeweb.com/newsroom/monthly-activity-reports/</w:t>
      </w:r>
      <w:r>
        <w:rPr>
          <w:rFonts w:ascii="Arial" w:cs="Arial" w:eastAsia="Arial" w:hAnsi="Arial"/>
          <w:sz w:val="16"/>
          <w:szCs w:val="16"/>
          <w:u w:val="single" w:color="auto"/>
          <w:color w:val="auto"/>
        </w:rPr>
        <w:t>.</w:t>
      </w:r>
    </w:p>
    <w:p>
      <w:pPr>
        <w:spacing w:after="0" w:line="200" w:lineRule="exact"/>
        <w:rPr>
          <w:sz w:val="20"/>
          <w:szCs w:val="20"/>
          <w:color w:val="auto"/>
        </w:rPr>
      </w:pPr>
    </w:p>
    <w:p>
      <w:pPr>
        <w:spacing w:after="0" w:line="20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Page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316" w:right="97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7"/>
          <w:szCs w:val="17"/>
          <w:b w:val="1"/>
          <w:bCs w:val="1"/>
          <w:color w:val="083566"/>
        </w:rPr>
        <w:t>FORWARD-LOOKING STATEMENTS</w:t>
      </w:r>
    </w:p>
    <w:p>
      <w:pPr>
        <w:spacing w:after="0" w:line="130"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This release contains forward-looking statements within the meaning of the federal securities laws. Statements related to, among other things, our guidance, including 2020 guidance, and future performance, the industry and markets in which we operate, our expectations, beliefs, plans, strategies, objectives, prospects and assumptions and future events are forward-looking statements. In addition, statements herein relating to the COVID-19 pandemic, the potential impacts of which remain inherently uncertain, are forward-looking statements.</w:t>
      </w:r>
    </w:p>
    <w:p>
      <w:pPr>
        <w:spacing w:after="0" w:line="202"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under the heading “Risk Factors” in documents of Tradeweb Markets Inc. on file with or furnished to the SEC, may cause our actual results, performance or achievements to differ materially from those expressed or implied by these forward-looking statements. Given these risks and uncertainties, you are cautioned not to place undue reliance on such forward-looking statements. The forward-looking statements contained in this release are not guarantees of future performance and our actual results of operations, financial condition or liquidity, and the development of the industry and markets in which we operate, may differ materially from the forward-looking statements contained in this release. In addition, even if our results of operations, financial condition, or liquidity, and events in the industry and markets in which we operate, are consistent with the forward-looking statements contained in this release, they may not be predictive of results or developments in future periods. Any forward-looking statement that we make in this release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release</w:t>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b w:val="1"/>
          <w:bCs w:val="1"/>
          <w:color w:val="083566"/>
        </w:rPr>
        <w:t>PRESENTATION</w:t>
      </w:r>
    </w:p>
    <w:p>
      <w:pPr>
        <w:spacing w:after="0" w:line="130"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The historical financial information and other disclosures contained in this press release relate to periods that ended both prior to and after the completion of the Reorganization Transactions and the IPO of Tradeweb Markets Inc. (unless the context otherwise requires, together with its subsidiaries, referred to as “we,” “our,” “Tradeweb,” “Tradeweb Markets” or the “Company”). The IPO closed on April 8, 2019. As a result of certain reorganization transactions (the “Reorganization Transactions”) completed in connection with the IPO, on April 4, 2019, Tradeweb Markets Inc. became a holding company whose only material assets consist of its equity interest in Tradeweb Markets LLC (“TWM LLC”) and related deferred tax assets. As the sole manager of TWM LLC, Tradeweb Markets Inc. operates and controls all of the business and affairs of TWM LLC and, through TWM LLC and its subsidiaries, conducts its business. As a result of this control, and because Tradeweb Markets Inc. has a substantial financial interest in TWM LLC, Tradeweb Markets Inc. consolidates the financial results of TWM LLC and its subsidiaries. The historical financial information contained in this press release relating to periods prior to and including March 31, 2019, which we refer to as the “pre-IPO period,” pertain to TWM LLC, the predecessor of Tradeweb Markets Inc. for financial reporting purposes. The historical financial information contained in this press release relating to periods beginning on April 1, 2019, and through and including March 31, 2020, which we refer to as the “post-IPO period,” pertain to Tradeweb Markets Inc. The pre-IPO period excludes, and the post-IPO period includes, our financial results from April 1, 2019 through April 3, 2019, which are not material.</w:t>
      </w:r>
    </w:p>
    <w:p>
      <w:pPr>
        <w:spacing w:after="0" w:line="37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On October 1, 2018, Refinitiv Holdings Ltd. (“Refinitiv”), which is controlled by certain investment funds affiliated with The Blackstone Group L.P., an affiliate of Canada Pension Plan Investment Board, an affiliate of GIC Special Investments Pte. Ltd. and certain co-investors, indirectly acquired substantially all of the financial and risk business of Thomson Reuters Corporation and Thomson Reuters Corporation indirectly acquired a non-controlling ownership interest in Refinitiv (collectively, the “Refinitiv Transaction”). As a result of the Refinitiv Transaction, as a consolidating subsidiary of Refinitiv, we accounted for the Refinitiv Transaction using pushdown accounting. Due to the change in the basis of accounting resulting from the application of pushdown accounting, the financial information for the period beginning on October 1, 2018, and through and including March 31, 2020, or the “successor period,” and the financial information for the periods prior to, and including, September 30, 2018, or the “predecessor period,” are not comparable. However, the change in basis resulting from the Refinitiv Transaction did not impact certain financial information, specifically revenues and certain expenses.</w:t>
      </w:r>
    </w:p>
    <w:p>
      <w:pPr>
        <w:spacing w:after="0" w:line="203" w:lineRule="exact"/>
        <w:rPr>
          <w:sz w:val="20"/>
          <w:szCs w:val="20"/>
          <w:color w:val="auto"/>
        </w:rPr>
      </w:pPr>
    </w:p>
    <w:p>
      <w:pPr>
        <w:ind w:left="9200"/>
        <w:spacing w:after="0"/>
        <w:rPr>
          <w:sz w:val="20"/>
          <w:szCs w:val="20"/>
          <w:color w:val="auto"/>
        </w:rPr>
      </w:pPr>
      <w:r>
        <w:rPr>
          <w:rFonts w:ascii="Arial" w:cs="Arial" w:eastAsia="Arial" w:hAnsi="Arial"/>
          <w:sz w:val="18"/>
          <w:szCs w:val="18"/>
          <w:color w:val="auto"/>
        </w:rPr>
        <w:t>Page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16" w:right="99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083566"/>
        </w:rPr>
        <w:t>NON-GAAP FINANCIAL MEASURES</w:t>
      </w:r>
    </w:p>
    <w:p>
      <w:pPr>
        <w:spacing w:after="0" w:line="130"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This release contains “non-GAAP financial measures,” including Adjusted EBITDA, Adjusted EBITDA margin, Adjusted EBIT, Adjusted EBIT margin, Adjusted Net Income, Adjusted Diluted EPS, Adjusted Expenses and Free Cash Flow, which are supplemental financial measures that are not calculated or presented in accordance with GAAP. We make use of non-GAAP financial measures in evaluating our past results and future prospects. We present these non-GAAP financial measures because we believe they assist investors and analysts in comparing our operating performance across reporting periods on a consistent basis by excluding items that we do not believe are indicative of our core operating performance.</w:t>
      </w:r>
    </w:p>
    <w:p>
      <w:pPr>
        <w:spacing w:after="0" w:line="178"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17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included in Adjusted Net Income and Adjusted Diluted EPS help to provide management with a measure of our operating performance over time by removing items that are not related to day-to-day operations or are non-cash expenses.</w:t>
      </w:r>
    </w:p>
    <w:p>
      <w:pPr>
        <w:spacing w:after="0" w:line="175"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We use Adjusted Expenses as a supplemental metric to evaluate our underlying operating performance over time by removing items that are not related to day-to-day operations or are non-cash expenses.</w:t>
      </w:r>
    </w:p>
    <w:p>
      <w:pPr>
        <w:spacing w:after="0" w:line="168"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We use Free Cash Flow to assess our liquidity in a way that considers the amount of cash generated from our core operations after expenditures for capitalized software development costs and furniture, equipment and leasehold improvements.</w:t>
      </w:r>
    </w:p>
    <w:p>
      <w:pPr>
        <w:spacing w:after="0" w:line="168"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See the attached schedules for reconciliations of the non-GAAP financial measures contained in this release to their most comparable GAAP financial measure. Non-GAAP financial measures have limitations as analytical tools, and you should not consider these non-GAAP financial measures in isolation or as alternatives to net income attributable to Tradeweb Markets Inc., net income, earnings per share, operating income, operating expenses or cash flow from operating activities or any other financial measure derived in accordance with GAAP. You are encouraged to evaluate each adjustment included in the reconciliations. In addition, in evaluating Adjusted EBITDA, Adjusted EBITDA margin, Adjusted EBIT, Adjusted EBIT margin, Adjusted Net Income, Adjusted Diluted EPS, Adjusted Expenses and Free Cash Flow, you should be aware that in the future, we may incur expenses similar to the adjustments in the presentation of these non-GAAP financial measures. Our presentation of non-GAAP financial measures should not be construed as an inference that our future results will be unaffected by unusual or non-recurring items. In addition, the non-GAAP financial measures contained in this release may not be comparable to similarly titled measures used by other companies in our industry or across different industries.</w:t>
      </w:r>
    </w:p>
    <w:p>
      <w:pPr>
        <w:spacing w:after="0" w:line="20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present certain growth information on a “constant currency” basis. Since our consolidated financial statements are presented in U.S. dollars, we must translate non-U.S. dollar revenues and expenses into U.S. dollars. Constant currency growth, which is a non-GAAP financial measure, is defined as growth excluding the effects of foreign currency fluctuations. Constant currency information is calculated by translating the current period and prior period’s results using the average exchange rates for the prior period. We use constant currency growth as a supplemental metric to evaluate our underlying performance between periods by removing the impact of foreign currency fluctuations. We present certain constant currency growth information because we believe it provides investors and analysts a useful comparison of our results and trends between periods. This information should be considered in addition to, not as a substitute for, results reported in accordance with GAAP, and may not be comparable to similarly titled measures used by other companies.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083566"/>
        </w:rPr>
        <w:t>TRADEWEB SOCIAL MEDIA</w:t>
      </w:r>
    </w:p>
    <w:p>
      <w:pPr>
        <w:spacing w:after="0" w:line="13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Investors and others should note that Tradeweb Markets announces material financial and operational information using its investor relations website, press releases, SEC filings and public conference calls and webcasts. Information about Tradeweb Markets, its business and its results of operations may also be announced by posts on the Company’s accounts on the following social media channels: Instagram, LinkedIn and Twitter. The information that we post through these social media channels may be deemed material. As a result, we encourage investors, the media, and others interested in Tradeweb Markets to monitor these social media channels in addition to following our press releases, SEC filings and public conference calls and webcasts. These social media channels may be updated from time to time on our investor relations website.</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 #</w:t>
      </w:r>
    </w:p>
    <w:p>
      <w:pPr>
        <w:spacing w:after="0" w:line="200" w:lineRule="exact"/>
        <w:rPr>
          <w:sz w:val="20"/>
          <w:szCs w:val="20"/>
          <w:color w:val="auto"/>
        </w:rPr>
      </w:pPr>
    </w:p>
    <w:p>
      <w:pPr>
        <w:spacing w:after="0" w:line="315" w:lineRule="exact"/>
        <w:rPr>
          <w:sz w:val="20"/>
          <w:szCs w:val="20"/>
          <w:color w:val="auto"/>
        </w:rPr>
      </w:pPr>
    </w:p>
    <w:p>
      <w:pPr>
        <w:ind w:left="9200"/>
        <w:spacing w:after="0"/>
        <w:rPr>
          <w:sz w:val="20"/>
          <w:szCs w:val="20"/>
          <w:color w:val="auto"/>
        </w:rPr>
      </w:pPr>
      <w:r>
        <w:rPr>
          <w:rFonts w:ascii="Arial" w:cs="Arial" w:eastAsia="Arial" w:hAnsi="Arial"/>
          <w:sz w:val="18"/>
          <w:szCs w:val="18"/>
          <w:color w:val="auto"/>
        </w:rPr>
        <w:t>Page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532"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lvl w:ilvl="1">
      <w:lvlJc w:val="left"/>
      <w:lvlText w:val="(%2)"/>
      <w:numFmt w:val="lowerLetter"/>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lvl w:ilvl="1">
      <w:lvlJc w:val="left"/>
      <w:lvlText w:val="o"/>
      <w:numFmt w:val="bullet"/>
      <w:start w:val="1"/>
    </w:lvl>
  </w:abstractNum>
  <w:abstractNum w:abstractNumId="5">
    <w:nsid w:val="12200854"/>
    <w:multiLevelType w:val="hybridMultilevel"/>
    <w:lvl w:ilvl="0">
      <w:lvlJc w:val="left"/>
      <w:lvlText w:val="(%1)"/>
      <w:numFmt w:val="decimal"/>
      <w:start w:val="1"/>
    </w:lvl>
    <w:lvl w:ilvl="1">
      <w:lvlJc w:val="left"/>
      <w:lvlText w:val="%2)"/>
      <w:numFmt w:val="lowerLetter"/>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lvl w:ilvl="1">
      <w:lvlJc w:val="left"/>
      <w:lvlText w:val="%2)"/>
      <w:numFmt w:val="lowerLetter"/>
      <w:start w:val="1"/>
    </w:lvl>
  </w:abstractNum>
  <w:abstractNum w:abstractNumId="8">
    <w:nsid w:val="1F16E9E8"/>
    <w:multiLevelType w:val="hybridMultilevel"/>
    <w:lvl w:ilvl="0">
      <w:lvlJc w:val="left"/>
      <w:lvlText w:val="(%1)"/>
      <w:numFmt w:val="decimal"/>
      <w:start w:val="2"/>
    </w:lvl>
  </w:abstractNum>
  <w:abstractNum w:abstractNumId="9">
    <w:nsid w:val="1190CDE7"/>
    <w:multiLevelType w:val="hybridMultilevel"/>
    <w:lvl w:ilvl="0">
      <w:lvlJc w:val="left"/>
      <w:lvlText w:val="(%1)"/>
      <w:numFmt w:val="decimal"/>
      <w:start w:val="7"/>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2020-05-07T10:55:47Z</dcterms:created>
  <dcterms:modified xsi:type="dcterms:W3CDTF">2020-05-07T10:55:47Z</dcterms:modified>
</cp:coreProperties>
</file>