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Friedman Douglas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05/01/2020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8"/>
        <w:spacing w:after="0"/>
        <w:rPr>
          <w:sz w:val="20"/>
          <w:szCs w:val="20"/>
          <w:color w:val="auto"/>
        </w:rPr>
      </w:pPr>
      <w:r>
        <w:rPr>
          <w:rFonts w:ascii="Arial" w:cs="Arial" w:eastAsia="Arial" w:hAnsi="Arial"/>
          <w:sz w:val="16"/>
          <w:szCs w:val="16"/>
          <w:color w:val="0000FF"/>
        </w:rPr>
        <w:t>General Counsel and Secretary</w:t>
      </w:r>
    </w:p>
    <w:p>
      <w:pPr>
        <w:spacing w:after="0" w:line="400"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05/01/2020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77,875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05/01/2020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51.9792</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67,875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10,000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05/01/2020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92,464</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-3368040</wp:posOffset>
            </wp:positionV>
            <wp:extent cx="7033260"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40995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280" w:firstLine="2"/>
        <w:spacing w:after="0" w:line="30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22,867 unvested restricted stock units ("RSUs") in respect of the issuer's Class A common stock ("Class A Common Stock") which are scheduled to vest on January 1, 2021, (ii) 33,004 unvested RSUs in respect of Class A Common Stock which are scheduled to vest on January 1, 2022 and (iii) 9,004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 w:lineRule="exact"/>
        <w:rPr>
          <w:rFonts w:ascii="Arial" w:cs="Arial" w:eastAsia="Arial" w:hAnsi="Arial"/>
          <w:sz w:val="11"/>
          <w:szCs w:val="11"/>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$51.71 to $52.52,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05/04/2020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3"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2020-05-04T16:09:15Z</dcterms:created>
  <dcterms:modified xsi:type="dcterms:W3CDTF">2020-05-04T16:09:15Z</dcterms:modified>
</cp:coreProperties>
</file>