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4"/>
          <w:szCs w:val="14"/>
          <w:b w:val="1"/>
          <w:bCs w:val="1"/>
          <w:color w:val="auto"/>
        </w:rPr>
        <w:t>As filed with the Securities and Exchange Commission on April 22, 2020</w:t>
      </w:r>
    </w:p>
    <w:p>
      <w:pPr>
        <w:spacing w:after="0" w:line="42" w:lineRule="exact"/>
        <w:rPr>
          <w:sz w:val="24"/>
          <w:szCs w:val="24"/>
          <w:color w:val="auto"/>
        </w:rPr>
      </w:pPr>
    </w:p>
    <w:p>
      <w:pPr>
        <w:ind w:left="7846"/>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1804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9" w:lineRule="exact"/>
        <w:rPr>
          <w:sz w:val="24"/>
          <w:szCs w:val="24"/>
          <w:color w:val="auto"/>
        </w:rPr>
      </w:pPr>
    </w:p>
    <w:p>
      <w:pPr>
        <w:jc w:val="center"/>
        <w:ind w:right="34"/>
        <w:spacing w:after="0"/>
        <w:rPr>
          <w:sz w:val="20"/>
          <w:szCs w:val="20"/>
          <w:color w:val="auto"/>
        </w:rPr>
      </w:pPr>
      <w:r>
        <w:rPr>
          <w:rFonts w:ascii="Arial" w:cs="Arial" w:eastAsia="Arial" w:hAnsi="Arial"/>
          <w:sz w:val="22"/>
          <w:szCs w:val="22"/>
          <w:b w:val="1"/>
          <w:bCs w:val="1"/>
          <w:color w:val="auto"/>
        </w:rPr>
        <w:t>UNITED STATES</w:t>
      </w:r>
    </w:p>
    <w:p>
      <w:pPr>
        <w:jc w:val="center"/>
        <w:ind w:right="34"/>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34"/>
        <w:spacing w:after="0"/>
        <w:rPr>
          <w:sz w:val="20"/>
          <w:szCs w:val="20"/>
          <w:color w:val="auto"/>
        </w:rPr>
      </w:pPr>
      <w:r>
        <w:rPr>
          <w:rFonts w:ascii="Arial" w:cs="Arial" w:eastAsia="Arial" w:hAnsi="Arial"/>
          <w:sz w:val="22"/>
          <w:szCs w:val="22"/>
          <w:b w:val="1"/>
          <w:bCs w:val="1"/>
          <w:color w:val="auto"/>
        </w:rPr>
        <w:t>FORM S-1</w:t>
      </w:r>
    </w:p>
    <w:p>
      <w:pPr>
        <w:spacing w:after="0" w:line="8" w:lineRule="exact"/>
        <w:rPr>
          <w:sz w:val="24"/>
          <w:szCs w:val="24"/>
          <w:color w:val="auto"/>
        </w:rPr>
      </w:pPr>
    </w:p>
    <w:p>
      <w:pPr>
        <w:jc w:val="center"/>
        <w:ind w:right="34"/>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34"/>
        <w:spacing w:after="0"/>
        <w:rPr>
          <w:sz w:val="20"/>
          <w:szCs w:val="20"/>
          <w:color w:val="auto"/>
        </w:rPr>
      </w:pPr>
      <w:r>
        <w:rPr>
          <w:rFonts w:ascii="Arial" w:cs="Arial" w:eastAsia="Arial" w:hAnsi="Arial"/>
          <w:sz w:val="16"/>
          <w:szCs w:val="16"/>
          <w:b w:val="1"/>
          <w:bCs w:val="1"/>
          <w:color w:val="auto"/>
        </w:rPr>
        <w:t>UNDER</w:t>
      </w:r>
    </w:p>
    <w:p>
      <w:pPr>
        <w:spacing w:after="0" w:line="8"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THE SECURITIES ACT OF 1933</w:t>
      </w:r>
    </w:p>
    <w:p>
      <w:pPr>
        <w:spacing w:after="0" w:line="117" w:lineRule="exact"/>
        <w:rPr>
          <w:sz w:val="24"/>
          <w:szCs w:val="24"/>
          <w:color w:val="auto"/>
        </w:rPr>
      </w:pPr>
    </w:p>
    <w:p>
      <w:pPr>
        <w:jc w:val="center"/>
        <w:ind w:right="-5"/>
        <w:spacing w:after="0"/>
        <w:rPr>
          <w:sz w:val="20"/>
          <w:szCs w:val="20"/>
          <w:color w:val="auto"/>
        </w:rPr>
      </w:pPr>
      <w:r>
        <w:rPr>
          <w:rFonts w:ascii="Arial" w:cs="Arial" w:eastAsia="Arial" w:hAnsi="Arial"/>
          <w:sz w:val="36"/>
          <w:szCs w:val="36"/>
          <w:b w:val="1"/>
          <w:bCs w:val="1"/>
          <w:color w:val="auto"/>
        </w:rPr>
        <w:t>Tradeweb Markets Inc.</w:t>
      </w:r>
    </w:p>
    <w:p>
      <w:pPr>
        <w:jc w:val="center"/>
        <w:ind w:right="-5"/>
        <w:spacing w:after="0"/>
        <w:rPr>
          <w:sz w:val="20"/>
          <w:szCs w:val="20"/>
          <w:color w:val="auto"/>
        </w:rPr>
      </w:pPr>
      <w:r>
        <w:rPr>
          <w:rFonts w:ascii="Arial" w:cs="Arial" w:eastAsia="Arial" w:hAnsi="Arial"/>
          <w:sz w:val="14"/>
          <w:szCs w:val="14"/>
          <w:color w:val="auto"/>
        </w:rPr>
        <w:t>(Exact name of registrant as specified in its charter)</w:t>
      </w:r>
    </w:p>
    <w:p>
      <w:pPr>
        <w:spacing w:after="0" w:line="134" w:lineRule="exact"/>
        <w:rPr>
          <w:sz w:val="24"/>
          <w:szCs w:val="24"/>
          <w:color w:val="auto"/>
        </w:rPr>
      </w:pPr>
    </w:p>
    <w:tbl>
      <w:tblPr>
        <w:tblLayout w:type="fixed"/>
        <w:tblInd w:w="186" w:type="dxa"/>
        <w:tblCellMar>
          <w:top w:w="0" w:type="dxa"/>
          <w:left w:w="0" w:type="dxa"/>
          <w:bottom w:w="0" w:type="dxa"/>
          <w:right w:w="0" w:type="dxa"/>
        </w:tblCellMar>
      </w:tblPr>
      <w:tr>
        <w:trPr>
          <w:trHeight w:val="166"/>
        </w:trPr>
        <w:tc>
          <w:tcPr>
            <w:tcW w:w="298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Delaware</w:t>
            </w:r>
          </w:p>
        </w:tc>
        <w:tc>
          <w:tcPr>
            <w:tcW w:w="352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6200</w:t>
            </w:r>
          </w:p>
        </w:tc>
        <w:tc>
          <w:tcPr>
            <w:tcW w:w="2560" w:type="dxa"/>
            <w:vAlign w:val="bottom"/>
          </w:tcPr>
          <w:p>
            <w:pPr>
              <w:jc w:val="right"/>
              <w:ind w:right="688"/>
              <w:spacing w:after="0"/>
              <w:rPr>
                <w:sz w:val="20"/>
                <w:szCs w:val="20"/>
                <w:color w:val="auto"/>
              </w:rPr>
            </w:pPr>
            <w:r>
              <w:rPr>
                <w:rFonts w:ascii="Arial" w:cs="Arial" w:eastAsia="Arial" w:hAnsi="Arial"/>
                <w:sz w:val="14"/>
                <w:szCs w:val="14"/>
                <w:b w:val="1"/>
                <w:bCs w:val="1"/>
                <w:color w:val="auto"/>
              </w:rPr>
              <w:t>83-2456358</w:t>
            </w: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(State or other jurisdiction of incorporation or</w:t>
            </w:r>
          </w:p>
        </w:tc>
        <w:tc>
          <w:tcPr>
            <w:tcW w:w="3520" w:type="dxa"/>
            <w:vAlign w:val="bottom"/>
          </w:tcPr>
          <w:p>
            <w:pPr>
              <w:jc w:val="center"/>
              <w:ind w:right="68"/>
              <w:spacing w:after="0"/>
              <w:rPr>
                <w:sz w:val="20"/>
                <w:szCs w:val="20"/>
                <w:color w:val="auto"/>
              </w:rPr>
            </w:pPr>
            <w:r>
              <w:rPr>
                <w:rFonts w:ascii="Arial" w:cs="Arial" w:eastAsia="Arial" w:hAnsi="Arial"/>
                <w:sz w:val="14"/>
                <w:szCs w:val="14"/>
                <w:color w:val="auto"/>
                <w:w w:val="98"/>
              </w:rPr>
              <w:t>(Primary Standard Industrial Classification Code</w:t>
            </w:r>
          </w:p>
        </w:tc>
        <w:tc>
          <w:tcPr>
            <w:tcW w:w="2560" w:type="dxa"/>
            <w:vAlign w:val="bottom"/>
          </w:tcPr>
          <w:p>
            <w:pPr>
              <w:jc w:val="center"/>
              <w:ind w:left="308"/>
              <w:spacing w:after="0"/>
              <w:rPr>
                <w:sz w:val="20"/>
                <w:szCs w:val="20"/>
                <w:color w:val="auto"/>
              </w:rPr>
            </w:pPr>
            <w:r>
              <w:rPr>
                <w:rFonts w:ascii="Arial" w:cs="Arial" w:eastAsia="Arial" w:hAnsi="Arial"/>
                <w:sz w:val="14"/>
                <w:szCs w:val="14"/>
                <w:color w:val="auto"/>
              </w:rPr>
              <w:t>(I.R.S. Employer Identification No.)</w:t>
            </w:r>
          </w:p>
        </w:tc>
      </w:tr>
      <w:tr>
        <w:trPr>
          <w:trHeight w:val="182"/>
        </w:trPr>
        <w:tc>
          <w:tcPr>
            <w:tcW w:w="2980" w:type="dxa"/>
            <w:vAlign w:val="bottom"/>
          </w:tcPr>
          <w:p>
            <w:pPr>
              <w:jc w:val="center"/>
              <w:ind w:right="148"/>
              <w:spacing w:after="0"/>
              <w:rPr>
                <w:sz w:val="20"/>
                <w:szCs w:val="20"/>
                <w:color w:val="auto"/>
              </w:rPr>
            </w:pPr>
            <w:r>
              <w:rPr>
                <w:rFonts w:ascii="Arial" w:cs="Arial" w:eastAsia="Arial" w:hAnsi="Arial"/>
                <w:sz w:val="14"/>
                <w:szCs w:val="14"/>
                <w:color w:val="auto"/>
                <w:w w:val="98"/>
              </w:rPr>
              <w:t>organization)</w:t>
            </w:r>
          </w:p>
        </w:tc>
        <w:tc>
          <w:tcPr>
            <w:tcW w:w="3520" w:type="dxa"/>
            <w:vAlign w:val="bottom"/>
          </w:tcPr>
          <w:p>
            <w:pPr>
              <w:jc w:val="center"/>
              <w:ind w:right="68"/>
              <w:spacing w:after="0"/>
              <w:rPr>
                <w:sz w:val="20"/>
                <w:szCs w:val="20"/>
                <w:color w:val="auto"/>
              </w:rPr>
            </w:pPr>
            <w:r>
              <w:rPr>
                <w:rFonts w:ascii="Arial" w:cs="Arial" w:eastAsia="Arial" w:hAnsi="Arial"/>
                <w:sz w:val="14"/>
                <w:szCs w:val="14"/>
                <w:color w:val="auto"/>
                <w:w w:val="99"/>
              </w:rPr>
              <w:t>Number)</w:t>
            </w:r>
          </w:p>
        </w:tc>
        <w:tc>
          <w:tcPr>
            <w:tcW w:w="2560" w:type="dxa"/>
            <w:vAlign w:val="bottom"/>
          </w:tcPr>
          <w:p>
            <w:pPr>
              <w:spacing w:after="0"/>
              <w:rPr>
                <w:sz w:val="15"/>
                <w:szCs w:val="15"/>
                <w:color w:val="auto"/>
              </w:rPr>
            </w:pPr>
          </w:p>
        </w:tc>
      </w:tr>
    </w:tbl>
    <w:p>
      <w:pPr>
        <w:spacing w:after="0" w:line="16"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1177 Avenue of the Americas</w:t>
      </w:r>
    </w:p>
    <w:p>
      <w:pPr>
        <w:spacing w:after="0" w:line="17"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New York, New York 10036</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(646) 430-6000</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Lee Olesky</w:t>
      </w:r>
    </w:p>
    <w:p>
      <w:pPr>
        <w:spacing w:after="0" w:line="17"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1177 Avenue of the Americas</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New York, New York 10036</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4"/>
          <w:szCs w:val="14"/>
          <w:b w:val="1"/>
          <w:bCs w:val="1"/>
          <w:color w:val="auto"/>
        </w:rPr>
        <w:t>(646) 430-6000</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966"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4040" w:type="dxa"/>
            <w:vAlign w:val="bottom"/>
          </w:tcPr>
          <w:p>
            <w:pPr>
              <w:ind w:left="400"/>
              <w:spacing w:after="0"/>
              <w:rPr>
                <w:sz w:val="20"/>
                <w:szCs w:val="20"/>
                <w:color w:val="auto"/>
              </w:rPr>
            </w:pPr>
            <w:r>
              <w:rPr>
                <w:rFonts w:ascii="Arial" w:cs="Arial" w:eastAsia="Arial" w:hAnsi="Arial"/>
                <w:sz w:val="14"/>
                <w:szCs w:val="14"/>
                <w:b w:val="1"/>
                <w:bCs w:val="1"/>
                <w:color w:val="auto"/>
              </w:rPr>
              <w:t>Copies to:</w:t>
            </w:r>
          </w:p>
        </w:tc>
      </w:tr>
      <w:tr>
        <w:trPr>
          <w:trHeight w:val="263"/>
        </w:trPr>
        <w:tc>
          <w:tcPr>
            <w:tcW w:w="3180" w:type="dxa"/>
            <w:vAlign w:val="bottom"/>
          </w:tcPr>
          <w:p>
            <w:pPr>
              <w:jc w:val="center"/>
              <w:ind w:right="328"/>
              <w:spacing w:after="0"/>
              <w:rPr>
                <w:sz w:val="20"/>
                <w:szCs w:val="20"/>
                <w:color w:val="auto"/>
              </w:rPr>
            </w:pPr>
            <w:r>
              <w:rPr>
                <w:rFonts w:ascii="Arial" w:cs="Arial" w:eastAsia="Arial" w:hAnsi="Arial"/>
                <w:sz w:val="14"/>
                <w:szCs w:val="14"/>
                <w:color w:val="auto"/>
                <w:w w:val="96"/>
              </w:rPr>
              <w:t>Steven G. Scheinfeld, Esq.</w:t>
            </w:r>
          </w:p>
        </w:tc>
        <w:tc>
          <w:tcPr>
            <w:tcW w:w="4040" w:type="dxa"/>
            <w:vAlign w:val="bottom"/>
          </w:tcPr>
          <w:p>
            <w:pPr>
              <w:jc w:val="center"/>
              <w:ind w:left="2228"/>
              <w:spacing w:after="0"/>
              <w:rPr>
                <w:sz w:val="20"/>
                <w:szCs w:val="20"/>
                <w:color w:val="auto"/>
              </w:rPr>
            </w:pPr>
            <w:r>
              <w:rPr>
                <w:rFonts w:ascii="Arial" w:cs="Arial" w:eastAsia="Arial" w:hAnsi="Arial"/>
                <w:sz w:val="14"/>
                <w:szCs w:val="14"/>
                <w:color w:val="auto"/>
                <w:w w:val="98"/>
              </w:rPr>
              <w:t>Michael Kaplan, Esq.</w:t>
            </w:r>
          </w:p>
        </w:tc>
      </w:tr>
      <w:tr>
        <w:trPr>
          <w:trHeight w:val="162"/>
        </w:trPr>
        <w:tc>
          <w:tcPr>
            <w:tcW w:w="3180" w:type="dxa"/>
            <w:vAlign w:val="bottom"/>
          </w:tcPr>
          <w:p>
            <w:pPr>
              <w:jc w:val="center"/>
              <w:ind w:right="328"/>
              <w:spacing w:after="0"/>
              <w:rPr>
                <w:sz w:val="20"/>
                <w:szCs w:val="20"/>
                <w:color w:val="auto"/>
              </w:rPr>
            </w:pPr>
            <w:r>
              <w:rPr>
                <w:rFonts w:ascii="Arial" w:cs="Arial" w:eastAsia="Arial" w:hAnsi="Arial"/>
                <w:sz w:val="14"/>
                <w:szCs w:val="14"/>
                <w:color w:val="auto"/>
                <w:w w:val="98"/>
              </w:rPr>
              <w:t>Andrew B. Barkan, Esq.</w:t>
            </w:r>
          </w:p>
        </w:tc>
        <w:tc>
          <w:tcPr>
            <w:tcW w:w="4040" w:type="dxa"/>
            <w:vAlign w:val="bottom"/>
          </w:tcPr>
          <w:p>
            <w:pPr>
              <w:jc w:val="center"/>
              <w:ind w:left="2228"/>
              <w:spacing w:after="0"/>
              <w:rPr>
                <w:sz w:val="20"/>
                <w:szCs w:val="20"/>
                <w:color w:val="auto"/>
              </w:rPr>
            </w:pPr>
            <w:r>
              <w:rPr>
                <w:rFonts w:ascii="Arial" w:cs="Arial" w:eastAsia="Arial" w:hAnsi="Arial"/>
                <w:sz w:val="14"/>
                <w:szCs w:val="14"/>
                <w:color w:val="auto"/>
                <w:w w:val="96"/>
              </w:rPr>
              <w:t>Shane Tintle, Esq.</w:t>
            </w:r>
          </w:p>
        </w:tc>
      </w:tr>
      <w:tr>
        <w:trPr>
          <w:trHeight w:val="162"/>
        </w:trPr>
        <w:tc>
          <w:tcPr>
            <w:tcW w:w="3180" w:type="dxa"/>
            <w:vAlign w:val="bottom"/>
          </w:tcPr>
          <w:p>
            <w:pPr>
              <w:jc w:val="center"/>
              <w:ind w:right="328"/>
              <w:spacing w:after="0"/>
              <w:rPr>
                <w:sz w:val="20"/>
                <w:szCs w:val="20"/>
                <w:color w:val="auto"/>
              </w:rPr>
            </w:pPr>
            <w:r>
              <w:rPr>
                <w:rFonts w:ascii="Arial" w:cs="Arial" w:eastAsia="Arial" w:hAnsi="Arial"/>
                <w:sz w:val="14"/>
                <w:szCs w:val="14"/>
                <w:color w:val="auto"/>
                <w:w w:val="99"/>
              </w:rPr>
              <w:t>Fried, Frank, Harris, Shriver &amp; Jacobson LLP</w:t>
            </w:r>
          </w:p>
        </w:tc>
        <w:tc>
          <w:tcPr>
            <w:tcW w:w="4040" w:type="dxa"/>
            <w:vAlign w:val="bottom"/>
          </w:tcPr>
          <w:p>
            <w:pPr>
              <w:jc w:val="center"/>
              <w:ind w:left="2248"/>
              <w:spacing w:after="0"/>
              <w:rPr>
                <w:sz w:val="20"/>
                <w:szCs w:val="20"/>
                <w:color w:val="auto"/>
              </w:rPr>
            </w:pPr>
            <w:r>
              <w:rPr>
                <w:rFonts w:ascii="Arial" w:cs="Arial" w:eastAsia="Arial" w:hAnsi="Arial"/>
                <w:sz w:val="14"/>
                <w:szCs w:val="14"/>
                <w:color w:val="auto"/>
              </w:rPr>
              <w:t>Davis Polk &amp; Wardwell LLP</w:t>
            </w:r>
          </w:p>
        </w:tc>
      </w:tr>
      <w:tr>
        <w:trPr>
          <w:trHeight w:val="162"/>
        </w:trPr>
        <w:tc>
          <w:tcPr>
            <w:tcW w:w="3180" w:type="dxa"/>
            <w:vAlign w:val="bottom"/>
          </w:tcPr>
          <w:p>
            <w:pPr>
              <w:jc w:val="center"/>
              <w:ind w:right="328"/>
              <w:spacing w:after="0"/>
              <w:rPr>
                <w:sz w:val="20"/>
                <w:szCs w:val="20"/>
                <w:color w:val="auto"/>
              </w:rPr>
            </w:pPr>
            <w:r>
              <w:rPr>
                <w:rFonts w:ascii="Arial" w:cs="Arial" w:eastAsia="Arial" w:hAnsi="Arial"/>
                <w:sz w:val="14"/>
                <w:szCs w:val="14"/>
                <w:color w:val="auto"/>
                <w:w w:val="96"/>
              </w:rPr>
              <w:t>One New York Plaza</w:t>
            </w:r>
          </w:p>
        </w:tc>
        <w:tc>
          <w:tcPr>
            <w:tcW w:w="4040" w:type="dxa"/>
            <w:vAlign w:val="bottom"/>
          </w:tcPr>
          <w:p>
            <w:pPr>
              <w:jc w:val="center"/>
              <w:ind w:left="2248"/>
              <w:spacing w:after="0"/>
              <w:rPr>
                <w:sz w:val="20"/>
                <w:szCs w:val="20"/>
                <w:color w:val="auto"/>
              </w:rPr>
            </w:pPr>
            <w:r>
              <w:rPr>
                <w:rFonts w:ascii="Arial" w:cs="Arial" w:eastAsia="Arial" w:hAnsi="Arial"/>
                <w:sz w:val="14"/>
                <w:szCs w:val="14"/>
                <w:color w:val="auto"/>
                <w:w w:val="97"/>
              </w:rPr>
              <w:t>450 Lexington Avenue</w:t>
            </w:r>
          </w:p>
        </w:tc>
      </w:tr>
      <w:tr>
        <w:trPr>
          <w:trHeight w:val="162"/>
        </w:trPr>
        <w:tc>
          <w:tcPr>
            <w:tcW w:w="3180" w:type="dxa"/>
            <w:vAlign w:val="bottom"/>
          </w:tcPr>
          <w:p>
            <w:pPr>
              <w:jc w:val="center"/>
              <w:ind w:right="328"/>
              <w:spacing w:after="0"/>
              <w:rPr>
                <w:sz w:val="20"/>
                <w:szCs w:val="20"/>
                <w:color w:val="auto"/>
              </w:rPr>
            </w:pPr>
            <w:r>
              <w:rPr>
                <w:rFonts w:ascii="Arial" w:cs="Arial" w:eastAsia="Arial" w:hAnsi="Arial"/>
                <w:sz w:val="14"/>
                <w:szCs w:val="14"/>
                <w:color w:val="auto"/>
                <w:w w:val="98"/>
              </w:rPr>
              <w:t>New York, New York 10004</w:t>
            </w:r>
          </w:p>
        </w:tc>
        <w:tc>
          <w:tcPr>
            <w:tcW w:w="4040" w:type="dxa"/>
            <w:vAlign w:val="bottom"/>
          </w:tcPr>
          <w:p>
            <w:pPr>
              <w:jc w:val="center"/>
              <w:ind w:left="2248"/>
              <w:spacing w:after="0"/>
              <w:rPr>
                <w:sz w:val="20"/>
                <w:szCs w:val="20"/>
                <w:color w:val="auto"/>
              </w:rPr>
            </w:pPr>
            <w:r>
              <w:rPr>
                <w:rFonts w:ascii="Arial" w:cs="Arial" w:eastAsia="Arial" w:hAnsi="Arial"/>
                <w:sz w:val="14"/>
                <w:szCs w:val="14"/>
                <w:color w:val="auto"/>
              </w:rPr>
              <w:t>New York, New York 10017</w:t>
            </w:r>
          </w:p>
        </w:tc>
      </w:tr>
      <w:tr>
        <w:trPr>
          <w:trHeight w:val="182"/>
        </w:trPr>
        <w:tc>
          <w:tcPr>
            <w:tcW w:w="3180" w:type="dxa"/>
            <w:vAlign w:val="bottom"/>
          </w:tcPr>
          <w:p>
            <w:pPr>
              <w:jc w:val="center"/>
              <w:ind w:right="288"/>
              <w:spacing w:after="0"/>
              <w:rPr>
                <w:sz w:val="20"/>
                <w:szCs w:val="20"/>
                <w:color w:val="auto"/>
              </w:rPr>
            </w:pPr>
            <w:r>
              <w:rPr>
                <w:rFonts w:ascii="Arial" w:cs="Arial" w:eastAsia="Arial" w:hAnsi="Arial"/>
                <w:sz w:val="14"/>
                <w:szCs w:val="14"/>
                <w:color w:val="auto"/>
                <w:w w:val="98"/>
              </w:rPr>
              <w:t>(212) 859-8000</w:t>
            </w:r>
          </w:p>
        </w:tc>
        <w:tc>
          <w:tcPr>
            <w:tcW w:w="4040" w:type="dxa"/>
            <w:vAlign w:val="bottom"/>
          </w:tcPr>
          <w:p>
            <w:pPr>
              <w:jc w:val="center"/>
              <w:ind w:left="2268"/>
              <w:spacing w:after="0"/>
              <w:rPr>
                <w:sz w:val="20"/>
                <w:szCs w:val="20"/>
                <w:color w:val="auto"/>
              </w:rPr>
            </w:pPr>
            <w:r>
              <w:rPr>
                <w:rFonts w:ascii="Arial" w:cs="Arial" w:eastAsia="Arial" w:hAnsi="Arial"/>
                <w:sz w:val="14"/>
                <w:szCs w:val="14"/>
                <w:color w:val="auto"/>
                <w:w w:val="98"/>
              </w:rPr>
              <w:t>(212) 450-4000</w:t>
            </w:r>
          </w:p>
        </w:tc>
      </w:tr>
    </w:tbl>
    <w:p>
      <w:pPr>
        <w:spacing w:after="0" w:line="101" w:lineRule="exact"/>
        <w:rPr>
          <w:sz w:val="24"/>
          <w:szCs w:val="24"/>
          <w:color w:val="auto"/>
        </w:rPr>
      </w:pPr>
    </w:p>
    <w:p>
      <w:pPr>
        <w:ind w:left="366"/>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42" w:lineRule="exact"/>
        <w:rPr>
          <w:sz w:val="24"/>
          <w:szCs w:val="24"/>
          <w:color w:val="auto"/>
        </w:rPr>
      </w:pPr>
    </w:p>
    <w:p>
      <w:pPr>
        <w:ind w:left="6" w:right="200" w:firstLine="36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6" w:right="200" w:firstLine="360"/>
        <w:spacing w:after="0" w:line="17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Arial" w:cs="Arial" w:eastAsia="Arial" w:hAnsi="Arial"/>
          <w:sz w:val="13"/>
          <w:szCs w:val="13"/>
          <w:color w:val="auto"/>
        </w:rPr>
        <w:t xml:space="preserve"> File No. 333-237760</w:t>
      </w:r>
    </w:p>
    <w:p>
      <w:pPr>
        <w:spacing w:after="0" w:line="5" w:lineRule="exact"/>
        <w:rPr>
          <w:sz w:val="24"/>
          <w:szCs w:val="24"/>
          <w:color w:val="auto"/>
        </w:rPr>
      </w:pPr>
    </w:p>
    <w:p>
      <w:pPr>
        <w:ind w:left="6" w:right="38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6" w:right="38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6" w:right="20" w:firstLine="36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726"/>
          </w:cols>
          <w:pgMar w:left="814" w:top="697" w:right="1359" w:bottom="1440" w:gutter="0" w:footer="0" w:header="0"/>
        </w:sectPr>
      </w:pPr>
    </w:p>
    <w:p>
      <w:pPr>
        <w:spacing w:after="0" w:line="9" w:lineRule="exact"/>
        <w:rPr>
          <w:sz w:val="24"/>
          <w:szCs w:val="24"/>
          <w:color w:val="auto"/>
        </w:rPr>
      </w:pPr>
    </w:p>
    <w:p>
      <w:pPr>
        <w:ind w:left="366"/>
        <w:spacing w:after="0" w:line="26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9" w:lineRule="auto"/>
        <w:rPr>
          <w:sz w:val="20"/>
          <w:szCs w:val="20"/>
          <w:color w:val="auto"/>
        </w:rPr>
      </w:pPr>
      <w:r>
        <w:rPr>
          <w:rFonts w:ascii="Arial" w:cs="Arial" w:eastAsia="Arial" w:hAnsi="Arial"/>
          <w:sz w:val="13"/>
          <w:szCs w:val="13"/>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03" w:lineRule="exact"/>
        <w:rPr>
          <w:sz w:val="20"/>
          <w:szCs w:val="20"/>
          <w:color w:val="auto"/>
        </w:rPr>
      </w:pPr>
      <w:r>
        <w:rPr>
          <w:rFonts w:ascii="MS PGothic" w:cs="MS PGothic" w:eastAsia="MS PGothic" w:hAnsi="MS PGothic"/>
          <w:sz w:val="12"/>
          <w:szCs w:val="12"/>
          <w:color w:val="auto"/>
        </w:rPr>
        <w:t>☐</w:t>
      </w:r>
    </w:p>
    <w:p>
      <w:pPr>
        <w:spacing w:after="0" w:line="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57" w:lineRule="exact"/>
        <w:rPr>
          <w:sz w:val="24"/>
          <w:szCs w:val="24"/>
          <w:color w:val="auto"/>
        </w:rPr>
      </w:pPr>
    </w:p>
    <w:p>
      <w:pPr>
        <w:sectPr>
          <w:pgSz w:w="11900" w:h="16838" w:orient="portrait"/>
          <w:cols w:equalWidth="0" w:num="6">
            <w:col w:w="2026" w:space="140"/>
            <w:col w:w="600" w:space="720"/>
            <w:col w:w="1620" w:space="180"/>
            <w:col w:w="460" w:space="720"/>
            <w:col w:w="1280" w:space="520"/>
            <w:col w:w="1460"/>
          </w:cols>
          <w:pgMar w:left="814" w:top="697" w:right="1359" w:bottom="1440" w:gutter="0" w:footer="0" w:header="0"/>
          <w:type w:val="continuous"/>
        </w:sectPr>
      </w:pPr>
    </w:p>
    <w:p>
      <w:pPr>
        <w:ind w:left="6" w:right="80"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6180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49530</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76" w:lineRule="exact"/>
        <w:rPr>
          <w:sz w:val="24"/>
          <w:szCs w:val="24"/>
          <w:color w:val="auto"/>
        </w:rPr>
      </w:pPr>
    </w:p>
    <w:tbl>
      <w:tblPr>
        <w:tblLayout w:type="fixed"/>
        <w:tblInd w:w="6"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Proposed</w:t>
            </w:r>
          </w:p>
        </w:tc>
        <w:tc>
          <w:tcPr>
            <w:tcW w:w="116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160" w:type="dxa"/>
            <w:vAlign w:val="bottom"/>
          </w:tcPr>
          <w:p>
            <w:pPr>
              <w:spacing w:after="0"/>
              <w:rPr>
                <w:sz w:val="14"/>
                <w:szCs w:val="14"/>
                <w:color w:val="auto"/>
              </w:rPr>
            </w:pPr>
          </w:p>
        </w:tc>
      </w:tr>
      <w:tr>
        <w:trPr>
          <w:trHeight w:val="158"/>
        </w:trPr>
        <w:tc>
          <w:tcPr>
            <w:tcW w:w="4160" w:type="dxa"/>
            <w:vAlign w:val="bottom"/>
          </w:tcPr>
          <w:p>
            <w:pPr>
              <w:spacing w:after="0"/>
              <w:rPr>
                <w:sz w:val="13"/>
                <w:szCs w:val="13"/>
                <w:color w:val="auto"/>
              </w:rPr>
            </w:pPr>
          </w:p>
        </w:tc>
        <w:tc>
          <w:tcPr>
            <w:tcW w:w="1980" w:type="dxa"/>
            <w:vAlign w:val="bottom"/>
          </w:tcPr>
          <w:p>
            <w:pPr>
              <w:jc w:val="center"/>
              <w:ind w:left="788"/>
              <w:spacing w:after="0" w:line="158" w:lineRule="exact"/>
              <w:rPr>
                <w:sz w:val="20"/>
                <w:szCs w:val="20"/>
                <w:color w:val="auto"/>
              </w:rPr>
            </w:pPr>
            <w:r>
              <w:rPr>
                <w:rFonts w:ascii="Arial" w:cs="Arial" w:eastAsia="Arial" w:hAnsi="Arial"/>
                <w:sz w:val="14"/>
                <w:szCs w:val="14"/>
                <w:b w:val="1"/>
                <w:bCs w:val="1"/>
                <w:color w:val="auto"/>
                <w:w w:val="97"/>
              </w:rPr>
              <w:t>Amount to be</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 Price</w:t>
            </w: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1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7"/>
              </w:rPr>
              <w:t>Amount of</w:t>
            </w:r>
          </w:p>
        </w:tc>
      </w:tr>
      <w:tr>
        <w:trPr>
          <w:trHeight w:val="229"/>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980" w:type="dxa"/>
            <w:vAlign w:val="bottom"/>
            <w:tcBorders>
              <w:bottom w:val="single" w:sz="8" w:color="auto"/>
            </w:tcBorders>
          </w:tcPr>
          <w:p>
            <w:pPr>
              <w:jc w:val="center"/>
              <w:ind w:left="808"/>
              <w:spacing w:after="0" w:line="230" w:lineRule="exact"/>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21"/>
                <w:szCs w:val="21"/>
                <w:b w:val="1"/>
                <w:bCs w:val="1"/>
                <w:color w:val="auto"/>
                <w:w w:val="91"/>
                <w:vertAlign w:val="superscript"/>
              </w:rPr>
              <w:t>(1)</w:t>
            </w:r>
          </w:p>
        </w:tc>
        <w:tc>
          <w:tcPr>
            <w:tcW w:w="11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0"/>
              </w:rPr>
              <w:t>per Share</w:t>
            </w:r>
            <w:r>
              <w:rPr>
                <w:rFonts w:ascii="Arial" w:cs="Arial" w:eastAsia="Arial" w:hAnsi="Arial"/>
                <w:sz w:val="21"/>
                <w:szCs w:val="21"/>
                <w:b w:val="1"/>
                <w:bCs w:val="1"/>
                <w:color w:val="auto"/>
                <w:w w:val="90"/>
                <w:vertAlign w:val="superscript"/>
              </w:rPr>
              <w:t>(2)</w:t>
            </w:r>
          </w:p>
        </w:tc>
        <w:tc>
          <w:tcPr>
            <w:tcW w:w="1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21"/>
                <w:szCs w:val="21"/>
                <w:b w:val="1"/>
                <w:bCs w:val="1"/>
                <w:color w:val="auto"/>
                <w:w w:val="94"/>
                <w:vertAlign w:val="superscript"/>
              </w:rPr>
              <w:t>(2)</w:t>
            </w:r>
          </w:p>
        </w:tc>
        <w:tc>
          <w:tcPr>
            <w:tcW w:w="11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Registration Fee</w:t>
            </w:r>
          </w:p>
        </w:tc>
      </w:tr>
      <w:tr>
        <w:trPr>
          <w:trHeight w:val="196"/>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Class A common stock, par value $0.00001 per share</w:t>
            </w:r>
          </w:p>
        </w:tc>
        <w:tc>
          <w:tcPr>
            <w:tcW w:w="19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242,745</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$ 50.25</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$ 12,197,936</w:t>
            </w:r>
          </w:p>
        </w:tc>
        <w:tc>
          <w:tcPr>
            <w:tcW w:w="116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w w:val="93"/>
              </w:rPr>
              <w:t>$ 1,583.30</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4"/>
          <w:szCs w:val="24"/>
          <w:color w:val="auto"/>
        </w:rPr>
      </w:pPr>
    </w:p>
    <w:p>
      <w:pPr>
        <w:ind w:left="366" w:right="160" w:hanging="366"/>
        <w:spacing w:after="0" w:line="257" w:lineRule="auto"/>
        <w:tabs>
          <w:tab w:leader="none" w:pos="36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is in addition to the 12,592,500 shares of Class A common stock registered under the registration statement originally declared effective on April 22, 2020 (File No. 333-237760), and includes shares of Class A common stock that may be purchased by the underwriters upon exercise of their option to purchase additional shares of Class A common stock.</w:t>
      </w:r>
    </w:p>
    <w:p>
      <w:pPr>
        <w:spacing w:after="0" w:line="49" w:lineRule="exact"/>
        <w:rPr>
          <w:rFonts w:ascii="Arial" w:cs="Arial" w:eastAsia="Arial" w:hAnsi="Arial"/>
          <w:sz w:val="14"/>
          <w:szCs w:val="14"/>
          <w:color w:val="auto"/>
        </w:rPr>
      </w:pPr>
    </w:p>
    <w:p>
      <w:pPr>
        <w:ind w:left="366" w:right="560" w:hanging="366"/>
        <w:spacing w:after="0" w:line="273" w:lineRule="auto"/>
        <w:tabs>
          <w:tab w:leader="none" w:pos="36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amount represents the proposed maximum aggregate offering price of the securities registered hereunder. Estimated solely for the purpose of calculating the amount of the registration fee pursuant to Rule 457(a) under the Securities Act of 1933, as amended.</w:t>
      </w:r>
    </w:p>
    <w:p>
      <w:pPr>
        <w:spacing w:after="0" w:line="21" w:lineRule="exact"/>
        <w:rPr>
          <w:rFonts w:ascii="Arial" w:cs="Arial" w:eastAsia="Arial" w:hAnsi="Arial"/>
          <w:sz w:val="14"/>
          <w:szCs w:val="14"/>
          <w:color w:val="auto"/>
        </w:rPr>
      </w:pPr>
    </w:p>
    <w:p>
      <w:pPr>
        <w:ind w:left="366"/>
        <w:spacing w:after="0"/>
        <w:rPr>
          <w:rFonts w:ascii="Arial" w:cs="Arial" w:eastAsia="Arial" w:hAnsi="Arial"/>
          <w:sz w:val="14"/>
          <w:szCs w:val="14"/>
          <w:color w:val="auto"/>
        </w:rPr>
      </w:pPr>
      <w:r>
        <w:rPr>
          <w:rFonts w:ascii="Arial" w:cs="Arial" w:eastAsia="Arial" w:hAnsi="Arial"/>
          <w:sz w:val="14"/>
          <w:szCs w:val="14"/>
          <w:b w:val="1"/>
          <w:bCs w:val="1"/>
          <w:color w:val="auto"/>
        </w:rPr>
        <w:t>This Registration Statement shall become effective upon filing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1804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2540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452120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26"/>
          </w:cols>
          <w:pgMar w:left="814" w:top="697" w:right="135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jc w:val="both"/>
        <w:ind w:right="179" w:firstLine="360"/>
        <w:spacing w:after="0" w:line="257" w:lineRule="auto"/>
        <w:rPr>
          <w:sz w:val="20"/>
          <w:szCs w:val="20"/>
          <w:color w:val="auto"/>
        </w:rPr>
      </w:pPr>
      <w:r>
        <w:rPr>
          <w:rFonts w:ascii="Arial" w:cs="Arial" w:eastAsia="Arial" w:hAnsi="Arial"/>
          <w:sz w:val="18"/>
          <w:szCs w:val="18"/>
          <w:color w:val="auto"/>
        </w:rPr>
        <w:t>This Registration Statement is being filed by Tradeweb Markets Inc. (the “Company”) pursuant to Rule 462(b) under the Securities Act of 1933, as amended, to register an additional number of shares of the Company’s Class A common stock, par value $0.00001 per share. The Company hereby incorporates by reference into this Registration Statement on Form S-1 in its entirety the Registration Statement on Form S-1 (File No. 333-237760), as amended (including the exhibits thereto), declared effective on April 22, 2020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7346315</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639"/>
          </w:cols>
          <w:pgMar w:left="820" w:top="580" w:right="1440" w:bottom="1440" w:gutter="0" w:footer="0" w:header="0"/>
        </w:sectPr>
      </w:pPr>
    </w:p>
    <w:bookmarkStart w:id="2" w:name="page3"/>
    <w:bookmarkEnd w:id="2"/>
    <w:tbl>
      <w:tblPr>
        <w:tblLayout w:type="fixed"/>
        <w:tblInd w:w="1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2"/>
          </w:tcPr>
          <w:p>
            <w:pPr>
              <w:ind w:left="2200"/>
              <w:spacing w:after="0"/>
              <w:rPr>
                <w:sz w:val="20"/>
                <w:szCs w:val="20"/>
                <w:color w:val="auto"/>
              </w:rPr>
            </w:pPr>
            <w:r>
              <w:rPr>
                <w:rFonts w:ascii="Arial" w:cs="Arial" w:eastAsia="Arial" w:hAnsi="Arial"/>
                <w:sz w:val="18"/>
                <w:szCs w:val="18"/>
                <w:b w:val="1"/>
                <w:bCs w:val="1"/>
                <w:color w:val="auto"/>
              </w:rPr>
              <w:t>INDEX TO EXHIBITS</w:t>
            </w:r>
          </w:p>
        </w:tc>
      </w:tr>
      <w:tr>
        <w:trPr>
          <w:trHeight w:val="278"/>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240" w:type="dxa"/>
            <w:vAlign w:val="bottom"/>
            <w:gridSpan w:val="2"/>
          </w:tcPr>
          <w:p>
            <w:pPr>
              <w:ind w:left="2980"/>
              <w:spacing w:after="0"/>
              <w:rPr>
                <w:sz w:val="20"/>
                <w:szCs w:val="20"/>
                <w:color w:val="auto"/>
              </w:rPr>
            </w:pPr>
            <w:r>
              <w:rPr>
                <w:rFonts w:ascii="Arial" w:cs="Arial" w:eastAsia="Arial" w:hAnsi="Arial"/>
                <w:sz w:val="14"/>
                <w:szCs w:val="14"/>
                <w:b w:val="1"/>
                <w:bCs w:val="1"/>
                <w:color w:val="auto"/>
              </w:rPr>
              <w:t>Exhibit Description</w:t>
            </w:r>
          </w:p>
        </w:tc>
      </w:tr>
      <w:tr>
        <w:trPr>
          <w:trHeight w:val="242"/>
        </w:trPr>
        <w:tc>
          <w:tcPr>
            <w:tcW w:w="76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5.1</w:t>
              </w:r>
            </w:hyperlink>
          </w:p>
        </w:tc>
        <w:tc>
          <w:tcPr>
            <w:tcW w:w="220" w:type="dxa"/>
            <w:vAlign w:val="bottom"/>
          </w:tcPr>
          <w:p>
            <w:pPr>
              <w:spacing w:after="0"/>
              <w:rPr>
                <w:sz w:val="21"/>
                <w:szCs w:val="21"/>
                <w:color w:val="auto"/>
              </w:rPr>
            </w:pPr>
          </w:p>
        </w:tc>
        <w:tc>
          <w:tcPr>
            <w:tcW w:w="7240" w:type="dxa"/>
            <w:vAlign w:val="bottom"/>
            <w:tcBorders>
              <w:top w:val="single" w:sz="8" w:color="auto"/>
            </w:tcBorders>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Opinion of Fried, Frank, Harris, Shriver &amp; Jacobson LLP.</w:t>
              </w:r>
            </w:hyperlink>
          </w:p>
        </w:tc>
      </w:tr>
      <w:tr>
        <w:trPr>
          <w:trHeight w:val="229"/>
        </w:trPr>
        <w:tc>
          <w:tcPr>
            <w:tcW w:w="7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23.1</w:t>
              </w:r>
            </w:hyperlink>
          </w:p>
        </w:tc>
        <w:tc>
          <w:tcPr>
            <w:tcW w:w="220" w:type="dxa"/>
            <w:vAlign w:val="bottom"/>
          </w:tcPr>
          <w:p>
            <w:pPr>
              <w:spacing w:after="0"/>
              <w:rPr>
                <w:sz w:val="19"/>
                <w:szCs w:val="19"/>
                <w:color w:val="auto"/>
              </w:rPr>
            </w:pPr>
          </w:p>
        </w:tc>
        <w:tc>
          <w:tcPr>
            <w:tcW w:w="724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Deloitte &amp; Touche LLP.</w:t>
              </w:r>
            </w:hyperlink>
          </w:p>
        </w:tc>
      </w:tr>
      <w:tr>
        <w:trPr>
          <w:trHeight w:val="229"/>
        </w:trPr>
        <w:tc>
          <w:tcPr>
            <w:tcW w:w="7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23.2</w:t>
              </w:r>
            </w:hyperlink>
          </w:p>
        </w:tc>
        <w:tc>
          <w:tcPr>
            <w:tcW w:w="220" w:type="dxa"/>
            <w:vAlign w:val="bottom"/>
          </w:tcPr>
          <w:p>
            <w:pPr>
              <w:spacing w:after="0"/>
              <w:rPr>
                <w:sz w:val="19"/>
                <w:szCs w:val="19"/>
                <w:color w:val="auto"/>
              </w:rPr>
            </w:pPr>
          </w:p>
        </w:tc>
        <w:tc>
          <w:tcPr>
            <w:tcW w:w="724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PricewaterhouseCoopers LLP.</w:t>
              </w:r>
            </w:hyperlink>
          </w:p>
        </w:tc>
      </w:tr>
      <w:tr>
        <w:trPr>
          <w:trHeight w:val="230"/>
        </w:trPr>
        <w:tc>
          <w:tcPr>
            <w:tcW w:w="7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23.3</w:t>
              </w:r>
            </w:hyperlink>
          </w:p>
        </w:tc>
        <w:tc>
          <w:tcPr>
            <w:tcW w:w="220" w:type="dxa"/>
            <w:vAlign w:val="bottom"/>
          </w:tcPr>
          <w:p>
            <w:pPr>
              <w:spacing w:after="0"/>
              <w:rPr>
                <w:sz w:val="19"/>
                <w:szCs w:val="19"/>
                <w:color w:val="auto"/>
              </w:rPr>
            </w:pPr>
          </w:p>
        </w:tc>
        <w:tc>
          <w:tcPr>
            <w:tcW w:w="724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Consent of Fried, Frank, Harris, Shriver &amp; Jacobson LLP (included in Exhibit 5.1).</w:t>
              </w:r>
            </w:hyperlink>
          </w:p>
        </w:tc>
      </w:tr>
      <w:tr>
        <w:trPr>
          <w:trHeight w:val="190"/>
        </w:trPr>
        <w:tc>
          <w:tcPr>
            <w:tcW w:w="760" w:type="dxa"/>
            <w:vAlign w:val="bottom"/>
          </w:tcPr>
          <w:p>
            <w:pPr>
              <w:spacing w:after="0" w:line="190" w:lineRule="exact"/>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24.1</w:t>
              </w:r>
            </w:hyperlink>
          </w:p>
        </w:tc>
        <w:tc>
          <w:tcPr>
            <w:tcW w:w="220" w:type="dxa"/>
            <w:vAlign w:val="bottom"/>
          </w:tcPr>
          <w:p>
            <w:pPr>
              <w:spacing w:after="0"/>
              <w:rPr>
                <w:sz w:val="16"/>
                <w:szCs w:val="16"/>
                <w:color w:val="auto"/>
              </w:rPr>
            </w:pPr>
          </w:p>
        </w:tc>
        <w:tc>
          <w:tcPr>
            <w:tcW w:w="7240" w:type="dxa"/>
            <w:vAlign w:val="bottom"/>
            <w:gridSpan w:val="2"/>
          </w:tcPr>
          <w:p>
            <w:pPr>
              <w:spacing w:after="0" w:line="190" w:lineRule="exact"/>
              <w:rPr>
                <w:rFonts w:ascii="Arial" w:cs="Arial" w:eastAsia="Arial" w:hAnsi="Arial"/>
                <w:sz w:val="18"/>
                <w:szCs w:val="18"/>
                <w:color w:val="0000EE"/>
                <w:w w:val="95"/>
              </w:rPr>
            </w:pPr>
            <w:hyperlink r:id="rId16">
              <w:r>
                <w:rPr>
                  <w:rFonts w:ascii="Arial" w:cs="Arial" w:eastAsia="Arial" w:hAnsi="Arial"/>
                  <w:sz w:val="18"/>
                  <w:szCs w:val="18"/>
                  <w:color w:val="0000EE"/>
                  <w:w w:val="95"/>
                </w:rPr>
                <w:t>Power of Attorney (contained on the signature page to the Registration Statement on Form S-1</w:t>
              </w:r>
            </w:hyperlink>
          </w:p>
        </w:tc>
      </w:tr>
      <w:tr>
        <w:trPr>
          <w:trHeight w:val="237"/>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40" w:type="dxa"/>
            <w:vAlign w:val="bottom"/>
            <w:tcBorders>
              <w:top w:val="single" w:sz="8" w:color="0000EE"/>
            </w:tcBorders>
          </w:tcPr>
          <w:p>
            <w:pPr>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filed on April 20, 2020 (File No. 333-237760) and incorporated herein by reference).</w:t>
              </w:r>
            </w:hyperlink>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6412230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 w:name="page4"/>
    <w:bookmarkEnd w:id="3"/>
    <w:p>
      <w:pPr>
        <w:ind w:left="366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140" w:right="67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22nd day of April, 2020.</w:t>
      </w:r>
    </w:p>
    <w:p>
      <w:pPr>
        <w:spacing w:after="0" w:line="8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Tradeweb Markets Inc.</w:t>
      </w:r>
    </w:p>
    <w:p>
      <w:pPr>
        <w:spacing w:after="0" w:line="2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31750</wp:posOffset>
            </wp:positionV>
            <wp:extent cx="251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157" w:lineRule="exact"/>
        <w:rPr>
          <w:sz w:val="20"/>
          <w:szCs w:val="20"/>
          <w:color w:val="auto"/>
        </w:rPr>
      </w:pPr>
    </w:p>
    <w:p>
      <w:pPr>
        <w:ind w:left="140" w:right="8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2060" w:type="dxa"/>
            <w:vAlign w:val="bottom"/>
          </w:tcPr>
          <w:p>
            <w:pPr>
              <w:ind w:left="72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3880" w:type="dxa"/>
            <w:vAlign w:val="bottom"/>
            <w:gridSpan w:val="2"/>
          </w:tcPr>
          <w:p>
            <w:pPr>
              <w:ind w:left="1680"/>
              <w:spacing w:after="0"/>
              <w:rPr>
                <w:sz w:val="20"/>
                <w:szCs w:val="20"/>
                <w:color w:val="auto"/>
              </w:rPr>
            </w:pPr>
            <w:r>
              <w:rPr>
                <w:rFonts w:ascii="Arial" w:cs="Arial" w:eastAsia="Arial" w:hAnsi="Arial"/>
                <w:sz w:val="14"/>
                <w:szCs w:val="14"/>
                <w:b w:val="1"/>
                <w:bCs w:val="1"/>
                <w:color w:val="auto"/>
              </w:rPr>
              <w:t>Title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2060" w:type="dxa"/>
            <w:vAlign w:val="bottom"/>
          </w:tcPr>
          <w:p>
            <w:pPr>
              <w:spacing w:after="0"/>
              <w:rPr>
                <w:sz w:val="20"/>
                <w:szCs w:val="20"/>
                <w:color w:val="auto"/>
              </w:rPr>
            </w:pPr>
            <w:r>
              <w:rPr>
                <w:rFonts w:ascii="Arial" w:cs="Arial" w:eastAsia="Arial" w:hAnsi="Arial"/>
                <w:sz w:val="18"/>
                <w:szCs w:val="18"/>
                <w:color w:val="auto"/>
              </w:rPr>
              <w:t>/s/ Lee Olesky</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68"/>
        </w:trPr>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Arial" w:cs="Arial" w:eastAsia="Arial" w:hAnsi="Arial"/>
                <w:sz w:val="18"/>
                <w:szCs w:val="18"/>
                <w:color w:val="auto"/>
              </w:rPr>
              <w:t>Lee Olesky</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60" w:type="dxa"/>
            <w:vAlign w:val="bottom"/>
          </w:tcPr>
          <w:p>
            <w:pPr>
              <w:spacing w:after="0"/>
              <w:rPr>
                <w:sz w:val="20"/>
                <w:szCs w:val="20"/>
                <w:color w:val="auto"/>
              </w:rPr>
            </w:pPr>
            <w:r>
              <w:rPr>
                <w:rFonts w:ascii="Arial" w:cs="Arial" w:eastAsia="Arial" w:hAnsi="Arial"/>
                <w:sz w:val="18"/>
                <w:szCs w:val="18"/>
                <w:color w:val="auto"/>
              </w:rPr>
              <w:t>/s/ Robert Warshaw</w:t>
            </w:r>
          </w:p>
        </w:tc>
        <w:tc>
          <w:tcPr>
            <w:tcW w:w="220" w:type="dxa"/>
            <w:vAlign w:val="bottom"/>
          </w:tcPr>
          <w:p>
            <w:pPr>
              <w:spacing w:after="0"/>
              <w:rPr>
                <w:sz w:val="23"/>
                <w:szCs w:val="23"/>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68"/>
        </w:trPr>
        <w:tc>
          <w:tcPr>
            <w:tcW w:w="206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vMerge w:val="restart"/>
          </w:tcPr>
          <w:p>
            <w:pPr>
              <w:spacing w:after="0"/>
              <w:rPr>
                <w:sz w:val="20"/>
                <w:szCs w:val="20"/>
                <w:color w:val="auto"/>
              </w:rPr>
            </w:pPr>
            <w:r>
              <w:rPr>
                <w:rFonts w:ascii="Arial" w:cs="Arial" w:eastAsia="Arial" w:hAnsi="Arial"/>
                <w:sz w:val="18"/>
                <w:szCs w:val="18"/>
                <w:color w:val="auto"/>
              </w:rPr>
              <w:t>Robert Warshaw</w:t>
            </w:r>
          </w:p>
        </w:tc>
        <w:tc>
          <w:tcPr>
            <w:tcW w:w="220" w:type="dxa"/>
            <w:vAlign w:val="bottom"/>
            <w:vMerge w:val="continue"/>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Steven Berns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Martin Brand</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John G. Finley</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Scott C. Ganeles</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William Hult</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Paula B. Madoff</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Thomas Pluta</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Debra Walton</w:t>
            </w:r>
          </w:p>
        </w:tc>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April 22,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1303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Brian West</w:t>
      </w:r>
    </w:p>
    <w:p>
      <w:pPr>
        <w:spacing w:after="0" w:line="36" w:lineRule="exact"/>
        <w:rPr>
          <w:sz w:val="20"/>
          <w:szCs w:val="20"/>
          <w:color w:val="auto"/>
        </w:rPr>
      </w:pPr>
    </w:p>
    <w:p>
      <w:pPr>
        <w:ind w:left="140" w:right="7119" w:firstLine="8"/>
        <w:spacing w:after="0" w:line="424" w:lineRule="auto"/>
        <w:tabs>
          <w:tab w:leader="none" w:pos="282" w:val="left"/>
        </w:tabs>
        <w:numPr>
          <w:ilvl w:val="0"/>
          <w:numId w:val="2"/>
        </w:numPr>
        <w:rPr>
          <w:rFonts w:ascii="Arial" w:cs="Arial" w:eastAsia="Arial" w:hAnsi="Arial"/>
          <w:sz w:val="17"/>
          <w:szCs w:val="17"/>
          <w:color w:val="auto"/>
        </w:rPr>
      </w:pPr>
      <w:r>
        <w:rPr>
          <w:rFonts w:ascii="Arial" w:cs="Arial" w:eastAsia="Arial" w:hAnsi="Arial"/>
          <w:sz w:val="17"/>
          <w:szCs w:val="17"/>
          <w:color w:val="auto"/>
        </w:rPr>
        <w:t>/s/ Douglas Friedman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-257175</wp:posOffset>
            </wp:positionV>
            <wp:extent cx="1303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3030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1062355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filed under Rule 462(b)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Tradeweb Markets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(i) Registration Statement on Form S-1 (Registration No. 333-237760) (the “</w:t>
      </w:r>
      <w:r>
        <w:rPr>
          <w:rFonts w:ascii="Arial" w:cs="Arial" w:eastAsia="Arial" w:hAnsi="Arial"/>
          <w:sz w:val="17"/>
          <w:szCs w:val="17"/>
          <w:u w:val="single" w:color="auto"/>
          <w:color w:val="auto"/>
        </w:rPr>
        <w:t>Initial 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“Securities Act”) and (ii) an additional Registration Statement on Form S-1 filed pursuant to Rule 462(b) under the Securities Act (the “</w:t>
      </w:r>
      <w:r>
        <w:rPr>
          <w:rFonts w:ascii="Arial" w:cs="Arial" w:eastAsia="Arial" w:hAnsi="Arial"/>
          <w:sz w:val="17"/>
          <w:szCs w:val="17"/>
          <w:u w:val="single" w:color="auto"/>
          <w:color w:val="auto"/>
        </w:rPr>
        <w:t>462(b) Registration Statement</w:t>
      </w:r>
      <w:r>
        <w:rPr>
          <w:rFonts w:ascii="Arial" w:cs="Arial" w:eastAsia="Arial" w:hAnsi="Arial"/>
          <w:sz w:val="17"/>
          <w:szCs w:val="17"/>
          <w:color w:val="auto"/>
        </w:rPr>
        <w:t>”). The 462(b) Registration Statement relates to the registration of an additional 242,745 shares of the Company’s Class A common stock, par value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being offered by the Company (the “</w:t>
      </w:r>
      <w:r>
        <w:rPr>
          <w:rFonts w:ascii="Arial" w:cs="Arial" w:eastAsia="Arial" w:hAnsi="Arial"/>
          <w:sz w:val="17"/>
          <w:szCs w:val="17"/>
          <w:u w:val="single" w:color="auto"/>
          <w:color w:val="auto"/>
        </w:rPr>
        <w:t>Additional Shares</w:t>
      </w:r>
      <w:r>
        <w:rPr>
          <w:rFonts w:ascii="Arial" w:cs="Arial" w:eastAsia="Arial" w:hAnsi="Arial"/>
          <w:sz w:val="17"/>
          <w:szCs w:val="17"/>
          <w:color w:val="auto"/>
        </w:rPr>
        <w:t>”). The Additional Shares include shares which may be purchased by the underwriters upon the exercise of the option to purchase additional Class A common stock granted to the underwriters by the Company. The Additional Shares are proposed to be sold pursuant to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be entered into among the Company and Tradeweb Markets LLC and J.P. Morgan Securities LLC, Barclays Capital Inc.,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10760"/>
        <w:spacing w:after="0"/>
        <w:rPr>
          <w:sz w:val="20"/>
          <w:szCs w:val="20"/>
          <w:color w:val="auto"/>
        </w:rPr>
      </w:pPr>
      <w:r>
        <w:rPr>
          <w:rFonts w:ascii="Arial" w:cs="Arial" w:eastAsia="Arial" w:hAnsi="Arial"/>
          <w:sz w:val="15"/>
          <w:szCs w:val="15"/>
          <w:color w:val="auto"/>
        </w:rPr>
        <w:t>Page 2</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the Additional Shares have been duly authorized and, when issued and delivered pursuant to the Underwriting Agreement against payment of the consideration set forth therein, will be validly issued, fully paid and nonassessable.</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462(b) Registration Statement.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the 462(b) Registration Statement and to the references to this firm under the caption “Legal Matters” in the prospectus included in the Initial Registration Statement, which is incorporated by reference into the 462(b) Registration Statement. In giving this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Fried, Frank, Harris, Shriver &amp; Jacobson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consent to the incorporation by reference in this Registration Statement on Form S-1 of our report dated February 21, 2020 relating to the financial statements of Tradeweb Markets Inc. (which report expresses an unqualified opinion and includes an emphasis of a matter paragraph relating to the Successor Period financial statements not being comparable to the Predecessor Period financial statements as a result of pushdown accounting, and an emphasis of matter paragraph relating to the Company’s reorganization transactions and initial public offering on April 4, 2019) appearing in the Annual Report on Form 10-K/A of Tradeweb Markets Inc. for the year ended December 31, 2019, which is incorporated by reference in the Registration Statement on Form S-1 (No. 333-237760). We also consent to the reference to us under the heading "Experts" in Registration Statement on Form S-1 (No. 333-237760) incorporated by reference in this Registration Statement.on Form S-1.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Tradeweb Markets Inc. of our report dated December 17, 2018, except for the impact of the amendment to the LLC agreement discussed in Note 2 to the consolidated financial statements as to which the date is May 20, 2019, relating to the financial statements of Tradeweb Markets LLC, which appears in Tradeweb Markets Inc.’s Annual Report on Form 10-K/A for the year ended December 31, 2019. We also consent to the reference to us under the heading “Experts” in the Registration Statement on Form S-1 (No. 333-237760)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6" Type="http://schemas.openxmlformats.org/officeDocument/2006/relationships/hyperlink" Target="http://www.sec.gov/Archives/edgar/data/1758730/000110465920048747/tv539139-s1.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2020-04-22T20:38:18Z</dcterms:created>
  <dcterms:modified xsi:type="dcterms:W3CDTF">2020-04-22T20:38:18Z</dcterms:modified>
</cp:coreProperties>
</file>