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12/11/2020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6" w:space="720"/>
            <w:col w:w="3344"/>
          </w:cols>
          <w:pgMar w:left="460" w:top="220"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1839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839595"/>
                    </a:xfrm>
                    <a:prstGeom prst="rect">
                      <a:avLst/>
                    </a:prstGeom>
                    <a:noFill/>
                  </pic:spPr>
                </pic:pic>
              </a:graphicData>
            </a:graphic>
          </wp:anchor>
        </w:drawing>
      </w:r>
    </w:p>
    <w:p>
      <w:pPr>
        <w:spacing w:after="0" w:line="344"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12/11/2020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191,496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749,188</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12/11/2020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161,702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64.392</w:t>
            </w:r>
            <w:r>
              <w:rPr>
                <w:rFonts w:ascii="Arial" w:cs="Arial" w:eastAsia="Arial" w:hAnsi="Arial"/>
                <w:sz w:val="21"/>
                <w:szCs w:val="21"/>
                <w:color w:val="008000"/>
                <w:w w:val="86"/>
                <w:vertAlign w:val="superscript"/>
              </w:rPr>
              <w:t>(3)</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587,486</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12/11/2020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29,794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65.1821</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557,692</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191,496</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12/11/2020</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ind w:left="320"/>
              <w:spacing w:after="0" w:line="141" w:lineRule="exact"/>
              <w:rPr>
                <w:sz w:val="20"/>
                <w:szCs w:val="20"/>
                <w:color w:val="auto"/>
              </w:rPr>
            </w:pPr>
            <w:r>
              <w:rPr>
                <w:rFonts w:ascii="Arial" w:cs="Arial" w:eastAsia="Arial" w:hAnsi="Arial"/>
                <w:sz w:val="13"/>
                <w:szCs w:val="13"/>
                <w:color w:val="0000FF"/>
                <w:w w:val="85"/>
              </w:rPr>
              <w:t>191,496</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1,934,299</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-1790065</wp:posOffset>
            </wp:positionV>
            <wp:extent cx="7034530" cy="1831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83134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12, 2020.</w:t>
      </w:r>
    </w:p>
    <w:p>
      <w:pPr>
        <w:spacing w:after="0" w:line="41" w:lineRule="exact"/>
        <w:rPr>
          <w:rFonts w:ascii="Arial" w:cs="Arial" w:eastAsia="Arial" w:hAnsi="Arial"/>
          <w:sz w:val="13"/>
          <w:szCs w:val="13"/>
          <w:color w:val="008000"/>
        </w:rPr>
      </w:pPr>
    </w:p>
    <w:p>
      <w:pPr>
        <w:ind w:left="40" w:right="280"/>
        <w:spacing w:after="0" w:line="29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207,713 unvested restricted stock units ("RSUs") in respect of the issuer's Class A common stock ("Class A Common Stock") which are scheduled to vest on January 1, 2021, (ii) 298,526 unvested RSUs in respect of Class A Common Stock which are scheduled to vest on January 1, 2022, and (iii) 51,453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$64.00 to $64.99,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$65.00 to $65.53, inclusive.</w:t>
      </w:r>
    </w:p>
    <w:p>
      <w:pPr>
        <w:spacing w:after="0" w:line="41" w:lineRule="exact"/>
        <w:rPr>
          <w:rFonts w:ascii="Arial" w:cs="Arial" w:eastAsia="Arial" w:hAnsi="Arial"/>
          <w:sz w:val="13"/>
          <w:szCs w:val="13"/>
          <w:color w:val="008000"/>
        </w:rPr>
      </w:pPr>
    </w:p>
    <w:p>
      <w:pPr>
        <w:ind w:left="40" w:right="320"/>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12/14/2020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Lee Olesky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2020-12-14T19:13:16Z</dcterms:created>
  <dcterms:modified xsi:type="dcterms:W3CDTF">2020-12-14T19:13:16Z</dcterms:modified>
</cp:coreProperties>
</file>