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6, 2025</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420" w:type="dxa"/>
            <w:vAlign w:val="bottom"/>
          </w:tcPr>
          <w:p>
            <w:pPr>
              <w:jc w:val="center"/>
              <w:ind w:right="107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3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On February 6, 2025, Tradeweb Markets Inc. (the “Company”) issued a press release, a copy of which is furnished as Exhibit 99.1 hereto and incorporated herein by reference, announcing financial results for the quarter and full year ended December 31, 2024.</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2"/>
            <w:vMerge w:val="restart"/>
          </w:tcPr>
          <w:p>
            <w:pPr>
              <w:ind w:left="40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1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70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Tradeweb Markets Inc., dated February 6, 2025.</w:t>
            </w:r>
          </w:p>
        </w:tc>
        <w:tc>
          <w:tcPr>
            <w:tcW w:w="4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65"/>
        </w:trPr>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7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TRADEWEB MARKETS INC.</w:t>
            </w:r>
          </w:p>
        </w:tc>
      </w:tr>
      <w:tr>
        <w:trPr>
          <w:trHeight w:val="50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2025</w:t>
            </w:r>
          </w:p>
        </w:tc>
        <w:tc>
          <w:tcPr>
            <w:tcW w:w="67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By:   /s/ Douglas Friedman</w:t>
            </w:r>
          </w:p>
        </w:tc>
      </w:tr>
      <w:tr>
        <w:trPr>
          <w:trHeight w:val="218"/>
        </w:trPr>
        <w:tc>
          <w:tcPr>
            <w:tcW w:w="44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Douglas Friedman</w:t>
            </w:r>
          </w:p>
        </w:tc>
      </w:tr>
      <w:tr>
        <w:trPr>
          <w:trHeight w:val="234"/>
        </w:trPr>
        <w:tc>
          <w:tcPr>
            <w:tcW w:w="4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General Counsel</w:t>
            </w:r>
          </w:p>
        </w:tc>
      </w:tr>
    </w:tbl>
    <w:p>
      <w:pPr>
        <w:sectPr>
          <w:pgSz w:w="11900" w:h="16838" w:orient="portrait"/>
          <w:cols w:equalWidth="0" w:num="1">
            <w:col w:w="11240"/>
          </w:cols>
          <w:pgMar w:left="320" w:top="1130" w:right="3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80848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r>
    </w:p>
    <w:tbl>
      <w:tblPr>
        <w:tblLayout w:type="fixed"/>
        <w:tblInd w:w="5500" w:type="dxa"/>
        <w:tblCellMar>
          <w:top w:w="0" w:type="dxa"/>
          <w:left w:w="0" w:type="dxa"/>
          <w:bottom w:w="0" w:type="dxa"/>
          <w:right w:w="0" w:type="dxa"/>
        </w:tblCellMar>
      </w:tblPr>
      <w:tr>
        <w:trPr>
          <w:trHeight w:val="189"/>
        </w:trPr>
        <w:tc>
          <w:tcPr>
            <w:tcW w:w="2480" w:type="dxa"/>
            <w:vAlign w:val="bottom"/>
            <w:vMerge w:val="restart"/>
          </w:tcPr>
          <w:p>
            <w:pPr>
              <w:spacing w:after="0"/>
              <w:rPr>
                <w:sz w:val="20"/>
                <w:szCs w:val="20"/>
                <w:color w:val="auto"/>
              </w:rPr>
            </w:pPr>
            <w:r>
              <w:rPr>
                <w:rFonts w:ascii="Arial" w:cs="Arial" w:eastAsia="Arial" w:hAnsi="Arial"/>
                <w:sz w:val="16"/>
                <w:szCs w:val="16"/>
                <w:b w:val="1"/>
                <w:bCs w:val="1"/>
                <w:color w:val="00346B"/>
              </w:rPr>
              <w:t>Investor Relations</w:t>
            </w:r>
          </w:p>
        </w:tc>
        <w:tc>
          <w:tcPr>
            <w:tcW w:w="2460" w:type="dxa"/>
            <w:vAlign w:val="bottom"/>
          </w:tcPr>
          <w:p>
            <w:pPr>
              <w:ind w:left="160"/>
              <w:spacing w:after="0"/>
              <w:rPr>
                <w:sz w:val="20"/>
                <w:szCs w:val="20"/>
                <w:color w:val="auto"/>
              </w:rPr>
            </w:pPr>
            <w:r>
              <w:rPr>
                <w:rFonts w:ascii="Arial" w:cs="Arial" w:eastAsia="Arial" w:hAnsi="Arial"/>
                <w:sz w:val="16"/>
                <w:szCs w:val="16"/>
                <w:b w:val="1"/>
                <w:bCs w:val="1"/>
                <w:color w:val="083566"/>
              </w:rPr>
              <w:t>Media Relations</w:t>
            </w:r>
          </w:p>
        </w:tc>
        <w:tc>
          <w:tcPr>
            <w:tcW w:w="0" w:type="dxa"/>
            <w:vAlign w:val="bottom"/>
          </w:tcPr>
          <w:p>
            <w:pPr>
              <w:spacing w:after="0"/>
              <w:rPr>
                <w:sz w:val="1"/>
                <w:szCs w:val="1"/>
                <w:color w:val="auto"/>
              </w:rPr>
            </w:pPr>
          </w:p>
        </w:tc>
      </w:tr>
      <w:tr>
        <w:trPr>
          <w:trHeight w:val="108"/>
        </w:trPr>
        <w:tc>
          <w:tcPr>
            <w:tcW w:w="2480" w:type="dxa"/>
            <w:vAlign w:val="bottom"/>
            <w:vMerge w:val="continue"/>
          </w:tcPr>
          <w:p>
            <w:pPr>
              <w:spacing w:after="0"/>
              <w:rPr>
                <w:sz w:val="9"/>
                <w:szCs w:val="9"/>
                <w:color w:val="auto"/>
              </w:rPr>
            </w:pPr>
          </w:p>
        </w:tc>
        <w:tc>
          <w:tcPr>
            <w:tcW w:w="2460" w:type="dxa"/>
            <w:vAlign w:val="bottom"/>
            <w:vMerge w:val="restart"/>
          </w:tcPr>
          <w:p>
            <w:pPr>
              <w:ind w:left="160"/>
              <w:spacing w:after="0"/>
              <w:rPr>
                <w:sz w:val="20"/>
                <w:szCs w:val="20"/>
                <w:color w:val="auto"/>
              </w:rPr>
            </w:pPr>
            <w:r>
              <w:rPr>
                <w:rFonts w:ascii="Arial" w:cs="Arial" w:eastAsia="Arial" w:hAnsi="Arial"/>
                <w:sz w:val="16"/>
                <w:szCs w:val="16"/>
                <w:color w:val="auto"/>
              </w:rPr>
              <w:t>Daniel Noonan + 1 646 767</w:t>
            </w:r>
          </w:p>
        </w:tc>
        <w:tc>
          <w:tcPr>
            <w:tcW w:w="0" w:type="dxa"/>
            <w:vAlign w:val="bottom"/>
          </w:tcPr>
          <w:p>
            <w:pPr>
              <w:spacing w:after="0"/>
              <w:rPr>
                <w:sz w:val="1"/>
                <w:szCs w:val="1"/>
                <w:color w:val="auto"/>
              </w:rPr>
            </w:pPr>
          </w:p>
        </w:tc>
      </w:tr>
      <w:tr>
        <w:trPr>
          <w:trHeight w:val="95"/>
        </w:trPr>
        <w:tc>
          <w:tcPr>
            <w:tcW w:w="2480" w:type="dxa"/>
            <w:vAlign w:val="bottom"/>
            <w:vMerge w:val="restart"/>
          </w:tcPr>
          <w:p>
            <w:pPr>
              <w:spacing w:after="0"/>
              <w:rPr>
                <w:sz w:val="20"/>
                <w:szCs w:val="20"/>
                <w:color w:val="auto"/>
              </w:rPr>
            </w:pPr>
            <w:r>
              <w:rPr>
                <w:rFonts w:ascii="Arial" w:cs="Arial" w:eastAsia="Arial" w:hAnsi="Arial"/>
                <w:sz w:val="16"/>
                <w:szCs w:val="16"/>
                <w:color w:val="auto"/>
              </w:rPr>
              <w:t>Ashley Serrao + 1 646 430 6027</w:t>
            </w: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80" w:type="dxa"/>
            <w:vAlign w:val="bottom"/>
            <w:vMerge w:val="continue"/>
          </w:tcPr>
          <w:p>
            <w:pPr>
              <w:spacing w:after="0"/>
              <w:rPr>
                <w:sz w:val="9"/>
                <w:szCs w:val="9"/>
                <w:color w:val="auto"/>
              </w:rPr>
            </w:pPr>
          </w:p>
        </w:tc>
        <w:tc>
          <w:tcPr>
            <w:tcW w:w="2460" w:type="dxa"/>
            <w:vAlign w:val="bottom"/>
            <w:vMerge w:val="restart"/>
          </w:tcPr>
          <w:p>
            <w:pPr>
              <w:ind w:left="160"/>
              <w:spacing w:after="0"/>
              <w:rPr>
                <w:sz w:val="20"/>
                <w:szCs w:val="20"/>
                <w:color w:val="auto"/>
              </w:rPr>
            </w:pPr>
            <w:r>
              <w:rPr>
                <w:rFonts w:ascii="Arial" w:cs="Arial" w:eastAsia="Arial" w:hAnsi="Arial"/>
                <w:sz w:val="16"/>
                <w:szCs w:val="16"/>
                <w:color w:val="auto"/>
              </w:rPr>
              <w:t>4677</w:t>
            </w:r>
          </w:p>
        </w:tc>
        <w:tc>
          <w:tcPr>
            <w:tcW w:w="0" w:type="dxa"/>
            <w:vAlign w:val="bottom"/>
          </w:tcPr>
          <w:p>
            <w:pPr>
              <w:spacing w:after="0"/>
              <w:rPr>
                <w:sz w:val="1"/>
                <w:szCs w:val="1"/>
                <w:color w:val="auto"/>
              </w:rPr>
            </w:pPr>
          </w:p>
        </w:tc>
      </w:tr>
      <w:tr>
        <w:trPr>
          <w:trHeight w:val="81"/>
        </w:trPr>
        <w:tc>
          <w:tcPr>
            <w:tcW w:w="2480" w:type="dxa"/>
            <w:vAlign w:val="bottom"/>
            <w:vMerge w:val="restart"/>
          </w:tcPr>
          <w:p>
            <w:pPr>
              <w:spacing w:after="0"/>
              <w:rPr>
                <w:sz w:val="20"/>
                <w:szCs w:val="20"/>
                <w:color w:val="auto"/>
              </w:rPr>
            </w:pPr>
            <w:r>
              <w:rPr>
                <w:rFonts w:ascii="Arial" w:cs="Arial" w:eastAsia="Arial" w:hAnsi="Arial"/>
                <w:sz w:val="16"/>
                <w:szCs w:val="16"/>
                <w:color w:val="auto"/>
              </w:rPr>
              <w:t>Ashley.Serrao@Tradeweb.com</w:t>
            </w: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480" w:type="dxa"/>
            <w:vAlign w:val="bottom"/>
            <w:vMerge w:val="continue"/>
          </w:tcPr>
          <w:p>
            <w:pPr>
              <w:spacing w:after="0"/>
              <w:rPr>
                <w:sz w:val="11"/>
                <w:szCs w:val="11"/>
                <w:color w:val="auto"/>
              </w:rPr>
            </w:pPr>
          </w:p>
        </w:tc>
        <w:tc>
          <w:tcPr>
            <w:tcW w:w="2460" w:type="dxa"/>
            <w:vAlign w:val="bottom"/>
            <w:vMerge w:val="restart"/>
          </w:tcPr>
          <w:p>
            <w:pPr>
              <w:ind w:left="160"/>
              <w:spacing w:after="0"/>
              <w:rPr>
                <w:sz w:val="20"/>
                <w:szCs w:val="20"/>
                <w:color w:val="auto"/>
              </w:rPr>
            </w:pPr>
            <w:r>
              <w:rPr>
                <w:rFonts w:ascii="Arial" w:cs="Arial" w:eastAsia="Arial" w:hAnsi="Arial"/>
                <w:sz w:val="16"/>
                <w:szCs w:val="16"/>
                <w:color w:val="auto"/>
              </w:rPr>
              <w:t>Daniel.Noonan@Tradeweb.com</w:t>
            </w:r>
          </w:p>
        </w:tc>
        <w:tc>
          <w:tcPr>
            <w:tcW w:w="0" w:type="dxa"/>
            <w:vAlign w:val="bottom"/>
          </w:tcPr>
          <w:p>
            <w:pPr>
              <w:spacing w:after="0"/>
              <w:rPr>
                <w:sz w:val="1"/>
                <w:szCs w:val="1"/>
                <w:color w:val="auto"/>
              </w:rPr>
            </w:pPr>
          </w:p>
        </w:tc>
      </w:tr>
      <w:tr>
        <w:trPr>
          <w:trHeight w:val="81"/>
        </w:trPr>
        <w:tc>
          <w:tcPr>
            <w:tcW w:w="248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right="400"/>
        <w:spacing w:after="0" w:line="366" w:lineRule="auto"/>
        <w:rPr>
          <w:sz w:val="20"/>
          <w:szCs w:val="20"/>
          <w:color w:val="auto"/>
        </w:rPr>
      </w:pPr>
      <w:r>
        <w:rPr>
          <w:rFonts w:ascii="Arial" w:cs="Arial" w:eastAsia="Arial" w:hAnsi="Arial"/>
          <w:sz w:val="25"/>
          <w:szCs w:val="25"/>
          <w:b w:val="1"/>
          <w:bCs w:val="1"/>
          <w:color w:val="00ADCB"/>
        </w:rPr>
        <w:t xml:space="preserve">TRADEWEB REPORTS FOURTH QUARTER AND FULL YEAR 2024 FINANCIAL RESULTS </w:t>
      </w:r>
      <w:r>
        <w:rPr>
          <w:rFonts w:ascii="Arial" w:cs="Arial" w:eastAsia="Arial" w:hAnsi="Arial"/>
          <w:sz w:val="25"/>
          <w:szCs w:val="25"/>
          <w:b w:val="1"/>
          <w:bCs w:val="1"/>
          <w:color w:val="00346B"/>
        </w:rPr>
        <w:t>QUARTERLY CASH DIVIDEND RAISED BY 20.0% to $0.12 PER SHARE</w:t>
      </w:r>
    </w:p>
    <w:p>
      <w:pPr>
        <w:spacing w:after="0" w:line="11" w:lineRule="exact"/>
        <w:rPr>
          <w:sz w:val="20"/>
          <w:szCs w:val="20"/>
          <w:color w:val="auto"/>
        </w:rPr>
      </w:pPr>
    </w:p>
    <w:p>
      <w:pPr>
        <w:ind w:left="20" w:right="60"/>
        <w:spacing w:after="0" w:line="286" w:lineRule="auto"/>
        <w:rPr>
          <w:sz w:val="20"/>
          <w:szCs w:val="20"/>
          <w:color w:val="auto"/>
        </w:rPr>
      </w:pPr>
      <w:r>
        <w:rPr>
          <w:rFonts w:ascii="Arial" w:cs="Arial" w:eastAsia="Arial" w:hAnsi="Arial"/>
          <w:sz w:val="16"/>
          <w:szCs w:val="16"/>
          <w:b w:val="1"/>
          <w:bCs w:val="1"/>
          <w:color w:val="auto"/>
        </w:rPr>
        <w:t xml:space="preserve">New York, February 6, 2025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fourth quarter and full year ended December 31, 2024.</w:t>
      </w:r>
    </w:p>
    <w:p>
      <w:pPr>
        <w:sectPr>
          <w:pgSz w:w="11900" w:h="16838" w:orient="portrait"/>
          <w:cols w:equalWidth="0" w:num="1">
            <w:col w:w="10980"/>
          </w:cols>
          <w:pgMar w:left="320" w:top="274" w:right="599" w:bottom="1440" w:gutter="0" w:footer="0" w:header="0"/>
        </w:sectPr>
      </w:pPr>
    </w:p>
    <w:p>
      <w:pPr>
        <w:spacing w:after="0" w:line="61" w:lineRule="exact"/>
        <w:rPr>
          <w:sz w:val="20"/>
          <w:szCs w:val="20"/>
          <w:color w:val="auto"/>
        </w:rPr>
      </w:pPr>
    </w:p>
    <w:p>
      <w:pPr>
        <w:ind w:left="20" w:right="600"/>
        <w:spacing w:after="0" w:line="286" w:lineRule="auto"/>
        <w:rPr>
          <w:sz w:val="20"/>
          <w:szCs w:val="20"/>
          <w:color w:val="auto"/>
        </w:rPr>
      </w:pPr>
      <w:r>
        <w:rPr>
          <w:rFonts w:ascii="Arial" w:cs="Arial" w:eastAsia="Arial" w:hAnsi="Arial"/>
          <w:sz w:val="16"/>
          <w:szCs w:val="16"/>
          <w:b w:val="1"/>
          <w:bCs w:val="1"/>
          <w:color w:val="auto"/>
        </w:rPr>
        <w:t xml:space="preserve">$463.3 million </w:t>
      </w:r>
      <w:r>
        <w:rPr>
          <w:rFonts w:ascii="Arial" w:cs="Arial" w:eastAsia="Arial" w:hAnsi="Arial"/>
          <w:sz w:val="16"/>
          <w:szCs w:val="16"/>
          <w:color w:val="auto"/>
        </w:rPr>
        <w:t>quarterly revenues increased</w:t>
      </w:r>
      <w:r>
        <w:rPr>
          <w:rFonts w:ascii="Arial" w:cs="Arial" w:eastAsia="Arial" w:hAnsi="Arial"/>
          <w:sz w:val="16"/>
          <w:szCs w:val="16"/>
          <w:b w:val="1"/>
          <w:bCs w:val="1"/>
          <w:color w:val="auto"/>
        </w:rPr>
        <w:t xml:space="preserve"> 25.2% </w:t>
      </w:r>
      <w:r>
        <w:rPr>
          <w:rFonts w:ascii="Arial" w:cs="Arial" w:eastAsia="Arial" w:hAnsi="Arial"/>
          <w:sz w:val="16"/>
          <w:szCs w:val="16"/>
          <w:color w:val="auto"/>
        </w:rPr>
        <w:t>(</w:t>
      </w:r>
      <w:r>
        <w:rPr>
          <w:rFonts w:ascii="Arial" w:cs="Arial" w:eastAsia="Arial" w:hAnsi="Arial"/>
          <w:sz w:val="16"/>
          <w:szCs w:val="16"/>
          <w:b w:val="1"/>
          <w:bCs w:val="1"/>
          <w:color w:val="auto"/>
        </w:rPr>
        <w:t xml:space="preserve">25.5%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compared to prior year period</w:t>
      </w:r>
    </w:p>
    <w:p>
      <w:pPr>
        <w:spacing w:after="0" w:line="61" w:lineRule="exact"/>
        <w:rPr>
          <w:sz w:val="20"/>
          <w:szCs w:val="20"/>
          <w:color w:val="auto"/>
        </w:rPr>
      </w:pPr>
    </w:p>
    <w:p>
      <w:pPr>
        <w:ind w:left="20" w:right="100"/>
        <w:spacing w:after="0" w:line="265" w:lineRule="auto"/>
        <w:rPr>
          <w:sz w:val="20"/>
          <w:szCs w:val="20"/>
          <w:color w:val="auto"/>
        </w:rPr>
      </w:pPr>
      <w:r>
        <w:rPr>
          <w:rFonts w:ascii="Arial" w:cs="Arial" w:eastAsia="Arial" w:hAnsi="Arial"/>
          <w:sz w:val="16"/>
          <w:szCs w:val="16"/>
          <w:b w:val="1"/>
          <w:bCs w:val="1"/>
          <w:color w:val="auto"/>
        </w:rPr>
        <w:t xml:space="preserve">$2.3 trillion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36.7% </w:t>
      </w:r>
      <w:r>
        <w:rPr>
          <w:rFonts w:ascii="Arial" w:cs="Arial" w:eastAsia="Arial" w:hAnsi="Arial"/>
          <w:sz w:val="16"/>
          <w:szCs w:val="16"/>
          <w:color w:val="auto"/>
        </w:rPr>
        <w:t xml:space="preserve">compared to prior year period; quarterly ADV records in U.S. government bonds, mortgages and global repurchase agreements; record </w:t>
      </w:r>
      <w:r>
        <w:rPr>
          <w:rFonts w:ascii="Arial" w:cs="Arial" w:eastAsia="Arial" w:hAnsi="Arial"/>
          <w:sz w:val="16"/>
          <w:szCs w:val="16"/>
          <w:b w:val="1"/>
          <w:bCs w:val="1"/>
          <w:color w:val="auto"/>
        </w:rPr>
        <w:t>7.9%</w:t>
      </w:r>
      <w:r>
        <w:rPr>
          <w:rFonts w:ascii="Arial" w:cs="Arial" w:eastAsia="Arial" w:hAnsi="Arial"/>
          <w:sz w:val="16"/>
          <w:szCs w:val="16"/>
          <w:color w:val="auto"/>
        </w:rPr>
        <w:t xml:space="preserve"> share of fully electronic U.S. high yield TRACE</w:t>
      </w:r>
    </w:p>
    <w:p>
      <w:pPr>
        <w:spacing w:after="0" w:line="65" w:lineRule="exact"/>
        <w:rPr>
          <w:sz w:val="20"/>
          <w:szCs w:val="20"/>
          <w:color w:val="auto"/>
        </w:rPr>
      </w:pPr>
    </w:p>
    <w:p>
      <w:pPr>
        <w:ind w:left="20" w:right="560"/>
        <w:spacing w:after="0" w:line="314" w:lineRule="auto"/>
        <w:rPr>
          <w:sz w:val="20"/>
          <w:szCs w:val="20"/>
          <w:color w:val="auto"/>
        </w:rPr>
      </w:pPr>
      <w:r>
        <w:rPr>
          <w:rFonts w:ascii="Arial" w:cs="Arial" w:eastAsia="Arial" w:hAnsi="Arial"/>
          <w:sz w:val="16"/>
          <w:szCs w:val="16"/>
          <w:b w:val="1"/>
          <w:bCs w:val="1"/>
          <w:color w:val="auto"/>
        </w:rPr>
        <w:t xml:space="preserve">$159.9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$181.2 million </w:t>
      </w:r>
      <w:r>
        <w:rPr>
          <w:rFonts w:ascii="Arial" w:cs="Arial" w:eastAsia="Arial" w:hAnsi="Arial"/>
          <w:sz w:val="16"/>
          <w:szCs w:val="16"/>
          <w:color w:val="auto"/>
        </w:rPr>
        <w:t>adjusted net income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quarter, increases of </w:t>
      </w:r>
      <w:r>
        <w:rPr>
          <w:rFonts w:ascii="Arial" w:cs="Arial" w:eastAsia="Arial" w:hAnsi="Arial"/>
          <w:sz w:val="16"/>
          <w:szCs w:val="16"/>
          <w:b w:val="1"/>
          <w:bCs w:val="1"/>
          <w:color w:val="auto"/>
        </w:rPr>
        <w:t>54.2%</w:t>
      </w:r>
      <w:r>
        <w:rPr>
          <w:rFonts w:ascii="Arial" w:cs="Arial" w:eastAsia="Arial" w:hAnsi="Arial"/>
          <w:sz w:val="16"/>
          <w:szCs w:val="16"/>
          <w:color w:val="auto"/>
        </w:rPr>
        <w:t xml:space="preserve"> and </w:t>
      </w:r>
      <w:r>
        <w:rPr>
          <w:rFonts w:ascii="Arial" w:cs="Arial" w:eastAsia="Arial" w:hAnsi="Arial"/>
          <w:sz w:val="16"/>
          <w:szCs w:val="16"/>
          <w:b w:val="1"/>
          <w:bCs w:val="1"/>
          <w:color w:val="auto"/>
        </w:rPr>
        <w:t>19.2%</w:t>
      </w:r>
      <w:r>
        <w:rPr>
          <w:rFonts w:ascii="Arial" w:cs="Arial" w:eastAsia="Arial" w:hAnsi="Arial"/>
          <w:sz w:val="16"/>
          <w:szCs w:val="16"/>
          <w:color w:val="auto"/>
        </w:rPr>
        <w:t xml:space="preserve"> respectively from prior year period</w:t>
      </w:r>
    </w:p>
    <w:p>
      <w:pPr>
        <w:spacing w:after="0" w:line="18" w:lineRule="exact"/>
        <w:rPr>
          <w:sz w:val="20"/>
          <w:szCs w:val="20"/>
          <w:color w:val="auto"/>
        </w:rPr>
      </w:pPr>
    </w:p>
    <w:p>
      <w:pPr>
        <w:ind w:left="20" w:right="160"/>
        <w:spacing w:after="0" w:line="304" w:lineRule="auto"/>
        <w:rPr>
          <w:sz w:val="20"/>
          <w:szCs w:val="20"/>
          <w:color w:val="auto"/>
        </w:rPr>
      </w:pPr>
      <w:r>
        <w:rPr>
          <w:rFonts w:ascii="Arial" w:cs="Arial" w:eastAsia="Arial" w:hAnsi="Arial"/>
          <w:sz w:val="16"/>
          <w:szCs w:val="16"/>
          <w:b w:val="1"/>
          <w:bCs w:val="1"/>
          <w:color w:val="auto"/>
        </w:rPr>
        <w:t xml:space="preserve">52.8% </w:t>
      </w:r>
      <w:r>
        <w:rPr>
          <w:rFonts w:ascii="Arial" w:cs="Arial" w:eastAsia="Arial" w:hAnsi="Arial"/>
          <w:sz w:val="16"/>
          <w:szCs w:val="16"/>
          <w:color w:val="auto"/>
        </w:rPr>
        <w:t>adjusted EBITDA margin and</w:t>
      </w:r>
      <w:r>
        <w:rPr>
          <w:rFonts w:ascii="Arial" w:cs="Arial" w:eastAsia="Arial" w:hAnsi="Arial"/>
          <w:sz w:val="16"/>
          <w:szCs w:val="16"/>
          <w:b w:val="1"/>
          <w:bCs w:val="1"/>
          <w:color w:val="auto"/>
        </w:rPr>
        <w:t xml:space="preserve"> $244.7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53.0% and $195.9 million respectively for prior year period</w:t>
      </w:r>
    </w:p>
    <w:p>
      <w:pPr>
        <w:spacing w:after="0" w:line="33" w:lineRule="exact"/>
        <w:rPr>
          <w:sz w:val="20"/>
          <w:szCs w:val="20"/>
          <w:color w:val="auto"/>
        </w:rPr>
      </w:pPr>
    </w:p>
    <w:p>
      <w:pPr>
        <w:ind w:left="20" w:right="480"/>
        <w:spacing w:after="0" w:line="286" w:lineRule="auto"/>
        <w:rPr>
          <w:sz w:val="20"/>
          <w:szCs w:val="20"/>
          <w:color w:val="auto"/>
        </w:rPr>
      </w:pPr>
      <w:r>
        <w:rPr>
          <w:rFonts w:ascii="Arial" w:cs="Arial" w:eastAsia="Arial" w:hAnsi="Arial"/>
          <w:sz w:val="16"/>
          <w:szCs w:val="16"/>
          <w:b w:val="1"/>
          <w:bCs w:val="1"/>
          <w:color w:val="auto"/>
        </w:rPr>
        <w:t xml:space="preserve">$0.66 </w:t>
      </w:r>
      <w:r>
        <w:rPr>
          <w:rFonts w:ascii="Arial" w:cs="Arial" w:eastAsia="Arial" w:hAnsi="Arial"/>
          <w:sz w:val="16"/>
          <w:szCs w:val="16"/>
          <w:color w:val="auto"/>
        </w:rPr>
        <w:t>diluted earnings per share (“Diluted EPS”) and</w:t>
      </w:r>
      <w:r>
        <w:rPr>
          <w:rFonts w:ascii="Arial" w:cs="Arial" w:eastAsia="Arial" w:hAnsi="Arial"/>
          <w:sz w:val="16"/>
          <w:szCs w:val="16"/>
          <w:b w:val="1"/>
          <w:bCs w:val="1"/>
          <w:color w:val="auto"/>
        </w:rPr>
        <w:t xml:space="preserve"> $0.76 </w:t>
      </w:r>
      <w:r>
        <w:rPr>
          <w:rFonts w:ascii="Arial" w:cs="Arial" w:eastAsia="Arial" w:hAnsi="Arial"/>
          <w:sz w:val="16"/>
          <w:szCs w:val="16"/>
          <w:color w:val="auto"/>
        </w:rPr>
        <w:t>adjusted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per share for the quarter</w:t>
      </w:r>
    </w:p>
    <w:p>
      <w:pPr>
        <w:spacing w:after="0" w:line="61" w:lineRule="exact"/>
        <w:rPr>
          <w:sz w:val="20"/>
          <w:szCs w:val="20"/>
          <w:color w:val="auto"/>
        </w:rPr>
      </w:pPr>
    </w:p>
    <w:p>
      <w:pPr>
        <w:ind w:left="20" w:right="300"/>
        <w:spacing w:after="0" w:line="286" w:lineRule="auto"/>
        <w:rPr>
          <w:sz w:val="20"/>
          <w:szCs w:val="20"/>
          <w:color w:val="auto"/>
        </w:rPr>
      </w:pPr>
      <w:r>
        <w:rPr>
          <w:rFonts w:ascii="Arial" w:cs="Arial" w:eastAsia="Arial" w:hAnsi="Arial"/>
          <w:sz w:val="16"/>
          <w:szCs w:val="16"/>
          <w:b w:val="1"/>
          <w:bCs w:val="1"/>
          <w:color w:val="auto"/>
        </w:rPr>
        <w:t xml:space="preserve">$0.12 </w:t>
      </w:r>
      <w:r>
        <w:rPr>
          <w:rFonts w:ascii="Arial" w:cs="Arial" w:eastAsia="Arial" w:hAnsi="Arial"/>
          <w:sz w:val="16"/>
          <w:szCs w:val="16"/>
          <w:color w:val="auto"/>
        </w:rPr>
        <w:t>per share quarterly cash dividend declared, a</w:t>
      </w:r>
      <w:r>
        <w:rPr>
          <w:rFonts w:ascii="Arial" w:cs="Arial" w:eastAsia="Arial" w:hAnsi="Arial"/>
          <w:sz w:val="16"/>
          <w:szCs w:val="16"/>
          <w:b w:val="1"/>
          <w:bCs w:val="1"/>
          <w:color w:val="auto"/>
        </w:rPr>
        <w:t xml:space="preserve"> 20.0% </w:t>
      </w:r>
      <w:r>
        <w:rPr>
          <w:rFonts w:ascii="Arial" w:cs="Arial" w:eastAsia="Arial" w:hAnsi="Arial"/>
          <w:sz w:val="16"/>
          <w:szCs w:val="16"/>
          <w:color w:val="auto"/>
        </w:rPr>
        <w:t>per share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from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200" w:type="dxa"/>
            <w:vAlign w:val="bottom"/>
            <w:shd w:val="clear" w:color="auto" w:fill="083566"/>
          </w:tcPr>
          <w:p>
            <w:pPr>
              <w:spacing w:after="0"/>
              <w:rPr>
                <w:sz w:val="17"/>
                <w:szCs w:val="17"/>
                <w:color w:val="auto"/>
              </w:rPr>
            </w:pPr>
          </w:p>
        </w:tc>
        <w:tc>
          <w:tcPr>
            <w:tcW w:w="98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940" w:type="dxa"/>
            <w:vAlign w:val="bottom"/>
            <w:gridSpan w:val="2"/>
            <w:shd w:val="clear" w:color="auto" w:fill="083566"/>
          </w:tcPr>
          <w:p>
            <w:pPr>
              <w:jc w:val="center"/>
              <w:spacing w:after="0"/>
              <w:rPr>
                <w:sz w:val="20"/>
                <w:szCs w:val="20"/>
                <w:color w:val="auto"/>
              </w:rPr>
            </w:pPr>
            <w:r>
              <w:rPr>
                <w:rFonts w:ascii="Arial" w:cs="Arial" w:eastAsia="Arial" w:hAnsi="Arial"/>
                <w:sz w:val="16"/>
                <w:szCs w:val="16"/>
                <w:b w:val="1"/>
                <w:bCs w:val="1"/>
                <w:color w:val="FFFFFF"/>
              </w:rPr>
              <w:t>Constant</w:t>
            </w:r>
          </w:p>
        </w:tc>
        <w:tc>
          <w:tcPr>
            <w:tcW w:w="0" w:type="dxa"/>
            <w:vAlign w:val="bottom"/>
          </w:tcPr>
          <w:p>
            <w:pPr>
              <w:spacing w:after="0"/>
              <w:rPr>
                <w:sz w:val="1"/>
                <w:szCs w:val="1"/>
                <w:color w:val="auto"/>
              </w:rPr>
            </w:pPr>
          </w:p>
        </w:tc>
      </w:tr>
      <w:tr>
        <w:trPr>
          <w:trHeight w:val="189"/>
        </w:trPr>
        <w:tc>
          <w:tcPr>
            <w:tcW w:w="18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2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98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940" w:type="dxa"/>
            <w:vAlign w:val="bottom"/>
            <w:gridSpan w:val="2"/>
            <w:shd w:val="clear" w:color="auto" w:fill="083566"/>
          </w:tcPr>
          <w:p>
            <w:pPr>
              <w:jc w:val="center"/>
              <w:spacing w:after="0"/>
              <w:rPr>
                <w:sz w:val="20"/>
                <w:szCs w:val="20"/>
                <w:color w:val="auto"/>
              </w:rPr>
            </w:pPr>
            <w:r>
              <w:rPr>
                <w:rFonts w:ascii="Arial" w:cs="Arial" w:eastAsia="Arial" w:hAnsi="Arial"/>
                <w:sz w:val="16"/>
                <w:szCs w:val="16"/>
                <w:b w:val="1"/>
                <w:bCs w:val="1"/>
                <w:color w:val="FFFFFF"/>
                <w:w w:val="99"/>
              </w:rPr>
              <w:t>Currency</w:t>
            </w:r>
          </w:p>
        </w:tc>
        <w:tc>
          <w:tcPr>
            <w:tcW w:w="0" w:type="dxa"/>
            <w:vAlign w:val="bottom"/>
          </w:tcPr>
          <w:p>
            <w:pPr>
              <w:spacing w:after="0"/>
              <w:rPr>
                <w:sz w:val="1"/>
                <w:szCs w:val="1"/>
                <w:color w:val="auto"/>
              </w:rPr>
            </w:pPr>
          </w:p>
        </w:tc>
      </w:tr>
      <w:tr>
        <w:trPr>
          <w:trHeight w:val="256"/>
        </w:trPr>
        <w:tc>
          <w:tcPr>
            <w:tcW w:w="18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20" w:type="dxa"/>
            <w:vAlign w:val="bottom"/>
            <w:shd w:val="clear" w:color="auto" w:fill="083566"/>
          </w:tcPr>
          <w:p>
            <w:pPr>
              <w:spacing w:after="0"/>
              <w:rPr>
                <w:sz w:val="22"/>
                <w:szCs w:val="22"/>
                <w:color w:val="auto"/>
              </w:rPr>
            </w:pPr>
          </w:p>
        </w:tc>
        <w:tc>
          <w:tcPr>
            <w:tcW w:w="880" w:type="dxa"/>
            <w:vAlign w:val="bottom"/>
            <w:shd w:val="clear" w:color="auto" w:fill="083566"/>
          </w:tcPr>
          <w:p>
            <w:pPr>
              <w:jc w:val="right"/>
              <w:ind w:right="279"/>
              <w:spacing w:after="0"/>
              <w:rPr>
                <w:sz w:val="20"/>
                <w:szCs w:val="20"/>
                <w:color w:val="auto"/>
              </w:rPr>
            </w:pPr>
            <w:r>
              <w:rPr>
                <w:rFonts w:ascii="Arial" w:cs="Arial" w:eastAsia="Arial" w:hAnsi="Arial"/>
                <w:sz w:val="16"/>
                <w:szCs w:val="16"/>
                <w:b w:val="1"/>
                <w:bCs w:val="1"/>
                <w:color w:val="FFFFFF"/>
              </w:rPr>
              <w:t>4Q24</w:t>
            </w:r>
          </w:p>
        </w:tc>
        <w:tc>
          <w:tcPr>
            <w:tcW w:w="200" w:type="dxa"/>
            <w:vAlign w:val="bottom"/>
            <w:shd w:val="clear" w:color="auto" w:fill="083566"/>
          </w:tcPr>
          <w:p>
            <w:pPr>
              <w:spacing w:after="0"/>
              <w:rPr>
                <w:sz w:val="22"/>
                <w:szCs w:val="22"/>
                <w:color w:val="auto"/>
              </w:rPr>
            </w:pPr>
          </w:p>
        </w:tc>
        <w:tc>
          <w:tcPr>
            <w:tcW w:w="980" w:type="dxa"/>
            <w:vAlign w:val="bottom"/>
            <w:shd w:val="clear" w:color="auto" w:fill="083566"/>
          </w:tcPr>
          <w:p>
            <w:pPr>
              <w:jc w:val="right"/>
              <w:ind w:right="359"/>
              <w:spacing w:after="0"/>
              <w:rPr>
                <w:sz w:val="20"/>
                <w:szCs w:val="20"/>
                <w:color w:val="auto"/>
              </w:rPr>
            </w:pPr>
            <w:r>
              <w:rPr>
                <w:rFonts w:ascii="Arial" w:cs="Arial" w:eastAsia="Arial" w:hAnsi="Arial"/>
                <w:sz w:val="16"/>
                <w:szCs w:val="16"/>
                <w:b w:val="1"/>
                <w:bCs w:val="1"/>
                <w:color w:val="FFFFFF"/>
              </w:rPr>
              <w:t>4Q23</w:t>
            </w:r>
          </w:p>
        </w:tc>
        <w:tc>
          <w:tcPr>
            <w:tcW w:w="88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Change</w:t>
            </w:r>
          </w:p>
        </w:tc>
        <w:tc>
          <w:tcPr>
            <w:tcW w:w="940" w:type="dxa"/>
            <w:vAlign w:val="bottom"/>
            <w:gridSpan w:val="2"/>
            <w:shd w:val="clear" w:color="auto" w:fill="083566"/>
          </w:tcPr>
          <w:p>
            <w:pPr>
              <w:jc w:val="center"/>
              <w:spacing w:after="0"/>
              <w:rPr>
                <w:sz w:val="20"/>
                <w:szCs w:val="20"/>
                <w:color w:val="auto"/>
              </w:rPr>
            </w:pPr>
            <w:r>
              <w:rPr>
                <w:rFonts w:ascii="Arial" w:cs="Arial" w:eastAsia="Arial" w:hAnsi="Arial"/>
                <w:sz w:val="16"/>
                <w:szCs w:val="16"/>
                <w:b w:val="1"/>
                <w:bCs w:val="1"/>
                <w:color w:val="FFFFFF"/>
                <w:w w:val="97"/>
              </w:rPr>
              <w:t xml:space="preserve">Change </w:t>
            </w:r>
            <w:r>
              <w:rPr>
                <w:rFonts w:ascii="Arial" w:cs="Arial" w:eastAsia="Arial" w:hAnsi="Arial"/>
                <w:sz w:val="21"/>
                <w:szCs w:val="21"/>
                <w:b w:val="1"/>
                <w:bCs w:val="1"/>
                <w:color w:val="FFFFFF"/>
                <w:w w:val="97"/>
                <w:vertAlign w:val="superscript"/>
              </w:rPr>
              <w:t>(1)</w:t>
            </w:r>
          </w:p>
        </w:tc>
        <w:tc>
          <w:tcPr>
            <w:tcW w:w="0" w:type="dxa"/>
            <w:vAlign w:val="bottom"/>
          </w:tcPr>
          <w:p>
            <w:pPr>
              <w:spacing w:after="0"/>
              <w:rPr>
                <w:sz w:val="1"/>
                <w:szCs w:val="1"/>
                <w:color w:val="auto"/>
              </w:rPr>
            </w:pPr>
          </w:p>
        </w:tc>
      </w:tr>
      <w:tr>
        <w:trPr>
          <w:trHeight w:val="230"/>
        </w:trPr>
        <w:tc>
          <w:tcPr>
            <w:tcW w:w="496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60" w:type="dxa"/>
            <w:vAlign w:val="bottom"/>
            <w:shd w:val="clear" w:color="auto" w:fill="083566"/>
          </w:tcPr>
          <w:p>
            <w:pPr>
              <w:spacing w:after="0"/>
              <w:rPr>
                <w:sz w:val="20"/>
                <w:szCs w:val="20"/>
                <w:color w:val="auto"/>
              </w:rPr>
            </w:pPr>
          </w:p>
        </w:tc>
        <w:tc>
          <w:tcPr>
            <w:tcW w:w="380" w:type="dxa"/>
            <w:vAlign w:val="bottom"/>
            <w:shd w:val="clear" w:color="auto" w:fill="08356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8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980" w:type="dxa"/>
            <w:vAlign w:val="bottom"/>
            <w:shd w:val="clear" w:color="auto" w:fill="D5DCE4"/>
          </w:tcPr>
          <w:p>
            <w:pPr>
              <w:spacing w:after="0"/>
              <w:rPr>
                <w:sz w:val="21"/>
                <w:szCs w:val="21"/>
                <w:color w:val="auto"/>
              </w:rPr>
            </w:pPr>
          </w:p>
        </w:tc>
        <w:tc>
          <w:tcPr>
            <w:tcW w:w="8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8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463,344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370,000</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25.2 %</w:t>
            </w:r>
          </w:p>
        </w:tc>
        <w:tc>
          <w:tcPr>
            <w:tcW w:w="560" w:type="dxa"/>
            <w:vAlign w:val="bottom"/>
          </w:tcPr>
          <w:p>
            <w:pPr>
              <w:jc w:val="right"/>
              <w:spacing w:after="0"/>
              <w:rPr>
                <w:sz w:val="20"/>
                <w:szCs w:val="20"/>
                <w:color w:val="auto"/>
              </w:rPr>
            </w:pPr>
            <w:r>
              <w:rPr>
                <w:rFonts w:ascii="Arial" w:cs="Arial" w:eastAsia="Arial" w:hAnsi="Arial"/>
                <w:sz w:val="16"/>
                <w:szCs w:val="16"/>
                <w:color w:val="auto"/>
              </w:rPr>
              <w:t>25.5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Rates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240,192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191,743</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25.3 %</w:t>
            </w:r>
          </w:p>
        </w:tc>
        <w:tc>
          <w:tcPr>
            <w:tcW w:w="560" w:type="dxa"/>
            <w:vAlign w:val="bottom"/>
          </w:tcPr>
          <w:p>
            <w:pPr>
              <w:jc w:val="right"/>
              <w:spacing w:after="0"/>
              <w:rPr>
                <w:sz w:val="20"/>
                <w:szCs w:val="20"/>
                <w:color w:val="auto"/>
              </w:rPr>
            </w:pPr>
            <w:r>
              <w:rPr>
                <w:rFonts w:ascii="Arial" w:cs="Arial" w:eastAsia="Arial" w:hAnsi="Arial"/>
                <w:sz w:val="16"/>
                <w:szCs w:val="16"/>
                <w:color w:val="auto"/>
              </w:rPr>
              <w:t>25.8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800" w:type="dxa"/>
            <w:vAlign w:val="bottom"/>
          </w:tcPr>
          <w:p>
            <w:pPr>
              <w:ind w:left="140"/>
              <w:spacing w:after="0"/>
              <w:rPr>
                <w:sz w:val="20"/>
                <w:szCs w:val="20"/>
                <w:color w:val="auto"/>
              </w:rPr>
            </w:pPr>
            <w:r>
              <w:rPr>
                <w:rFonts w:ascii="Arial" w:cs="Arial" w:eastAsia="Arial" w:hAnsi="Arial"/>
                <w:sz w:val="16"/>
                <w:szCs w:val="16"/>
                <w:color w:val="auto"/>
              </w:rPr>
              <w:t>Credit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113,572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104,267</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8.9 %</w:t>
            </w:r>
          </w:p>
        </w:tc>
        <w:tc>
          <w:tcPr>
            <w:tcW w:w="560" w:type="dxa"/>
            <w:vAlign w:val="bottom"/>
          </w:tcPr>
          <w:p>
            <w:pPr>
              <w:jc w:val="right"/>
              <w:spacing w:after="0"/>
              <w:rPr>
                <w:sz w:val="20"/>
                <w:szCs w:val="20"/>
                <w:color w:val="auto"/>
              </w:rPr>
            </w:pPr>
            <w:r>
              <w:rPr>
                <w:rFonts w:ascii="Arial" w:cs="Arial" w:eastAsia="Arial" w:hAnsi="Arial"/>
                <w:sz w:val="16"/>
                <w:szCs w:val="16"/>
                <w:color w:val="auto"/>
              </w:rPr>
              <w:t>9.1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28,749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26,056</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10.3 %</w:t>
            </w:r>
          </w:p>
        </w:tc>
        <w:tc>
          <w:tcPr>
            <w:tcW w:w="560" w:type="dxa"/>
            <w:vAlign w:val="bottom"/>
          </w:tcPr>
          <w:p>
            <w:pPr>
              <w:jc w:val="right"/>
              <w:spacing w:after="0"/>
              <w:rPr>
                <w:sz w:val="20"/>
                <w:szCs w:val="20"/>
                <w:color w:val="auto"/>
              </w:rPr>
            </w:pPr>
            <w:r>
              <w:rPr>
                <w:rFonts w:ascii="Arial" w:cs="Arial" w:eastAsia="Arial" w:hAnsi="Arial"/>
                <w:sz w:val="16"/>
                <w:szCs w:val="16"/>
                <w:color w:val="auto"/>
              </w:rPr>
              <w:t>10.6</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44,258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16,606</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166.5 %</w:t>
            </w:r>
          </w:p>
        </w:tc>
        <w:tc>
          <w:tcPr>
            <w:tcW w:w="560" w:type="dxa"/>
            <w:vAlign w:val="bottom"/>
          </w:tcPr>
          <w:p>
            <w:pPr>
              <w:jc w:val="right"/>
              <w:spacing w:after="0"/>
              <w:rPr>
                <w:sz w:val="20"/>
                <w:szCs w:val="20"/>
                <w:color w:val="auto"/>
              </w:rPr>
            </w:pPr>
            <w:r>
              <w:rPr>
                <w:rFonts w:ascii="Arial" w:cs="Arial" w:eastAsia="Arial" w:hAnsi="Arial"/>
                <w:sz w:val="16"/>
                <w:szCs w:val="16"/>
                <w:color w:val="auto"/>
              </w:rPr>
              <w:t>165.5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80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30,011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25,908</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15.8 %</w:t>
            </w:r>
          </w:p>
        </w:tc>
        <w:tc>
          <w:tcPr>
            <w:tcW w:w="560" w:type="dxa"/>
            <w:vAlign w:val="bottom"/>
          </w:tcPr>
          <w:p>
            <w:pPr>
              <w:jc w:val="right"/>
              <w:spacing w:after="0"/>
              <w:rPr>
                <w:sz w:val="20"/>
                <w:szCs w:val="20"/>
                <w:color w:val="auto"/>
              </w:rPr>
            </w:pPr>
            <w:r>
              <w:rPr>
                <w:rFonts w:ascii="Arial" w:cs="Arial" w:eastAsia="Arial" w:hAnsi="Arial"/>
                <w:sz w:val="16"/>
                <w:szCs w:val="16"/>
                <w:color w:val="auto"/>
              </w:rPr>
              <w:t>15.9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6,562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5,420</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21.1 %</w:t>
            </w:r>
          </w:p>
        </w:tc>
        <w:tc>
          <w:tcPr>
            <w:tcW w:w="560" w:type="dxa"/>
            <w:vAlign w:val="bottom"/>
          </w:tcPr>
          <w:p>
            <w:pPr>
              <w:jc w:val="right"/>
              <w:spacing w:after="0"/>
              <w:rPr>
                <w:sz w:val="20"/>
                <w:szCs w:val="20"/>
                <w:color w:val="auto"/>
              </w:rPr>
            </w:pPr>
            <w:r>
              <w:rPr>
                <w:rFonts w:ascii="Arial" w:cs="Arial" w:eastAsia="Arial" w:hAnsi="Arial"/>
                <w:sz w:val="16"/>
                <w:szCs w:val="16"/>
                <w:color w:val="auto"/>
              </w:rPr>
              <w:t>21.0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159,942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103,741</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54.2 %</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80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20"/>
              <w:spacing w:after="0"/>
              <w:rPr>
                <w:sz w:val="20"/>
                <w:szCs w:val="20"/>
                <w:color w:val="auto"/>
              </w:rPr>
            </w:pPr>
            <w:r>
              <w:rPr>
                <w:rFonts w:ascii="Arial" w:cs="Arial" w:eastAsia="Arial" w:hAnsi="Arial"/>
                <w:sz w:val="16"/>
                <w:szCs w:val="16"/>
                <w:color w:val="auto"/>
              </w:rPr>
              <w:t>to Tradeweb Markets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142,210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89,314</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59.2 %</w:t>
            </w: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80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0.66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0.42</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57.1 %</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800" w:type="dxa"/>
            <w:vAlign w:val="bottom"/>
          </w:tcPr>
          <w:p>
            <w:pPr>
              <w:ind w:left="20"/>
              <w:spacing w:after="0"/>
              <w:rPr>
                <w:sz w:val="20"/>
                <w:szCs w:val="20"/>
                <w:color w:val="auto"/>
              </w:rPr>
            </w:pPr>
            <w:r>
              <w:rPr>
                <w:rFonts w:ascii="Arial" w:cs="Arial" w:eastAsia="Arial" w:hAnsi="Arial"/>
                <w:sz w:val="16"/>
                <w:szCs w:val="16"/>
                <w:color w:val="auto"/>
              </w:rPr>
              <w:t>Net income margin</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34.5 %</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28.0 %</w:t>
            </w:r>
          </w:p>
        </w:tc>
        <w:tc>
          <w:tcPr>
            <w:tcW w:w="880" w:type="dxa"/>
            <w:vAlign w:val="bottom"/>
          </w:tcPr>
          <w:p>
            <w:pPr>
              <w:jc w:val="right"/>
              <w:spacing w:after="0"/>
              <w:rPr>
                <w:sz w:val="20"/>
                <w:szCs w:val="20"/>
                <w:color w:val="auto"/>
              </w:rPr>
            </w:pPr>
            <w:r>
              <w:rPr>
                <w:rFonts w:ascii="Arial" w:cs="Arial" w:eastAsia="Arial" w:hAnsi="Arial"/>
                <w:sz w:val="16"/>
                <w:szCs w:val="16"/>
                <w:color w:val="auto"/>
              </w:rPr>
              <w:t>+648 bps</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90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Non-GAAP Financial Measures</w:t>
            </w:r>
          </w:p>
        </w:tc>
        <w:tc>
          <w:tcPr>
            <w:tcW w:w="200" w:type="dxa"/>
            <w:vAlign w:val="bottom"/>
            <w:shd w:val="clear" w:color="auto" w:fill="D5DCE4"/>
          </w:tcPr>
          <w:p>
            <w:pPr>
              <w:spacing w:after="0"/>
              <w:rPr>
                <w:sz w:val="21"/>
                <w:szCs w:val="21"/>
                <w:color w:val="auto"/>
              </w:rPr>
            </w:pPr>
          </w:p>
        </w:tc>
        <w:tc>
          <w:tcPr>
            <w:tcW w:w="980" w:type="dxa"/>
            <w:vAlign w:val="bottom"/>
            <w:shd w:val="clear" w:color="auto" w:fill="D5DCE4"/>
          </w:tcPr>
          <w:p>
            <w:pPr>
              <w:spacing w:after="0"/>
              <w:rPr>
                <w:sz w:val="21"/>
                <w:szCs w:val="21"/>
                <w:color w:val="auto"/>
              </w:rPr>
            </w:pPr>
          </w:p>
        </w:tc>
        <w:tc>
          <w:tcPr>
            <w:tcW w:w="8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244,743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195,943</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24.9 %</w:t>
            </w:r>
          </w:p>
        </w:tc>
        <w:tc>
          <w:tcPr>
            <w:tcW w:w="560" w:type="dxa"/>
            <w:vAlign w:val="bottom"/>
          </w:tcPr>
          <w:p>
            <w:pPr>
              <w:jc w:val="right"/>
              <w:spacing w:after="0"/>
              <w:rPr>
                <w:sz w:val="20"/>
                <w:szCs w:val="20"/>
                <w:color w:val="auto"/>
              </w:rPr>
            </w:pPr>
            <w:r>
              <w:rPr>
                <w:rFonts w:ascii="Arial" w:cs="Arial" w:eastAsia="Arial" w:hAnsi="Arial"/>
                <w:sz w:val="16"/>
                <w:szCs w:val="16"/>
                <w:color w:val="auto"/>
              </w:rPr>
              <w:t>25.0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8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52.8 %</w:t>
            </w: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53.0 %</w:t>
            </w:r>
          </w:p>
        </w:tc>
        <w:tc>
          <w:tcPr>
            <w:tcW w:w="880" w:type="dxa"/>
            <w:vAlign w:val="bottom"/>
          </w:tcPr>
          <w:p>
            <w:pPr>
              <w:jc w:val="right"/>
              <w:spacing w:after="0"/>
              <w:rPr>
                <w:sz w:val="20"/>
                <w:szCs w:val="20"/>
                <w:color w:val="auto"/>
              </w:rPr>
            </w:pPr>
            <w:r>
              <w:rPr>
                <w:rFonts w:ascii="Arial" w:cs="Arial" w:eastAsia="Arial" w:hAnsi="Arial"/>
                <w:sz w:val="16"/>
                <w:szCs w:val="16"/>
                <w:color w:val="auto"/>
              </w:rPr>
              <w:t>-14 bps</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 bps</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227,347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180,957</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25.6 %</w:t>
            </w:r>
          </w:p>
        </w:tc>
        <w:tc>
          <w:tcPr>
            <w:tcW w:w="560" w:type="dxa"/>
            <w:vAlign w:val="bottom"/>
          </w:tcPr>
          <w:p>
            <w:pPr>
              <w:jc w:val="right"/>
              <w:spacing w:after="0"/>
              <w:rPr>
                <w:sz w:val="20"/>
                <w:szCs w:val="20"/>
                <w:color w:val="auto"/>
              </w:rPr>
            </w:pPr>
            <w:r>
              <w:rPr>
                <w:rFonts w:ascii="Arial" w:cs="Arial" w:eastAsia="Arial" w:hAnsi="Arial"/>
                <w:sz w:val="16"/>
                <w:szCs w:val="16"/>
                <w:color w:val="auto"/>
              </w:rPr>
              <w:t>25.8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w w:val="99"/>
              </w:rPr>
              <w:t xml:space="preserve">Adjusted EBIT margin </w:t>
            </w:r>
            <w:r>
              <w:rPr>
                <w:rFonts w:ascii="Arial" w:cs="Arial" w:eastAsia="Arial" w:hAnsi="Arial"/>
                <w:sz w:val="21"/>
                <w:szCs w:val="21"/>
                <w:color w:val="auto"/>
                <w:w w:val="99"/>
                <w:vertAlign w:val="superscript"/>
              </w:rPr>
              <w:t>(1)</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49.1 %</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48.9 %</w:t>
            </w:r>
          </w:p>
        </w:tc>
        <w:tc>
          <w:tcPr>
            <w:tcW w:w="880" w:type="dxa"/>
            <w:vAlign w:val="bottom"/>
          </w:tcPr>
          <w:p>
            <w:pPr>
              <w:jc w:val="right"/>
              <w:spacing w:after="0"/>
              <w:rPr>
                <w:sz w:val="20"/>
                <w:szCs w:val="20"/>
                <w:color w:val="auto"/>
              </w:rPr>
            </w:pPr>
            <w:r>
              <w:rPr>
                <w:rFonts w:ascii="Arial" w:cs="Arial" w:eastAsia="Arial" w:hAnsi="Arial"/>
                <w:sz w:val="16"/>
                <w:szCs w:val="16"/>
                <w:color w:val="auto"/>
              </w:rPr>
              <w:t>+16 bps</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 bps</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181,183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151,937</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19.2 %</w:t>
            </w:r>
          </w:p>
        </w:tc>
        <w:tc>
          <w:tcPr>
            <w:tcW w:w="560" w:type="dxa"/>
            <w:vAlign w:val="bottom"/>
          </w:tcPr>
          <w:p>
            <w:pPr>
              <w:jc w:val="right"/>
              <w:spacing w:after="0"/>
              <w:rPr>
                <w:sz w:val="20"/>
                <w:szCs w:val="20"/>
                <w:color w:val="auto"/>
              </w:rPr>
            </w:pPr>
            <w:r>
              <w:rPr>
                <w:rFonts w:ascii="Arial" w:cs="Arial" w:eastAsia="Arial" w:hAnsi="Arial"/>
                <w:sz w:val="16"/>
                <w:szCs w:val="16"/>
                <w:color w:val="auto"/>
              </w:rPr>
              <w:t>19.4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800" w:type="dxa"/>
            <w:vAlign w:val="bottom"/>
          </w:tcPr>
          <w:p>
            <w:pPr>
              <w:ind w:left="20"/>
              <w:spacing w:after="0" w:line="163" w:lineRule="exact"/>
              <w:rPr>
                <w:sz w:val="20"/>
                <w:szCs w:val="20"/>
                <w:color w:val="auto"/>
              </w:rPr>
            </w:pPr>
            <w:r>
              <w:rPr>
                <w:rFonts w:ascii="Arial" w:cs="Arial" w:eastAsia="Arial" w:hAnsi="Arial"/>
                <w:sz w:val="16"/>
                <w:szCs w:val="16"/>
                <w:color w:val="auto"/>
              </w:rPr>
              <w:t>Adjusted Diluted EPS</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0.76</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219"/>
              <w:spacing w:after="0"/>
              <w:rPr>
                <w:sz w:val="20"/>
                <w:szCs w:val="20"/>
                <w:color w:val="auto"/>
              </w:rPr>
            </w:pPr>
            <w:r>
              <w:rPr>
                <w:rFonts w:ascii="Arial" w:cs="Arial" w:eastAsia="Arial" w:hAnsi="Arial"/>
                <w:sz w:val="16"/>
                <w:szCs w:val="16"/>
                <w:color w:val="auto"/>
              </w:rPr>
              <w:t>0.64</w:t>
            </w: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18.8 %</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18.8</w:t>
            </w:r>
          </w:p>
        </w:tc>
        <w:tc>
          <w:tcPr>
            <w:tcW w:w="38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800" w:type="dxa"/>
            <w:vAlign w:val="bottom"/>
          </w:tcPr>
          <w:p>
            <w:pPr>
              <w:ind w:left="20"/>
              <w:spacing w:after="0"/>
              <w:rPr>
                <w:sz w:val="20"/>
                <w:szCs w:val="20"/>
                <w:color w:val="auto"/>
              </w:rPr>
            </w:pPr>
            <w:r>
              <w:rPr>
                <w:rFonts w:ascii="Arial" w:cs="Arial" w:eastAsia="Arial" w:hAnsi="Arial"/>
                <w:sz w:val="11"/>
                <w:szCs w:val="11"/>
                <w:color w:val="auto"/>
              </w:rPr>
              <w:t>(1)</w:t>
            </w:r>
          </w:p>
        </w:tc>
        <w:tc>
          <w:tcPr>
            <w:tcW w:w="2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8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Billy Hult, CEO of 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3103245" cy="2966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03245" cy="2966085"/>
                    </a:xfrm>
                    <a:prstGeom prst="rect">
                      <a:avLst/>
                    </a:prstGeom>
                    <a:noFill/>
                  </pic:spPr>
                </pic:pic>
              </a:graphicData>
            </a:graphic>
          </wp:anchor>
        </w:drawing>
      </w:r>
    </w:p>
    <w:p>
      <w:pPr>
        <w:spacing w:after="0" w:line="90" w:lineRule="exact"/>
        <w:rPr>
          <w:sz w:val="20"/>
          <w:szCs w:val="20"/>
          <w:color w:val="auto"/>
        </w:rPr>
      </w:pPr>
    </w:p>
    <w:p>
      <w:pPr>
        <w:ind w:left="20"/>
        <w:spacing w:after="0"/>
        <w:rPr>
          <w:sz w:val="20"/>
          <w:szCs w:val="20"/>
          <w:color w:val="auto"/>
        </w:rPr>
      </w:pPr>
      <w:r>
        <w:rPr>
          <w:rFonts w:ascii="Arial" w:cs="Arial" w:eastAsia="Arial" w:hAnsi="Arial"/>
          <w:sz w:val="15"/>
          <w:szCs w:val="15"/>
          <w:color w:val="auto"/>
        </w:rPr>
        <w:t>"2024 was a banner year for Tradeweb, marking our 25th</w:t>
      </w:r>
    </w:p>
    <w:p>
      <w:pPr>
        <w:spacing w:after="0" w:line="17" w:lineRule="exact"/>
        <w:rPr>
          <w:sz w:val="20"/>
          <w:szCs w:val="20"/>
          <w:color w:val="auto"/>
        </w:rPr>
      </w:pPr>
    </w:p>
    <w:p>
      <w:pPr>
        <w:jc w:val="both"/>
        <w:ind w:left="20" w:right="620"/>
        <w:spacing w:after="0" w:line="234" w:lineRule="auto"/>
        <w:rPr>
          <w:sz w:val="20"/>
          <w:szCs w:val="20"/>
          <w:color w:val="auto"/>
        </w:rPr>
      </w:pPr>
      <w:r>
        <w:rPr>
          <w:rFonts w:ascii="Arial" w:cs="Arial" w:eastAsia="Arial" w:hAnsi="Arial"/>
          <w:sz w:val="15"/>
          <w:szCs w:val="15"/>
          <w:color w:val="auto"/>
        </w:rPr>
        <w:t>consecutive year of record annual revenues. This achievement reflects our commitment to growing our geographical footprint,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entering new markets and client channels through organic and</w:t>
      </w:r>
    </w:p>
    <w:p>
      <w:pPr>
        <w:spacing w:after="0" w:line="3" w:lineRule="exact"/>
        <w:rPr>
          <w:sz w:val="20"/>
          <w:szCs w:val="20"/>
          <w:color w:val="auto"/>
        </w:rPr>
      </w:pPr>
    </w:p>
    <w:p>
      <w:pPr>
        <w:ind w:left="20" w:right="440"/>
        <w:spacing w:after="0" w:line="234" w:lineRule="auto"/>
        <w:rPr>
          <w:sz w:val="20"/>
          <w:szCs w:val="20"/>
          <w:color w:val="auto"/>
        </w:rPr>
      </w:pPr>
      <w:r>
        <w:rPr>
          <w:rFonts w:ascii="Arial" w:cs="Arial" w:eastAsia="Arial" w:hAnsi="Arial"/>
          <w:sz w:val="15"/>
          <w:szCs w:val="15"/>
          <w:color w:val="auto"/>
        </w:rPr>
        <w:t>inorganic collaborations, and consistently delivering value to our clients. The year culminated with a strong fourth quarter, driven 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part by a favorable market environment that created additional</w:t>
      </w:r>
    </w:p>
    <w:p>
      <w:pPr>
        <w:spacing w:after="0" w:line="3" w:lineRule="exact"/>
        <w:rPr>
          <w:sz w:val="20"/>
          <w:szCs w:val="20"/>
          <w:color w:val="auto"/>
        </w:rPr>
      </w:pPr>
    </w:p>
    <w:p>
      <w:pPr>
        <w:ind w:left="20" w:right="580"/>
        <w:spacing w:after="0" w:line="234" w:lineRule="auto"/>
        <w:rPr>
          <w:sz w:val="20"/>
          <w:szCs w:val="20"/>
          <w:color w:val="auto"/>
        </w:rPr>
      </w:pPr>
      <w:r>
        <w:rPr>
          <w:rFonts w:ascii="Arial" w:cs="Arial" w:eastAsia="Arial" w:hAnsi="Arial"/>
          <w:sz w:val="15"/>
          <w:szCs w:val="15"/>
          <w:color w:val="auto"/>
        </w:rPr>
        <w:t>tailwinds for our global business. Our strong performance in the fourth quarter was highlighted by ADV records across money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markets and rates, as well as record share of fully electronic U.S.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5"/>
          <w:szCs w:val="15"/>
          <w:color w:val="auto"/>
        </w:rPr>
        <w:t>high yield TRACE.</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5"/>
          <w:szCs w:val="15"/>
          <w:color w:val="auto"/>
        </w:rPr>
        <w:t>We forged key partnerships in the fourth quarter, becoming the first</w:t>
      </w:r>
    </w:p>
    <w:p>
      <w:pPr>
        <w:spacing w:after="0" w:line="17" w:lineRule="exact"/>
        <w:rPr>
          <w:sz w:val="20"/>
          <w:szCs w:val="20"/>
          <w:color w:val="auto"/>
        </w:rPr>
      </w:pPr>
    </w:p>
    <w:p>
      <w:pPr>
        <w:ind w:left="20" w:right="120"/>
        <w:spacing w:after="0" w:line="231" w:lineRule="auto"/>
        <w:rPr>
          <w:sz w:val="20"/>
          <w:szCs w:val="20"/>
          <w:color w:val="auto"/>
        </w:rPr>
      </w:pPr>
      <w:r>
        <w:rPr>
          <w:rFonts w:ascii="Arial" w:cs="Arial" w:eastAsia="Arial" w:hAnsi="Arial"/>
          <w:sz w:val="15"/>
          <w:szCs w:val="15"/>
          <w:color w:val="auto"/>
        </w:rPr>
        <w:t>strategic partner to Goldman Sachs for its GS DAP technology platform, and collaborating with the Tokyo Stock Exchange to provide institutional investors with better access to liquidity in Japanese ETFs. What’s more, we celebrated major milestones, such as the 10-year anniversary of our U.S. Credit platform and five years since the launch of portfolio trading in European Credit.</w:t>
      </w:r>
    </w:p>
    <w:p>
      <w:pPr>
        <w:spacing w:after="0" w:line="205" w:lineRule="exact"/>
        <w:rPr>
          <w:sz w:val="20"/>
          <w:szCs w:val="20"/>
          <w:color w:val="auto"/>
        </w:rPr>
      </w:pPr>
    </w:p>
    <w:p>
      <w:pPr>
        <w:ind w:left="20" w:right="120"/>
        <w:spacing w:after="0" w:line="244" w:lineRule="auto"/>
        <w:rPr>
          <w:sz w:val="20"/>
          <w:szCs w:val="20"/>
          <w:color w:val="auto"/>
        </w:rPr>
      </w:pPr>
      <w:r>
        <w:rPr>
          <w:rFonts w:ascii="Arial" w:cs="Arial" w:eastAsia="Arial" w:hAnsi="Arial"/>
          <w:sz w:val="15"/>
          <w:szCs w:val="15"/>
          <w:color w:val="auto"/>
        </w:rPr>
        <w:t>We also continued to strengthen our global reach, appointing Enrico Bruni and Troy Dixon as Co-Heads of Global Markets in newly created</w:t>
      </w:r>
    </w:p>
    <w:p>
      <w:pPr>
        <w:spacing w:after="0" w:line="1" w:lineRule="exact"/>
        <w:rPr>
          <w:sz w:val="20"/>
          <w:szCs w:val="20"/>
          <w:color w:val="auto"/>
        </w:rPr>
      </w:pPr>
    </w:p>
    <w:p>
      <w:pPr>
        <w:ind w:left="20" w:right="160"/>
        <w:spacing w:after="0" w:line="236" w:lineRule="auto"/>
        <w:rPr>
          <w:sz w:val="20"/>
          <w:szCs w:val="20"/>
          <w:color w:val="auto"/>
        </w:rPr>
      </w:pPr>
      <w:r>
        <w:rPr>
          <w:rFonts w:ascii="Arial" w:cs="Arial" w:eastAsia="Arial" w:hAnsi="Arial"/>
          <w:sz w:val="15"/>
          <w:szCs w:val="15"/>
          <w:color w:val="auto"/>
        </w:rPr>
        <w:t>leadership roles. As we close this remarkable year, I am energized by the opportunities ahead and look forward to collaborating with our clients to reach new heights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3103245"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03245" cy="557530"/>
                    </a:xfrm>
                    <a:prstGeom prst="rect">
                      <a:avLst/>
                    </a:prstGeom>
                    <a:noFill/>
                  </pic:spPr>
                </pic:pic>
              </a:graphicData>
            </a:graphic>
          </wp:anchor>
        </w:drawing>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(Unaudited)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80" w:type="dxa"/>
            <w:vAlign w:val="bottom"/>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tcPr>
          <w:p>
            <w:pPr>
              <w:ind w:left="20"/>
              <w:spacing w:after="0"/>
              <w:rPr>
                <w:sz w:val="20"/>
                <w:szCs w:val="20"/>
                <w:color w:val="auto"/>
              </w:rPr>
            </w:pPr>
            <w:r>
              <w:rPr>
                <w:rFonts w:ascii="Arial" w:cs="Arial" w:eastAsia="Arial" w:hAnsi="Arial"/>
                <w:sz w:val="16"/>
                <w:szCs w:val="16"/>
                <w:b w:val="1"/>
                <w:bCs w:val="1"/>
                <w:color w:val="FFFFFF"/>
              </w:rPr>
              <w:t>Product</w:t>
            </w:r>
          </w:p>
        </w:tc>
        <w:tc>
          <w:tcPr>
            <w:tcW w:w="160" w:type="dxa"/>
            <w:vAlign w:val="bottom"/>
          </w:tcPr>
          <w:p>
            <w:pPr>
              <w:spacing w:after="0"/>
              <w:rPr>
                <w:sz w:val="19"/>
                <w:szCs w:val="19"/>
                <w:color w:val="auto"/>
              </w:rPr>
            </w:pPr>
          </w:p>
        </w:tc>
        <w:tc>
          <w:tcPr>
            <w:tcW w:w="620" w:type="dxa"/>
            <w:vAlign w:val="bottom"/>
          </w:tcPr>
          <w:p>
            <w:pPr>
              <w:jc w:val="right"/>
              <w:ind w:right="99"/>
              <w:spacing w:after="0"/>
              <w:rPr>
                <w:sz w:val="20"/>
                <w:szCs w:val="20"/>
                <w:color w:val="auto"/>
              </w:rPr>
            </w:pPr>
            <w:r>
              <w:rPr>
                <w:rFonts w:ascii="Arial" w:cs="Arial" w:eastAsia="Arial" w:hAnsi="Arial"/>
                <w:sz w:val="16"/>
                <w:szCs w:val="16"/>
                <w:b w:val="1"/>
                <w:bCs w:val="1"/>
                <w:color w:val="FFFFFF"/>
              </w:rPr>
              <w:t>4Q24</w:t>
            </w:r>
          </w:p>
        </w:tc>
        <w:tc>
          <w:tcPr>
            <w:tcW w:w="200" w:type="dxa"/>
            <w:vAlign w:val="bottom"/>
          </w:tcPr>
          <w:p>
            <w:pPr>
              <w:spacing w:after="0"/>
              <w:rPr>
                <w:sz w:val="19"/>
                <w:szCs w:val="19"/>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FFFFFF"/>
              </w:rPr>
              <w:t>4Q23</w:t>
            </w: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FFFFFF"/>
              </w:rPr>
              <w:t>YoY</w:t>
            </w:r>
          </w:p>
        </w:tc>
      </w:tr>
      <w:tr>
        <w:trPr>
          <w:trHeight w:val="235"/>
        </w:trPr>
        <w:tc>
          <w:tcPr>
            <w:tcW w:w="118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509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398</w:t>
            </w:r>
          </w:p>
        </w:tc>
        <w:tc>
          <w:tcPr>
            <w:tcW w:w="920" w:type="dxa"/>
            <w:vAlign w:val="bottom"/>
          </w:tcPr>
          <w:p>
            <w:pPr>
              <w:jc w:val="right"/>
              <w:spacing w:after="0"/>
              <w:rPr>
                <w:sz w:val="20"/>
                <w:szCs w:val="20"/>
                <w:color w:val="auto"/>
              </w:rPr>
            </w:pPr>
            <w:r>
              <w:rPr>
                <w:rFonts w:ascii="Arial" w:cs="Arial" w:eastAsia="Arial" w:hAnsi="Arial"/>
                <w:sz w:val="16"/>
                <w:szCs w:val="16"/>
                <w:color w:val="auto"/>
              </w:rPr>
              <w:t>27.9 %</w:t>
            </w:r>
          </w:p>
        </w:tc>
      </w:tr>
      <w:tr>
        <w:trPr>
          <w:trHeight w:val="251"/>
        </w:trPr>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744</w:t>
            </w:r>
          </w:p>
        </w:tc>
        <w:tc>
          <w:tcPr>
            <w:tcW w:w="200" w:type="dxa"/>
            <w:vAlign w:val="bottom"/>
          </w:tcPr>
          <w:p>
            <w:pPr>
              <w:spacing w:after="0"/>
              <w:rPr>
                <w:sz w:val="21"/>
                <w:szCs w:val="21"/>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690</w:t>
            </w:r>
          </w:p>
        </w:tc>
        <w:tc>
          <w:tcPr>
            <w:tcW w:w="920" w:type="dxa"/>
            <w:vAlign w:val="bottom"/>
          </w:tcPr>
          <w:p>
            <w:pPr>
              <w:jc w:val="right"/>
              <w:spacing w:after="0"/>
              <w:rPr>
                <w:sz w:val="20"/>
                <w:szCs w:val="20"/>
                <w:color w:val="auto"/>
              </w:rPr>
            </w:pPr>
            <w:r>
              <w:rPr>
                <w:rFonts w:ascii="Arial" w:cs="Arial" w:eastAsia="Arial" w:hAnsi="Arial"/>
                <w:sz w:val="16"/>
                <w:szCs w:val="16"/>
                <w:color w:val="auto"/>
              </w:rPr>
              <w:t>7.9 %</w:t>
            </w:r>
          </w:p>
        </w:tc>
      </w:tr>
      <w:tr>
        <w:trPr>
          <w:trHeight w:val="244"/>
        </w:trPr>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tcPr>
          <w:p>
            <w:pPr>
              <w:spacing w:after="0"/>
              <w:rPr>
                <w:sz w:val="21"/>
                <w:szCs w:val="21"/>
                <w:color w:val="auto"/>
              </w:rPr>
            </w:pPr>
          </w:p>
        </w:tc>
        <w:tc>
          <w:tcPr>
            <w:tcW w:w="62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1,253</w:t>
            </w:r>
          </w:p>
        </w:tc>
        <w:tc>
          <w:tcPr>
            <w:tcW w:w="200" w:type="dxa"/>
            <w:vAlign w:val="bottom"/>
            <w:tcBorders>
              <w:bottom w:val="single" w:sz="8" w:color="083566"/>
            </w:tcBorders>
          </w:tcPr>
          <w:p>
            <w:pPr>
              <w:spacing w:after="0"/>
              <w:rPr>
                <w:sz w:val="21"/>
                <w:szCs w:val="21"/>
                <w:color w:val="auto"/>
              </w:rPr>
            </w:pPr>
          </w:p>
        </w:tc>
        <w:tc>
          <w:tcPr>
            <w:tcW w:w="800" w:type="dxa"/>
            <w:vAlign w:val="bottom"/>
            <w:tcBorders>
              <w:bottom w:val="single" w:sz="8" w:color="083566"/>
            </w:tcBorders>
          </w:tcPr>
          <w:p>
            <w:pPr>
              <w:jc w:val="right"/>
              <w:ind w:right="139"/>
              <w:spacing w:after="0"/>
              <w:rPr>
                <w:sz w:val="20"/>
                <w:szCs w:val="20"/>
                <w:color w:val="auto"/>
              </w:rPr>
            </w:pPr>
            <w:r>
              <w:rPr>
                <w:rFonts w:ascii="Arial" w:cs="Arial" w:eastAsia="Arial" w:hAnsi="Arial"/>
                <w:sz w:val="16"/>
                <w:szCs w:val="16"/>
                <w:color w:val="auto"/>
              </w:rPr>
              <w:t>1,087</w:t>
            </w:r>
          </w:p>
        </w:tc>
        <w:tc>
          <w:tcPr>
            <w:tcW w:w="92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15.2 %</w:t>
            </w:r>
          </w:p>
        </w:tc>
      </w:tr>
      <w:tr>
        <w:trPr>
          <w:trHeight w:val="228"/>
        </w:trPr>
        <w:tc>
          <w:tcPr>
            <w:tcW w:w="118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9"/>
                <w:szCs w:val="19"/>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92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251"/>
        </w:trPr>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1"/>
                <w:szCs w:val="21"/>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920" w:type="dxa"/>
            <w:vAlign w:val="bottom"/>
          </w:tcPr>
          <w:p>
            <w:pPr>
              <w:jc w:val="right"/>
              <w:spacing w:after="0"/>
              <w:rPr>
                <w:sz w:val="20"/>
                <w:szCs w:val="20"/>
                <w:color w:val="auto"/>
              </w:rPr>
            </w:pPr>
            <w:r>
              <w:rPr>
                <w:rFonts w:ascii="Arial" w:cs="Arial" w:eastAsia="Arial" w:hAnsi="Arial"/>
                <w:sz w:val="16"/>
                <w:szCs w:val="16"/>
                <w:color w:val="auto"/>
              </w:rPr>
              <w:t>27.9 %</w:t>
            </w:r>
          </w:p>
        </w:tc>
      </w:tr>
      <w:tr>
        <w:trPr>
          <w:trHeight w:val="244"/>
        </w:trPr>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tcPr>
          <w:p>
            <w:pPr>
              <w:spacing w:after="0"/>
              <w:rPr>
                <w:sz w:val="21"/>
                <w:szCs w:val="21"/>
                <w:color w:val="auto"/>
              </w:rPr>
            </w:pPr>
          </w:p>
        </w:tc>
        <w:tc>
          <w:tcPr>
            <w:tcW w:w="62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27</w:t>
            </w:r>
          </w:p>
        </w:tc>
        <w:tc>
          <w:tcPr>
            <w:tcW w:w="200" w:type="dxa"/>
            <w:vAlign w:val="bottom"/>
            <w:tcBorders>
              <w:bottom w:val="single" w:sz="8" w:color="083566"/>
            </w:tcBorders>
          </w:tcPr>
          <w:p>
            <w:pPr>
              <w:spacing w:after="0"/>
              <w:rPr>
                <w:sz w:val="21"/>
                <w:szCs w:val="21"/>
                <w:color w:val="auto"/>
              </w:rPr>
            </w:pPr>
          </w:p>
        </w:tc>
        <w:tc>
          <w:tcPr>
            <w:tcW w:w="800" w:type="dxa"/>
            <w:vAlign w:val="bottom"/>
            <w:tcBorders>
              <w:bottom w:val="single" w:sz="8" w:color="083566"/>
            </w:tcBorders>
          </w:tcPr>
          <w:p>
            <w:pPr>
              <w:jc w:val="right"/>
              <w:ind w:right="139"/>
              <w:spacing w:after="0"/>
              <w:rPr>
                <w:sz w:val="20"/>
                <w:szCs w:val="20"/>
                <w:color w:val="auto"/>
              </w:rPr>
            </w:pPr>
            <w:r>
              <w:rPr>
                <w:rFonts w:ascii="Arial" w:cs="Arial" w:eastAsia="Arial" w:hAnsi="Arial"/>
                <w:sz w:val="16"/>
                <w:szCs w:val="16"/>
                <w:color w:val="auto"/>
              </w:rPr>
              <w:t>24</w:t>
            </w:r>
          </w:p>
        </w:tc>
        <w:tc>
          <w:tcPr>
            <w:tcW w:w="92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13.3 %</w:t>
            </w:r>
          </w:p>
        </w:tc>
      </w:tr>
      <w:tr>
        <w:trPr>
          <w:trHeight w:val="228"/>
        </w:trPr>
        <w:tc>
          <w:tcPr>
            <w:tcW w:w="118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9"/>
                <w:szCs w:val="19"/>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11</w:t>
            </w:r>
          </w:p>
        </w:tc>
        <w:tc>
          <w:tcPr>
            <w:tcW w:w="92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51"/>
        </w:trPr>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1"/>
                <w:szCs w:val="21"/>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4"/>
        </w:trPr>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tcPr>
          <w:p>
            <w:pPr>
              <w:spacing w:after="0"/>
              <w:rPr>
                <w:sz w:val="21"/>
                <w:szCs w:val="21"/>
                <w:color w:val="auto"/>
              </w:rPr>
            </w:pPr>
          </w:p>
        </w:tc>
        <w:tc>
          <w:tcPr>
            <w:tcW w:w="62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24</w:t>
            </w:r>
          </w:p>
        </w:tc>
        <w:tc>
          <w:tcPr>
            <w:tcW w:w="200" w:type="dxa"/>
            <w:vAlign w:val="bottom"/>
            <w:tcBorders>
              <w:bottom w:val="single" w:sz="8" w:color="083566"/>
            </w:tcBorders>
          </w:tcPr>
          <w:p>
            <w:pPr>
              <w:spacing w:after="0"/>
              <w:rPr>
                <w:sz w:val="21"/>
                <w:szCs w:val="21"/>
                <w:color w:val="auto"/>
              </w:rPr>
            </w:pPr>
          </w:p>
        </w:tc>
        <w:tc>
          <w:tcPr>
            <w:tcW w:w="800" w:type="dxa"/>
            <w:vAlign w:val="bottom"/>
            <w:tcBorders>
              <w:bottom w:val="single" w:sz="8" w:color="083566"/>
            </w:tcBorders>
          </w:tcPr>
          <w:p>
            <w:pPr>
              <w:jc w:val="right"/>
              <w:ind w:right="139"/>
              <w:spacing w:after="0"/>
              <w:rPr>
                <w:sz w:val="20"/>
                <w:szCs w:val="20"/>
                <w:color w:val="auto"/>
              </w:rPr>
            </w:pPr>
            <w:r>
              <w:rPr>
                <w:rFonts w:ascii="Arial" w:cs="Arial" w:eastAsia="Arial" w:hAnsi="Arial"/>
                <w:sz w:val="16"/>
                <w:szCs w:val="16"/>
                <w:color w:val="auto"/>
              </w:rPr>
              <w:t>24</w:t>
            </w:r>
          </w:p>
        </w:tc>
        <w:tc>
          <w:tcPr>
            <w:tcW w:w="92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0.1 %</w:t>
            </w:r>
          </w:p>
        </w:tc>
      </w:tr>
      <w:tr>
        <w:trPr>
          <w:trHeight w:val="303"/>
        </w:trPr>
        <w:tc>
          <w:tcPr>
            <w:tcW w:w="2180" w:type="dxa"/>
            <w:vAlign w:val="bottom"/>
            <w:gridSpan w:val="2"/>
          </w:tcPr>
          <w:p>
            <w:pPr>
              <w:ind w:left="20"/>
              <w:spacing w:after="0"/>
              <w:rPr>
                <w:sz w:val="20"/>
                <w:szCs w:val="20"/>
                <w:color w:val="auto"/>
              </w:rPr>
            </w:pPr>
            <w:r>
              <w:rPr>
                <w:rFonts w:ascii="Arial" w:cs="Arial" w:eastAsia="Arial" w:hAnsi="Arial"/>
                <w:sz w:val="16"/>
                <w:szCs w:val="16"/>
                <w:color w:val="auto"/>
              </w:rPr>
              <w:t>Money Markets Cash</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988</w:t>
            </w:r>
          </w:p>
        </w:tc>
        <w:tc>
          <w:tcPr>
            <w:tcW w:w="200" w:type="dxa"/>
            <w:vAlign w:val="bottom"/>
          </w:tcPr>
          <w:p>
            <w:pPr>
              <w:spacing w:after="0"/>
              <w:rPr>
                <w:sz w:val="24"/>
                <w:szCs w:val="24"/>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541</w:t>
            </w:r>
          </w:p>
        </w:tc>
        <w:tc>
          <w:tcPr>
            <w:tcW w:w="920" w:type="dxa"/>
            <w:vAlign w:val="bottom"/>
          </w:tcPr>
          <w:p>
            <w:pPr>
              <w:jc w:val="right"/>
              <w:spacing w:after="0"/>
              <w:rPr>
                <w:sz w:val="20"/>
                <w:szCs w:val="20"/>
                <w:color w:val="auto"/>
              </w:rPr>
            </w:pPr>
            <w:r>
              <w:rPr>
                <w:rFonts w:ascii="Arial" w:cs="Arial" w:eastAsia="Arial" w:hAnsi="Arial"/>
                <w:sz w:val="16"/>
                <w:szCs w:val="16"/>
                <w:color w:val="auto"/>
              </w:rPr>
              <w:t>82.5 %</w:t>
            </w:r>
          </w:p>
        </w:tc>
      </w:tr>
      <w:tr>
        <w:trPr>
          <w:trHeight w:val="312"/>
        </w:trPr>
        <w:tc>
          <w:tcPr>
            <w:tcW w:w="1180" w:type="dxa"/>
            <w:vAlign w:val="bottom"/>
            <w:tcBorders>
              <w:bottom w:val="single" w:sz="8" w:color="083566"/>
            </w:tcBorders>
          </w:tcPr>
          <w:p>
            <w:pPr>
              <w:spacing w:after="0"/>
              <w:rPr>
                <w:sz w:val="24"/>
                <w:szCs w:val="24"/>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tcPr>
          <w:p>
            <w:pPr>
              <w:spacing w:after="0"/>
              <w:rPr>
                <w:sz w:val="24"/>
                <w:szCs w:val="24"/>
                <w:color w:val="auto"/>
              </w:rPr>
            </w:pPr>
          </w:p>
        </w:tc>
        <w:tc>
          <w:tcPr>
            <w:tcW w:w="62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988</w:t>
            </w:r>
          </w:p>
        </w:tc>
        <w:tc>
          <w:tcPr>
            <w:tcW w:w="200" w:type="dxa"/>
            <w:vAlign w:val="bottom"/>
            <w:tcBorders>
              <w:bottom w:val="single" w:sz="8" w:color="083566"/>
            </w:tcBorders>
          </w:tcPr>
          <w:p>
            <w:pPr>
              <w:spacing w:after="0"/>
              <w:rPr>
                <w:sz w:val="24"/>
                <w:szCs w:val="24"/>
                <w:color w:val="auto"/>
              </w:rPr>
            </w:pPr>
          </w:p>
        </w:tc>
        <w:tc>
          <w:tcPr>
            <w:tcW w:w="800" w:type="dxa"/>
            <w:vAlign w:val="bottom"/>
            <w:tcBorders>
              <w:bottom w:val="single" w:sz="8" w:color="083566"/>
            </w:tcBorders>
          </w:tcPr>
          <w:p>
            <w:pPr>
              <w:jc w:val="right"/>
              <w:ind w:right="139"/>
              <w:spacing w:after="0"/>
              <w:rPr>
                <w:sz w:val="20"/>
                <w:szCs w:val="20"/>
                <w:color w:val="auto"/>
              </w:rPr>
            </w:pPr>
            <w:r>
              <w:rPr>
                <w:rFonts w:ascii="Arial" w:cs="Arial" w:eastAsia="Arial" w:hAnsi="Arial"/>
                <w:sz w:val="16"/>
                <w:szCs w:val="16"/>
                <w:color w:val="auto"/>
              </w:rPr>
              <w:t>541</w:t>
            </w:r>
          </w:p>
        </w:tc>
        <w:tc>
          <w:tcPr>
            <w:tcW w:w="92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82.5 %</w:t>
            </w:r>
          </w:p>
        </w:tc>
      </w:tr>
      <w:tr>
        <w:trPr>
          <w:trHeight w:val="243"/>
        </w:trPr>
        <w:tc>
          <w:tcPr>
            <w:tcW w:w="1180" w:type="dxa"/>
            <w:vAlign w:val="bottom"/>
          </w:tcPr>
          <w:p>
            <w:pPr>
              <w:spacing w:after="0"/>
              <w:rPr>
                <w:sz w:val="21"/>
                <w:szCs w:val="21"/>
                <w:color w:val="auto"/>
              </w:rPr>
            </w:pPr>
          </w:p>
        </w:tc>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2,292</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139"/>
              <w:spacing w:after="0"/>
              <w:rPr>
                <w:sz w:val="20"/>
                <w:szCs w:val="20"/>
                <w:color w:val="auto"/>
              </w:rPr>
            </w:pPr>
            <w:r>
              <w:rPr>
                <w:rFonts w:ascii="Arial" w:cs="Arial" w:eastAsia="Arial" w:hAnsi="Arial"/>
                <w:sz w:val="16"/>
                <w:szCs w:val="16"/>
                <w:b w:val="1"/>
                <w:bCs w:val="1"/>
                <w:color w:val="auto"/>
              </w:rPr>
              <w:t>1,677</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36.7 %</w:t>
            </w:r>
          </w:p>
        </w:tc>
      </w:tr>
    </w:tbl>
    <w:p>
      <w:pPr>
        <w:spacing w:after="0" w:line="257" w:lineRule="exact"/>
        <w:rPr>
          <w:sz w:val="20"/>
          <w:szCs w:val="20"/>
          <w:color w:val="auto"/>
        </w:rPr>
      </w:pPr>
    </w:p>
    <w:p>
      <w:pPr>
        <w:ind w:left="260" w:right="160" w:hanging="246"/>
        <w:spacing w:after="0" w:line="261" w:lineRule="auto"/>
        <w:tabs>
          <w:tab w:leader="none" w:pos="198"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change are non-GAAP financial measures. See "Non-GAAP Financial Measures" below and the attached schedules for additional information and reconciliations of such non-GAAP financial measures.</w:t>
      </w:r>
    </w:p>
    <w:p>
      <w:pPr>
        <w:spacing w:after="0" w:line="59" w:lineRule="exact"/>
        <w:rPr>
          <w:rFonts w:ascii="Arial" w:cs="Arial" w:eastAsia="Arial" w:hAnsi="Arial"/>
          <w:sz w:val="12"/>
          <w:szCs w:val="12"/>
          <w:color w:val="auto"/>
        </w:rPr>
      </w:pPr>
    </w:p>
    <w:p>
      <w:pPr>
        <w:ind w:left="200" w:hanging="186"/>
        <w:spacing w:after="0"/>
        <w:tabs>
          <w:tab w:leader="none" w:pos="20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900" w:space="200"/>
            <w:col w:w="4880"/>
          </w:cols>
          <w:pgMar w:left="320" w:top="274" w:right="5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 FOURTH QUARTER 2024</w:t>
      </w:r>
    </w:p>
    <w:p>
      <w:pPr>
        <w:spacing w:after="0" w:line="11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$240.2 million in the fourth quarter of 2024 increased 25.3% compared to prior year period (increased 25.8%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Rates ADV was up 15.2% from prior year period, driven by record ADV in U.S. government bonds and mortgages, as well as strong year-over-year growth in swaps/swaptions &lt; 1-year. The addition of r8fin continued to contribute to wholesale volumes. European government bonds reported a 18.6% ADV increase from prior year period, driven by increased client adoption of our diverse trading protocols. Mortgages reached record ADV, up 22.0% from prior year period, driven by strong specified pool volumes and to-be-announced ("TBA") volumes, which were largely supported by elevated roll trading activity.</w:t>
      </w:r>
    </w:p>
    <w:p>
      <w:pPr>
        <w:spacing w:after="0" w:line="199"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$113.6 million in the fourth quarter of 2024 increased 8.9% compared to prior year period (increased 9.1%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Credit ADV was up 13.3% from prior year period, driven by strong activity in credit derivatives and U.S. credit volumes, including record ADV in fully electronic U.S. high yield credit. U.S. credit ADV was up 23.7% from prior year period, reflecting continued client adoption across Tradeweb products and protocols, including request-for-quote ("RFQ"), Tradeweb AllTrade® and portfolio trading. European Credit ADV was up 11.6% from prior year period, driven by robust activity across a wide range of protocols including Tradeweb's Automated Intelligent Execution tool ("AiEX"), Tradeweb AllTrade® and our unique dealer selection tool, SNAP IOI. We reported 18.3% share of fully electronic U.S. high grade TRACE, up 102 basis points (bps) from prior year period, and a record 7.9% share of fully electronic U.S. high yield TRACE, up 120 bps from prior year period.</w:t>
      </w:r>
    </w:p>
    <w:p>
      <w:pPr>
        <w:spacing w:after="0" w:line="20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$28.7 million in the fourth quarter of 2024 increased 10.3% compared to prior year period (increased 10.6%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Equities ADV remained relatively flat, up 0.1% from prior year period. Volumes were driven by higher European ETF volumes and an increased number of clients utilizing our RFQ offering.</w:t>
      </w:r>
    </w:p>
    <w:p>
      <w:pPr>
        <w:spacing w:after="0" w:line="191"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$44.3 million in the fourth quarter of 2024 increased 166.5% compared to prior year period (increased 165.5%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Money Markets ADV was up 82.5% from prior year period, primarily driven by contributions from the August 1, 2024 acquisition of ICD and record ADV in global repurchase agreements, which was led by increased client activity across the platform.</w:t>
      </w:r>
    </w:p>
    <w:p>
      <w:pPr>
        <w:spacing w:after="0" w:line="19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$30.0 million in the fourth quarter of 2024 increased 15.8% compared to prior year period (increased 15.9%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The increase was derived primarily from increased LSEG market data fees from our market data agreement that was amended effective as of November 1, 2023, as well as an increase in proprietary third party market data revenue.</w:t>
      </w:r>
    </w:p>
    <w:p>
      <w:pPr>
        <w:spacing w:after="0" w:line="205"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$6.6 million in the fourth quarter of 2024 increased 21.1% compared to prior year period (increased 21.0%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w:t>
      </w:r>
    </w:p>
    <w:p>
      <w:pPr>
        <w:spacing w:after="0" w:line="183"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of $274.8 million in the fourth quarter of 2024 increased 20.3% compared to $228.4 million in the prior year period, primarily due to an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employee compensation and benefits as a result of increases in headcount to support our continued growth and an increase in incentive compensation expense tied to our financial performance, an increase in depreciation and amortization expense primarily related to the assets acquired in connection with the 2024 acquisitions of ICD and r8fin and an increase in technology and communication expense due to continued investment in our data strategy and infrastructure and increased clearance and data fees driven primarily by higher trading volumes from prior year period. Given the strong environment to invest for long-term growth, during the fourth quarter of 2024, we also accelerated certain discretionary investments in marketing, consulting, digital assets and client relationship development.</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b w:val="1"/>
          <w:bCs w:val="1"/>
          <w:color w:val="auto"/>
        </w:rPr>
        <w:t xml:space="preserve">Adjusted Expenses </w:t>
      </w:r>
      <w:r>
        <w:rPr>
          <w:rFonts w:ascii="Arial" w:cs="Arial" w:eastAsia="Arial" w:hAnsi="Arial"/>
          <w:sz w:val="16"/>
          <w:szCs w:val="16"/>
          <w:color w:val="auto"/>
        </w:rPr>
        <w:t>of $236.0 million in the fourth quarter of 2024 increased 24.8% (increased 25.2% on a constant currency basis) compared to prior year</w:t>
      </w:r>
      <w:r>
        <w:rPr>
          <w:rFonts w:ascii="Arial" w:cs="Arial" w:eastAsia="Arial" w:hAnsi="Arial"/>
          <w:sz w:val="16"/>
          <w:szCs w:val="16"/>
          <w:b w:val="1"/>
          <w:bCs w:val="1"/>
          <w:color w:val="auto"/>
        </w:rPr>
        <w:t xml:space="preserve"> </w:t>
      </w:r>
      <w:r>
        <w:rPr>
          <w:rFonts w:ascii="Arial" w:cs="Arial" w:eastAsia="Arial" w:hAnsi="Arial"/>
          <w:sz w:val="16"/>
          <w:szCs w:val="16"/>
          <w:color w:val="auto"/>
        </w:rPr>
        <w:t>period primarily due to an increase in employee compensation and benefits as a result of increases in headcount to support our continued growth and an increase in incentive compensation expense tied to our financial performance and an increase in technology and communication expense due to continued investment in our data strategy and infrastructure and increased clearance and data fees driven primarily by higher trading volumes from prior year period. Given the strong environment to invest for long-term growth, during the fourth quarter of 2024, we also accelerated certain discretionary investments in marketing, consulting, digital assets and client relationship development. Please see "Non-GAAP Financial Measures" below for additional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DISCUSSION OF RESULTS: FULL-YEAR 2024</w:t>
      </w:r>
    </w:p>
    <w:p>
      <w:pPr>
        <w:spacing w:after="0" w:line="127"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Tradeweb recorded its 25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consecutive year of record annual revenues for the year ended December 31, 2024, as total revenues increased 29.0% (the same on a constant currency basis) to $1.7 billion compared to full year 2023. Revenue was driven by ADV of more than $2.2 trillion and record ADV activity in each of the following: U.S. government bonds, European government bonds, swaps/swaptions ≥ 1-year and mortgages, as well as record ADV in and share of fully electronic U.S. high grade credit. Net income increased 35.9% to $570.0 million for the year ended December 31, 2024, compared to $419.5 million in 2023. Adjusted EBITDA margin increased to 53.3% for the year ended December 31, 2024 compared to 52.4% in 2023, representing an increase of 91 bps from prior year period (+80 bps on a constant currency basis). Diluted EPS increased 36.3% from prior year period to $2.33 for the year ended December 31, 2024. Adjusted Diluted EPS increased 29.2% from prior year period to $2.92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692"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83566"/>
        </w:rPr>
        <w:t>RECENT HIGHLIGHTS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January 2025</w:t>
      </w:r>
    </w:p>
    <w:p>
      <w:pPr>
        <w:spacing w:after="0" w:line="21" w:lineRule="exact"/>
        <w:rPr>
          <w:sz w:val="20"/>
          <w:szCs w:val="20"/>
          <w:color w:val="auto"/>
        </w:rPr>
      </w:pPr>
    </w:p>
    <w:p>
      <w:pPr>
        <w:ind w:left="660" w:right="60" w:hanging="328"/>
        <w:spacing w:after="0" w:line="24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U.S. Securities and Exchange Commission (SEC) approved the registration of Tradeweb's swap execution facility, TW SEF LLC, as a security-based swap execution facility (SBSEF) under the SEC's new Regulation 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Fourth Quarter 2024</w:t>
      </w:r>
    </w:p>
    <w:p>
      <w:pPr>
        <w:spacing w:after="0" w:line="21"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Appointed Enrico Bruni and Troy Dixon to the newly-created roles of Co-Heads of Global Markets, effective January 2025.</w:t>
      </w:r>
    </w:p>
    <w:p>
      <w:pPr>
        <w:spacing w:after="0" w:line="5" w:lineRule="exact"/>
        <w:rPr>
          <w:rFonts w:ascii="Arial" w:cs="Arial" w:eastAsia="Arial" w:hAnsi="Arial"/>
          <w:sz w:val="16"/>
          <w:szCs w:val="16"/>
          <w:color w:val="auto"/>
        </w:rPr>
      </w:pPr>
    </w:p>
    <w:p>
      <w:pPr>
        <w:ind w:left="660" w:right="260" w:hanging="328"/>
        <w:spacing w:after="0" w:line="25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Announced Tradeweb's collaboration with Tokyo Stock Exchange ("TSE") to offer institutional investors enhanced access to liquidity in Japanese ETFs.</w:t>
      </w:r>
    </w:p>
    <w:p>
      <w:pPr>
        <w:ind w:left="660" w:right="120" w:hanging="328"/>
        <w:spacing w:after="0" w:line="25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Celebrated the 10-year anniversary of the launch of Tradeweb's U.S. Credit platform and the five-year anniversary of the launch of portfolio trading in European Credit.</w:t>
      </w:r>
    </w:p>
    <w:p>
      <w:pPr>
        <w:ind w:left="660" w:right="460" w:hanging="328"/>
        <w:spacing w:after="0" w:line="252"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Announced that Tradeweb FTSE benchmark closing prices for U.S. Treasuries, UK Gilts and European Government Bonds will be included in FTSE Russell's premiere World Government Bond Index ("WGBI").</w:t>
      </w:r>
    </w:p>
    <w:p>
      <w:pPr>
        <w:spacing w:after="0" w:line="1" w:lineRule="exact"/>
        <w:rPr>
          <w:rFonts w:ascii="Arial" w:cs="Arial" w:eastAsia="Arial" w:hAnsi="Arial"/>
          <w:sz w:val="16"/>
          <w:szCs w:val="16"/>
          <w:color w:val="auto"/>
        </w:rPr>
      </w:pPr>
    </w:p>
    <w:p>
      <w:pPr>
        <w:ind w:left="660" w:right="360" w:hanging="328"/>
        <w:spacing w:after="0" w:line="25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Became the first strategic partner for Goldman Sachs' GS DAP platform, introducing our trading and liquidity capabilities across fixed income to help bring new commercial use cases to GS DAP.</w:t>
      </w:r>
    </w:p>
    <w:p>
      <w:pPr>
        <w:ind w:left="660" w:right="28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Recognized in numerous awards celebrating our company, as well as our outstanding and diverse talent, including: </w:t>
      </w:r>
      <w:r>
        <w:rPr>
          <w:rFonts w:ascii="Arial" w:cs="Arial" w:eastAsia="Arial" w:hAnsi="Arial"/>
          <w:sz w:val="16"/>
          <w:szCs w:val="16"/>
          <w:i w:val="1"/>
          <w:iCs w:val="1"/>
          <w:color w:val="auto"/>
        </w:rPr>
        <w:t>America's Best Companies</w:t>
      </w:r>
      <w:r>
        <w:rPr>
          <w:rFonts w:ascii="Arial" w:cs="Arial" w:eastAsia="Arial" w:hAnsi="Arial"/>
          <w:sz w:val="16"/>
          <w:szCs w:val="16"/>
          <w:color w:val="auto"/>
        </w:rPr>
        <w:t xml:space="preserve"> </w:t>
      </w:r>
      <w:r>
        <w:rPr>
          <w:rFonts w:ascii="Arial" w:cs="Arial" w:eastAsia="Arial" w:hAnsi="Arial"/>
          <w:sz w:val="16"/>
          <w:szCs w:val="16"/>
          <w:i w:val="1"/>
          <w:iCs w:val="1"/>
          <w:color w:val="auto"/>
        </w:rPr>
        <w:t>2025 (Forbes); European Women in Finance Awards, Excellence in Trading Platforms - Alessandra Stagliano (Markets Media); U.S. Women in Finance Awards, Rising Star - Bridget Silver (Markets Media); U.S. Women in Finance Awards, CFO of the Year - Sara Furber (Markets Media); 100 Most Influential Women in European Finance - Nawel Khelil (Financial News); RFQ Platform of the Year, ETF Stream Awards (ETF Stream)</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CAPITAL MANAGEMENT</w:t>
      </w:r>
    </w:p>
    <w:p>
      <w:pPr>
        <w:spacing w:after="0" w:line="127"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$1.3 billion in cash and cash equivalents and an undrawn $500.0 million credit facility at December 31, 2024</w:t>
      </w:r>
    </w:p>
    <w:p>
      <w:pPr>
        <w:spacing w:after="0" w:line="7"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Cash capital expenditures and capitalized software development in the fourth quarter 2024 of $38.0 million and $88.9 million in full-year 2024</w:t>
      </w:r>
    </w:p>
    <w:p>
      <w:pPr>
        <w:spacing w:after="0" w:line="5" w:lineRule="exact"/>
        <w:rPr>
          <w:rFonts w:ascii="Arial" w:cs="Arial" w:eastAsia="Arial" w:hAnsi="Arial"/>
          <w:sz w:val="16"/>
          <w:szCs w:val="16"/>
          <w:color w:val="auto"/>
        </w:rPr>
      </w:pPr>
    </w:p>
    <w:p>
      <w:pPr>
        <w:ind w:left="660" w:right="58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Free cash flow for the year ended December 31, 2024 of $808.9 million, up 18.2% compared to prior year period. See “Non-GAAP Financial Measures” for additional information</w:t>
      </w:r>
    </w:p>
    <w:p>
      <w:pPr>
        <w:ind w:left="660" w:right="80" w:hanging="328"/>
        <w:spacing w:after="0" w:line="259"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year ended December 31, 2024, as part of its share repurchase program, Tradeweb purchased a total of 478,915 shares of Class A common stock, at an average price of $125.07, for purchases totaling $59.9 million. During the fourth quarter of 2024, Tradeweb purchased a total of 264,120 shares of Class A common stock, at an average price of $132.11, for purchases totaling $34.9 million. As of December 31, 2024, a total of $179.9 million remained available for repurchase pursuant to the current share repurchase program authorization</w:t>
      </w:r>
    </w:p>
    <w:p>
      <w:pPr>
        <w:spacing w:after="0" w:line="2" w:lineRule="exact"/>
        <w:rPr>
          <w:rFonts w:ascii="Arial" w:cs="Arial" w:eastAsia="Arial" w:hAnsi="Arial"/>
          <w:sz w:val="16"/>
          <w:szCs w:val="16"/>
          <w:color w:val="auto"/>
        </w:rPr>
      </w:pPr>
    </w:p>
    <w:p>
      <w:pPr>
        <w:ind w:left="660" w:right="280" w:hanging="328"/>
        <w:spacing w:after="0" w:line="252"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$1.6 million in shares of Class A common stock were withheld in the fourth quarter of 2024 and $48.0 million in shares of Class A common stock were withheld in the full-year 2024 to satisfy tax obligations related to the exercise of stock options and vesting of restricted stock units and performance-based restricted stock units held by employees</w:t>
      </w:r>
    </w:p>
    <w:p>
      <w:pPr>
        <w:ind w:left="660" w:right="240" w:hanging="328"/>
        <w:spacing w:after="0" w:line="283"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of Directors declared a quarterly cash dividend of $0.12 per share of Class A common stock and Class B common stock, a 20.0% per share increase from prior year. This dividend will be payable on March 17, 2025 to stockholders of record as of March 3, 2025</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Full-Year 2025 Guidance*</w:t>
      </w:r>
    </w:p>
    <w:p>
      <w:pPr>
        <w:spacing w:after="0" w:line="11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Expenses: $970 - 1,030 million</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Acquisition and Refinitiv Transaction related depreciation and amortization expense: $176 million</w:t>
      </w:r>
    </w:p>
    <w:p>
      <w:pPr>
        <w:spacing w:after="0" w:line="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Assumed non-GAAP tax rate: ~24.5% - 25.5%</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Cash capital expenditures and capitalized software development: ~ $99 - 109 million</w:t>
      </w:r>
    </w:p>
    <w:p>
      <w:pPr>
        <w:spacing w:after="0" w:line="15"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LSEG Market Data Contract Revenue: ~$90 million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LSEG Market Data Contract Revenue guidance is unchanged from the prior quarter guidance.</w:t>
      </w:r>
    </w:p>
    <w:p>
      <w:pPr>
        <w:spacing w:after="0" w:line="255" w:lineRule="exact"/>
        <w:rPr>
          <w:sz w:val="20"/>
          <w:szCs w:val="20"/>
          <w:color w:val="auto"/>
        </w:rPr>
      </w:pPr>
    </w:p>
    <w:p>
      <w:pPr>
        <w:ind w:left="340" w:right="400"/>
        <w:spacing w:after="0" w:line="302"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 Expense guidance assumes an average 2025 Sterling/US$ foreign exchange rate of 1.28.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CONFERENCE CALL</w:t>
      </w:r>
    </w:p>
    <w:p>
      <w:pPr>
        <w:spacing w:after="0" w:line="10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Tradeweb Markets will hold a conference call to discuss fourth quarter and full year 2024 results starting at 9:30 AM EST today, February 6, 2025. A live, audio webcast of the conference call along with related presentation materials will be available at </w:t>
      </w:r>
      <w:r>
        <w:rPr>
          <w:rFonts w:ascii="Arial" w:cs="Arial" w:eastAsia="Arial" w:hAnsi="Arial"/>
          <w:sz w:val="16"/>
          <w:szCs w:val="16"/>
          <w:u w:val="single" w:color="auto"/>
          <w:color w:val="0E32E1"/>
        </w:rPr>
        <w:t>https://investors.tradeweb.com/events-and-presentations.</w:t>
      </w:r>
    </w:p>
    <w:p>
      <w:pPr>
        <w:spacing w:after="0" w:line="19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 xml:space="preserve">To join the call via audio webcast, click here: </w:t>
      </w:r>
      <w:r>
        <w:rPr>
          <w:rFonts w:ascii="Arial" w:cs="Arial" w:eastAsia="Arial" w:hAnsi="Arial"/>
          <w:sz w:val="16"/>
          <w:szCs w:val="16"/>
          <w:u w:val="single" w:color="auto"/>
          <w:color w:val="0E32E1"/>
        </w:rPr>
        <w:t>https://edge.media-server.com/mmc/p/cw4zesjo/</w:t>
      </w:r>
    </w:p>
    <w:p>
      <w:pPr>
        <w:spacing w:after="0" w:line="13" w:lineRule="exact"/>
        <w:rPr>
          <w:rFonts w:ascii="Arial" w:cs="Arial" w:eastAsia="Arial" w:hAnsi="Arial"/>
          <w:sz w:val="18"/>
          <w:szCs w:val="18"/>
          <w:color w:val="auto"/>
        </w:rPr>
      </w:pPr>
    </w:p>
    <w:p>
      <w:pPr>
        <w:ind w:left="660" w:right="5180" w:hanging="328"/>
        <w:spacing w:after="0" w:line="25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6"/>
          <w:szCs w:val="16"/>
          <w:color w:val="auto"/>
        </w:rPr>
        <w:t xml:space="preserve">To join the call via phone, please register in advance here: </w:t>
      </w:r>
      <w:r>
        <w:rPr>
          <w:rFonts w:ascii="Arial" w:cs="Arial" w:eastAsia="Arial" w:hAnsi="Arial"/>
          <w:sz w:val="16"/>
          <w:szCs w:val="16"/>
          <w:u w:val="single" w:color="auto"/>
          <w:color w:val="0E32E1"/>
        </w:rPr>
        <w:t>https://register.vevent.com/register/BI82aeb5b6b0af4127af700cf95f163d3b.</w:t>
      </w:r>
    </w:p>
    <w:p>
      <w:pPr>
        <w:ind w:left="660"/>
        <w:spacing w:after="0"/>
        <w:rPr>
          <w:rFonts w:ascii="Arial" w:cs="Arial" w:eastAsia="Arial" w:hAnsi="Arial"/>
          <w:sz w:val="18"/>
          <w:szCs w:val="18"/>
          <w:color w:val="auto"/>
        </w:rPr>
      </w:pPr>
      <w:r>
        <w:rPr>
          <w:rFonts w:ascii="Arial" w:cs="Arial" w:eastAsia="Arial" w:hAnsi="Arial"/>
          <w:sz w:val="16"/>
          <w:szCs w:val="16"/>
          <w:color w:val="auto"/>
        </w:rPr>
        <w:t>Registered participants will receive an email confirmation with a unique PIN to access the conference call.</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 archived recording of the call will be available afterward at </w:t>
      </w:r>
      <w:r>
        <w:rPr>
          <w:rFonts w:ascii="Arial" w:cs="Arial" w:eastAsia="Arial" w:hAnsi="Arial"/>
          <w:sz w:val="16"/>
          <w:szCs w:val="16"/>
          <w:u w:val="single" w:color="auto"/>
          <w:color w:val="0E32E1"/>
        </w:rPr>
        <w:t>https://investors.tradeweb.com</w:t>
      </w:r>
      <w:r>
        <w:rPr>
          <w:rFonts w:ascii="Arial" w:cs="Arial" w:eastAsia="Arial" w:hAnsi="Arial"/>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27"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50 products to clients in the institutional, wholesale, retail and corporates markets. Advanced technologies developed by Tradeweb enhance price discovery, order execution and trade workflows while allowing for greater scale and helping to reduce risks in client trading operations. Tradeweb serves more than 3,000 clients in more than 85 countries. On average, Tradeweb facilitated more than $2.2 trillion in notional value traded per day over the past four fiscal quarters. For more information, please go to </w:t>
      </w:r>
      <w:r>
        <w:rPr>
          <w:rFonts w:ascii="Arial" w:cs="Arial" w:eastAsia="Arial" w:hAnsi="Arial"/>
          <w:sz w:val="16"/>
          <w:szCs w:val="16"/>
          <w:u w:val="single" w:color="auto"/>
          <w:color w:val="055FC1"/>
        </w:rPr>
        <w:t>www.tradeweb.com</w:t>
      </w:r>
      <w:r>
        <w:rPr>
          <w:rFonts w:ascii="Arial" w:cs="Arial" w:eastAsia="Arial" w:hAnsi="Arial"/>
          <w:sz w:val="16"/>
          <w:szCs w:val="16"/>
          <w:color w:val="0E32E1"/>
        </w:rPr>
        <w:t>.</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CONSOLIDATED STATEMENTS OF INCOME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00" w:type="dxa"/>
            <w:vAlign w:val="bottom"/>
            <w:gridSpan w:val="5"/>
          </w:tcPr>
          <w:p>
            <w:pPr>
              <w:ind w:left="160"/>
              <w:spacing w:after="0"/>
              <w:rPr>
                <w:sz w:val="20"/>
                <w:szCs w:val="20"/>
                <w:color w:val="auto"/>
              </w:rPr>
            </w:pPr>
            <w:r>
              <w:rPr>
                <w:rFonts w:ascii="Arial" w:cs="Arial" w:eastAsia="Arial" w:hAnsi="Arial"/>
                <w:sz w:val="16"/>
                <w:szCs w:val="16"/>
                <w:b w:val="1"/>
                <w:bCs w:val="1"/>
                <w:color w:val="auto"/>
              </w:rPr>
              <w:t>Quarter Ended December 31,</w:t>
            </w:r>
          </w:p>
        </w:tc>
        <w:tc>
          <w:tcPr>
            <w:tcW w:w="320" w:type="dxa"/>
            <w:vAlign w:val="bottom"/>
          </w:tcPr>
          <w:p>
            <w:pPr>
              <w:spacing w:after="0"/>
              <w:rPr>
                <w:sz w:val="19"/>
                <w:szCs w:val="19"/>
                <w:color w:val="auto"/>
              </w:rPr>
            </w:pPr>
          </w:p>
        </w:tc>
        <w:tc>
          <w:tcPr>
            <w:tcW w:w="27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47"/>
        </w:trPr>
        <w:tc>
          <w:tcPr>
            <w:tcW w:w="4900" w:type="dxa"/>
            <w:vAlign w:val="bottom"/>
            <w:tcBorders>
              <w:bottom w:val="single" w:sz="8" w:color="D5DCE4"/>
            </w:tcBorders>
          </w:tcPr>
          <w:p>
            <w:pPr>
              <w:spacing w:after="0"/>
              <w:rPr>
                <w:sz w:val="21"/>
                <w:szCs w:val="21"/>
                <w:color w:val="auto"/>
              </w:rPr>
            </w:pPr>
          </w:p>
        </w:tc>
        <w:tc>
          <w:tcPr>
            <w:tcW w:w="80" w:type="dxa"/>
            <w:vAlign w:val="bottom"/>
            <w:tcBorders>
              <w:bottom w:val="single" w:sz="8" w:color="D5DCE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40"/>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80" w:type="dxa"/>
            <w:vAlign w:val="bottom"/>
            <w:shd w:val="clear" w:color="auto" w:fill="D5DCE4"/>
          </w:tcPr>
          <w:p>
            <w:pPr>
              <w:spacing w:after="0"/>
              <w:rPr>
                <w:sz w:val="20"/>
                <w:szCs w:val="20"/>
                <w:color w:val="auto"/>
              </w:rPr>
            </w:pPr>
          </w:p>
        </w:tc>
        <w:tc>
          <w:tcPr>
            <w:tcW w:w="260" w:type="dxa"/>
            <w:vAlign w:val="bottom"/>
            <w:shd w:val="clear" w:color="auto" w:fill="D5DCE4"/>
          </w:tcPr>
          <w:p>
            <w:pPr>
              <w:spacing w:after="0"/>
              <w:rPr>
                <w:sz w:val="20"/>
                <w:szCs w:val="20"/>
                <w:color w:val="auto"/>
              </w:rPr>
            </w:pPr>
          </w:p>
        </w:tc>
        <w:tc>
          <w:tcPr>
            <w:tcW w:w="4900" w:type="dxa"/>
            <w:vAlign w:val="bottom"/>
            <w:gridSpan w:val="9"/>
            <w:shd w:val="clear" w:color="auto" w:fill="D5DCE4"/>
          </w:tcPr>
          <w:p>
            <w:pPr>
              <w:jc w:val="right"/>
              <w:ind w:right="59"/>
              <w:spacing w:after="0"/>
              <w:rPr>
                <w:sz w:val="20"/>
                <w:szCs w:val="20"/>
                <w:color w:val="auto"/>
              </w:rPr>
            </w:pPr>
            <w:r>
              <w:rPr>
                <w:rFonts w:ascii="Arial" w:cs="Arial" w:eastAsia="Arial" w:hAnsi="Arial"/>
                <w:sz w:val="16"/>
                <w:szCs w:val="16"/>
                <w:b w:val="1"/>
                <w:bCs w:val="1"/>
                <w:color w:val="auto"/>
              </w:rPr>
              <w:t>(dollars in thousands, except per share amounts)</w:t>
            </w:r>
          </w:p>
        </w:tc>
        <w:tc>
          <w:tcPr>
            <w:tcW w:w="1100" w:type="dxa"/>
            <w:vAlign w:val="bottom"/>
            <w:shd w:val="clear" w:color="auto" w:fill="D5DCE4"/>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384,128</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301,800</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1,423,547</w:t>
            </w:r>
          </w:p>
        </w:tc>
        <w:tc>
          <w:tcPr>
            <w:tcW w:w="8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1,078,344</w:t>
            </w:r>
          </w:p>
        </w:tc>
        <w:tc>
          <w:tcPr>
            <w:tcW w:w="0" w:type="dxa"/>
            <w:vAlign w:val="bottom"/>
          </w:tcPr>
          <w:p>
            <w:pPr>
              <w:spacing w:after="0"/>
              <w:rPr>
                <w:sz w:val="1"/>
                <w:szCs w:val="1"/>
                <w:color w:val="auto"/>
              </w:rPr>
            </w:pP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55,026</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47,489</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206,659</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183,972</w:t>
            </w:r>
          </w:p>
        </w:tc>
        <w:tc>
          <w:tcPr>
            <w:tcW w:w="0" w:type="dxa"/>
            <w:vAlign w:val="bottom"/>
          </w:tcPr>
          <w:p>
            <w:pPr>
              <w:spacing w:after="0"/>
              <w:rPr>
                <w:sz w:val="1"/>
                <w:szCs w:val="1"/>
                <w:color w:val="auto"/>
              </w:rPr>
            </w:pP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LSEG market data fees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20,552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17,821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82,145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64,336</w:t>
            </w:r>
          </w:p>
        </w:tc>
        <w:tc>
          <w:tcPr>
            <w:tcW w:w="0" w:type="dxa"/>
            <w:vAlign w:val="bottom"/>
          </w:tcPr>
          <w:p>
            <w:pPr>
              <w:spacing w:after="0"/>
              <w:rPr>
                <w:sz w:val="1"/>
                <w:szCs w:val="1"/>
                <w:color w:val="auto"/>
              </w:rPr>
            </w:pP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D5DCE4"/>
          </w:tcPr>
          <w:p>
            <w:pPr>
              <w:spacing w:after="0"/>
              <w:rPr>
                <w:sz w:val="21"/>
                <w:szCs w:val="21"/>
                <w:color w:val="auto"/>
              </w:rPr>
            </w:pPr>
          </w:p>
        </w:tc>
        <w:tc>
          <w:tcPr>
            <w:tcW w:w="260" w:type="dxa"/>
            <w:vAlign w:val="bottom"/>
            <w:tcBorders>
              <w:bottom w:val="single" w:sz="8" w:color="auto"/>
            </w:tcBorders>
            <w:shd w:val="clear" w:color="auto" w:fill="D5DCE4"/>
          </w:tcPr>
          <w:p>
            <w:pPr>
              <w:spacing w:after="0"/>
              <w:rPr>
                <w:sz w:val="21"/>
                <w:szCs w:val="21"/>
                <w:color w:val="auto"/>
              </w:rPr>
            </w:pPr>
          </w:p>
        </w:tc>
        <w:tc>
          <w:tcPr>
            <w:tcW w:w="12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3,638</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2,890</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13,598</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11,567</w:t>
            </w:r>
          </w:p>
        </w:tc>
        <w:tc>
          <w:tcPr>
            <w:tcW w:w="0" w:type="dxa"/>
            <w:vAlign w:val="bottom"/>
          </w:tcPr>
          <w:p>
            <w:pPr>
              <w:spacing w:after="0"/>
              <w:rPr>
                <w:sz w:val="1"/>
                <w:szCs w:val="1"/>
                <w:color w:val="auto"/>
              </w:rPr>
            </w:pPr>
          </w:p>
        </w:tc>
      </w:tr>
      <w:tr>
        <w:trPr>
          <w:trHeight w:val="233"/>
        </w:trPr>
        <w:tc>
          <w:tcPr>
            <w:tcW w:w="490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463,344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370,000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1,725,949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1,338,219</w:t>
            </w:r>
          </w:p>
        </w:tc>
        <w:tc>
          <w:tcPr>
            <w:tcW w:w="0" w:type="dxa"/>
            <w:vAlign w:val="bottom"/>
          </w:tcPr>
          <w:p>
            <w:pPr>
              <w:spacing w:after="0"/>
              <w:rPr>
                <w:sz w:val="1"/>
                <w:szCs w:val="1"/>
                <w:color w:val="auto"/>
              </w:rPr>
            </w:pPr>
          </w:p>
        </w:tc>
      </w:tr>
      <w:tr>
        <w:trPr>
          <w:trHeight w:val="274"/>
        </w:trPr>
        <w:tc>
          <w:tcPr>
            <w:tcW w:w="490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60" w:type="dxa"/>
            <w:vAlign w:val="bottom"/>
            <w:shd w:val="clear" w:color="auto" w:fill="D5DCE4"/>
          </w:tcPr>
          <w:p>
            <w:pPr>
              <w:spacing w:after="0"/>
              <w:rPr>
                <w:sz w:val="23"/>
                <w:szCs w:val="23"/>
                <w:color w:val="auto"/>
              </w:rPr>
            </w:pPr>
          </w:p>
        </w:tc>
        <w:tc>
          <w:tcPr>
            <w:tcW w:w="124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1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1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420" w:type="dxa"/>
            <w:vAlign w:val="bottom"/>
            <w:shd w:val="clear" w:color="auto" w:fill="D5DCE4"/>
          </w:tcPr>
          <w:p>
            <w:pPr>
              <w:spacing w:after="0"/>
              <w:rPr>
                <w:sz w:val="23"/>
                <w:szCs w:val="23"/>
                <w:color w:val="auto"/>
              </w:rPr>
            </w:pPr>
          </w:p>
        </w:tc>
        <w:tc>
          <w:tcPr>
            <w:tcW w:w="1100" w:type="dxa"/>
            <w:vAlign w:val="bottom"/>
            <w:shd w:val="clear" w:color="auto" w:fill="D5DCE4"/>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152,206</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125,872</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592,690</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460,305</w:t>
            </w:r>
          </w:p>
        </w:tc>
        <w:tc>
          <w:tcPr>
            <w:tcW w:w="0" w:type="dxa"/>
            <w:vAlign w:val="bottom"/>
          </w:tcPr>
          <w:p>
            <w:pPr>
              <w:spacing w:after="0"/>
              <w:rPr>
                <w:sz w:val="1"/>
                <w:szCs w:val="1"/>
                <w:color w:val="auto"/>
              </w:rPr>
            </w:pP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62,854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47,500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219,999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185,350</w:t>
            </w:r>
          </w:p>
        </w:tc>
        <w:tc>
          <w:tcPr>
            <w:tcW w:w="0" w:type="dxa"/>
            <w:vAlign w:val="bottom"/>
          </w:tcPr>
          <w:p>
            <w:pPr>
              <w:spacing w:after="0"/>
              <w:rPr>
                <w:sz w:val="1"/>
                <w:szCs w:val="1"/>
                <w:color w:val="auto"/>
              </w:rPr>
            </w:pP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28,728</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21,505</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98,568</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77,506</w:t>
            </w:r>
          </w:p>
        </w:tc>
        <w:tc>
          <w:tcPr>
            <w:tcW w:w="0" w:type="dxa"/>
            <w:vAlign w:val="bottom"/>
          </w:tcPr>
          <w:p>
            <w:pPr>
              <w:spacing w:after="0"/>
              <w:rPr>
                <w:sz w:val="1"/>
                <w:szCs w:val="1"/>
                <w:color w:val="auto"/>
              </w:rPr>
            </w:pP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12,291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19,803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56,317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51,495</w:t>
            </w:r>
          </w:p>
        </w:tc>
        <w:tc>
          <w:tcPr>
            <w:tcW w:w="0" w:type="dxa"/>
            <w:vAlign w:val="bottom"/>
          </w:tcPr>
          <w:p>
            <w:pPr>
              <w:spacing w:after="0"/>
              <w:rPr>
                <w:sz w:val="1"/>
                <w:szCs w:val="1"/>
                <w:color w:val="auto"/>
              </w:rPr>
            </w:pP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13,574</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10,043</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60,132</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42,364</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80" w:type="dxa"/>
            <w:vAlign w:val="bottom"/>
            <w:tcBorders>
              <w:bottom w:val="single" w:sz="8" w:color="D5DCE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5,151</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3,647</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20,215</w:t>
            </w:r>
          </w:p>
        </w:tc>
        <w:tc>
          <w:tcPr>
            <w:tcW w:w="80" w:type="dxa"/>
            <w:vAlign w:val="bottom"/>
            <w:tcBorders>
              <w:bottom w:val="single" w:sz="8" w:color="D5DCE4"/>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15,930</w:t>
            </w:r>
          </w:p>
        </w:tc>
        <w:tc>
          <w:tcPr>
            <w:tcW w:w="0" w:type="dxa"/>
            <w:vAlign w:val="bottom"/>
          </w:tcPr>
          <w:p>
            <w:pPr>
              <w:spacing w:after="0"/>
              <w:rPr>
                <w:sz w:val="1"/>
                <w:szCs w:val="1"/>
                <w:color w:val="auto"/>
              </w:rPr>
            </w:pPr>
          </w:p>
        </w:tc>
      </w:tr>
      <w:tr>
        <w:trPr>
          <w:trHeight w:val="243"/>
        </w:trPr>
        <w:tc>
          <w:tcPr>
            <w:tcW w:w="490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80" w:type="dxa"/>
            <w:vAlign w:val="bottom"/>
            <w:shd w:val="clear" w:color="auto" w:fill="D5DCE4"/>
          </w:tcPr>
          <w:p>
            <w:pPr>
              <w:spacing w:after="0"/>
              <w:rPr>
                <w:sz w:val="21"/>
                <w:szCs w:val="21"/>
                <w:color w:val="auto"/>
              </w:rPr>
            </w:pPr>
          </w:p>
        </w:tc>
        <w:tc>
          <w:tcPr>
            <w:tcW w:w="260" w:type="dxa"/>
            <w:vAlign w:val="bottom"/>
            <w:tcBorders>
              <w:bottom w:val="single" w:sz="8" w:color="auto"/>
            </w:tcBorders>
            <w:shd w:val="clear" w:color="auto" w:fill="D5DCE4"/>
          </w:tcPr>
          <w:p>
            <w:pPr>
              <w:spacing w:after="0"/>
              <w:rPr>
                <w:sz w:val="21"/>
                <w:szCs w:val="21"/>
                <w:color w:val="auto"/>
              </w:rPr>
            </w:pPr>
          </w:p>
        </w:tc>
        <w:tc>
          <w:tcPr>
            <w:tcW w:w="12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274,804</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228,370</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1,047,921</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832,950</w:t>
            </w:r>
          </w:p>
        </w:tc>
        <w:tc>
          <w:tcPr>
            <w:tcW w:w="0" w:type="dxa"/>
            <w:vAlign w:val="bottom"/>
          </w:tcPr>
          <w:p>
            <w:pPr>
              <w:spacing w:after="0"/>
              <w:rPr>
                <w:sz w:val="1"/>
                <w:szCs w:val="1"/>
                <w:color w:val="auto"/>
              </w:rPr>
            </w:pPr>
          </w:p>
        </w:tc>
      </w:tr>
      <w:tr>
        <w:trPr>
          <w:trHeight w:val="23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188,540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141,630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678,028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505,269</w:t>
            </w:r>
          </w:p>
        </w:tc>
        <w:tc>
          <w:tcPr>
            <w:tcW w:w="0" w:type="dxa"/>
            <w:vAlign w:val="bottom"/>
          </w:tcPr>
          <w:p>
            <w:pPr>
              <w:spacing w:after="0"/>
              <w:rPr>
                <w:sz w:val="1"/>
                <w:szCs w:val="1"/>
                <w:color w:val="auto"/>
              </w:rPr>
            </w:pPr>
          </w:p>
        </w:tc>
      </w:tr>
      <w:tr>
        <w:trPr>
          <w:trHeight w:val="247"/>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Tax receivable agreement liability adjustment</w:t>
            </w:r>
          </w:p>
        </w:tc>
        <w:tc>
          <w:tcPr>
            <w:tcW w:w="80" w:type="dxa"/>
            <w:vAlign w:val="bottom"/>
            <w:shd w:val="clear" w:color="auto" w:fill="DBDBDB"/>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8,600</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(9,517)</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7,730</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(9,517)</w:t>
            </w:r>
          </w:p>
        </w:tc>
        <w:tc>
          <w:tcPr>
            <w:tcW w:w="0" w:type="dxa"/>
            <w:vAlign w:val="bottom"/>
          </w:tcPr>
          <w:p>
            <w:pPr>
              <w:spacing w:after="0"/>
              <w:rPr>
                <w:sz w:val="1"/>
                <w:szCs w:val="1"/>
                <w:color w:val="auto"/>
              </w:rPr>
            </w:pP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14,803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20,952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74,037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67,397</w:t>
            </w:r>
          </w:p>
        </w:tc>
        <w:tc>
          <w:tcPr>
            <w:tcW w:w="0" w:type="dxa"/>
            <w:vAlign w:val="bottom"/>
          </w:tcPr>
          <w:p>
            <w:pPr>
              <w:spacing w:after="0"/>
              <w:rPr>
                <w:sz w:val="1"/>
                <w:szCs w:val="1"/>
                <w:color w:val="auto"/>
              </w:rPr>
            </w:pP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(573)</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(667)</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(4,279)</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(2,047)</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Other income (loss), net</w:t>
            </w:r>
          </w:p>
        </w:tc>
        <w:tc>
          <w:tcPr>
            <w:tcW w:w="80" w:type="dxa"/>
            <w:vAlign w:val="bottom"/>
            <w:tcBorders>
              <w:bottom w:val="single" w:sz="8" w:color="D5DCE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(11,100)</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w:t>
            </w:r>
          </w:p>
        </w:tc>
        <w:tc>
          <w:tcPr>
            <w:tcW w:w="80" w:type="dxa"/>
            <w:vAlign w:val="bottom"/>
            <w:tcBorders>
              <w:bottom w:val="single" w:sz="8" w:color="D5DCE4"/>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(13,122)</w:t>
            </w:r>
          </w:p>
        </w:tc>
        <w:tc>
          <w:tcPr>
            <w:tcW w:w="0" w:type="dxa"/>
            <w:vAlign w:val="bottom"/>
          </w:tcPr>
          <w:p>
            <w:pPr>
              <w:spacing w:after="0"/>
              <w:rPr>
                <w:sz w:val="1"/>
                <w:szCs w:val="1"/>
                <w:color w:val="auto"/>
              </w:rPr>
            </w:pPr>
          </w:p>
        </w:tc>
      </w:tr>
      <w:tr>
        <w:trPr>
          <w:trHeight w:val="239"/>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80" w:type="dxa"/>
            <w:vAlign w:val="bottom"/>
            <w:shd w:val="clear" w:color="auto" w:fill="D5DCE4"/>
          </w:tcPr>
          <w:p>
            <w:pPr>
              <w:spacing w:after="0"/>
              <w:rPr>
                <w:sz w:val="20"/>
                <w:szCs w:val="20"/>
                <w:color w:val="auto"/>
              </w:rPr>
            </w:pPr>
          </w:p>
        </w:tc>
        <w:tc>
          <w:tcPr>
            <w:tcW w:w="260" w:type="dxa"/>
            <w:vAlign w:val="bottom"/>
            <w:tcBorders>
              <w:bottom w:val="single" w:sz="8" w:color="auto"/>
            </w:tcBorders>
            <w:shd w:val="clear" w:color="auto" w:fill="D5DCE4"/>
          </w:tcPr>
          <w:p>
            <w:pPr>
              <w:spacing w:after="0"/>
              <w:rPr>
                <w:sz w:val="20"/>
                <w:szCs w:val="20"/>
                <w:color w:val="auto"/>
              </w:rPr>
            </w:pPr>
          </w:p>
        </w:tc>
        <w:tc>
          <w:tcPr>
            <w:tcW w:w="12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210,246</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141,298</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754,402</w:t>
            </w:r>
          </w:p>
        </w:tc>
        <w:tc>
          <w:tcPr>
            <w:tcW w:w="80" w:type="dxa"/>
            <w:vAlign w:val="bottom"/>
            <w:shd w:val="clear" w:color="auto" w:fill="D5DCE4"/>
          </w:tcPr>
          <w:p>
            <w:pPr>
              <w:spacing w:after="0"/>
              <w:rPr>
                <w:sz w:val="20"/>
                <w:szCs w:val="20"/>
                <w:color w:val="auto"/>
              </w:rPr>
            </w:pPr>
          </w:p>
        </w:tc>
        <w:tc>
          <w:tcPr>
            <w:tcW w:w="420" w:type="dxa"/>
            <w:vAlign w:val="bottom"/>
            <w:tcBorders>
              <w:bottom w:val="single" w:sz="8" w:color="auto"/>
            </w:tcBorders>
            <w:shd w:val="clear" w:color="auto" w:fill="D5DCE4"/>
          </w:tcPr>
          <w:p>
            <w:pPr>
              <w:spacing w:after="0"/>
              <w:rPr>
                <w:sz w:val="20"/>
                <w:szCs w:val="20"/>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547,980</w:t>
            </w:r>
          </w:p>
        </w:tc>
        <w:tc>
          <w:tcPr>
            <w:tcW w:w="0" w:type="dxa"/>
            <w:vAlign w:val="bottom"/>
          </w:tcPr>
          <w:p>
            <w:pPr>
              <w:spacing w:after="0"/>
              <w:rPr>
                <w:sz w:val="1"/>
                <w:szCs w:val="1"/>
                <w:color w:val="auto"/>
              </w:rPr>
            </w:pPr>
          </w:p>
        </w:tc>
      </w:tr>
      <w:tr>
        <w:trPr>
          <w:trHeight w:val="234"/>
        </w:trPr>
        <w:tc>
          <w:tcPr>
            <w:tcW w:w="490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Provision for income taxes</w:t>
            </w:r>
          </w:p>
        </w:tc>
        <w:tc>
          <w:tcPr>
            <w:tcW w:w="80" w:type="dxa"/>
            <w:vAlign w:val="bottom"/>
            <w:tcBorders>
              <w:bottom w:val="single" w:sz="8" w:color="D5DCE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(50,304)</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(37,557)</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(184,439)</w:t>
            </w:r>
          </w:p>
        </w:tc>
        <w:tc>
          <w:tcPr>
            <w:tcW w:w="80" w:type="dxa"/>
            <w:vAlign w:val="bottom"/>
            <w:tcBorders>
              <w:bottom w:val="single" w:sz="8" w:color="D5DCE4"/>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(128,477)</w:t>
            </w:r>
          </w:p>
        </w:tc>
        <w:tc>
          <w:tcPr>
            <w:tcW w:w="0" w:type="dxa"/>
            <w:vAlign w:val="bottom"/>
          </w:tcPr>
          <w:p>
            <w:pPr>
              <w:spacing w:after="0"/>
              <w:rPr>
                <w:sz w:val="1"/>
                <w:szCs w:val="1"/>
                <w:color w:val="auto"/>
              </w:rPr>
            </w:pPr>
          </w:p>
        </w:tc>
      </w:tr>
      <w:tr>
        <w:trPr>
          <w:trHeight w:val="243"/>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Net income</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159,942</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103,741</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569,963</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419,503</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80" w:type="dxa"/>
            <w:vAlign w:val="bottom"/>
            <w:tcBorders>
              <w:bottom w:val="single" w:sz="8" w:color="D5DCE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17,732</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14,427</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68,456</w:t>
            </w:r>
          </w:p>
        </w:tc>
        <w:tc>
          <w:tcPr>
            <w:tcW w:w="80" w:type="dxa"/>
            <w:vAlign w:val="bottom"/>
            <w:tcBorders>
              <w:bottom w:val="single" w:sz="8" w:color="D5DCE4"/>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54,637</w:t>
            </w:r>
          </w:p>
        </w:tc>
        <w:tc>
          <w:tcPr>
            <w:tcW w:w="0" w:type="dxa"/>
            <w:vAlign w:val="bottom"/>
          </w:tcPr>
          <w:p>
            <w:pPr>
              <w:spacing w:after="0"/>
              <w:rPr>
                <w:sz w:val="1"/>
                <w:szCs w:val="1"/>
                <w:color w:val="auto"/>
              </w:rPr>
            </w:pPr>
          </w:p>
        </w:tc>
      </w:tr>
      <w:tr>
        <w:trPr>
          <w:trHeight w:val="263"/>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34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142,210</w:t>
            </w:r>
          </w:p>
        </w:tc>
        <w:tc>
          <w:tcPr>
            <w:tcW w:w="80" w:type="dxa"/>
            <w:vAlign w:val="bottom"/>
            <w:shd w:val="clear" w:color="auto" w:fill="D5DCE4"/>
          </w:tcPr>
          <w:p>
            <w:pPr>
              <w:spacing w:after="0"/>
              <w:rPr>
                <w:sz w:val="22"/>
                <w:szCs w:val="22"/>
                <w:color w:val="auto"/>
              </w:rPr>
            </w:pPr>
          </w:p>
        </w:tc>
        <w:tc>
          <w:tcPr>
            <w:tcW w:w="320" w:type="dxa"/>
            <w:vAlign w:val="bottom"/>
            <w:shd w:val="clear" w:color="auto" w:fill="D5DC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89,314</w:t>
            </w:r>
          </w:p>
        </w:tc>
        <w:tc>
          <w:tcPr>
            <w:tcW w:w="80" w:type="dxa"/>
            <w:vAlign w:val="bottom"/>
            <w:shd w:val="clear" w:color="auto" w:fill="D5DCE4"/>
          </w:tcPr>
          <w:p>
            <w:pPr>
              <w:spacing w:after="0"/>
              <w:rPr>
                <w:sz w:val="22"/>
                <w:szCs w:val="22"/>
                <w:color w:val="auto"/>
              </w:rPr>
            </w:pPr>
          </w:p>
        </w:tc>
        <w:tc>
          <w:tcPr>
            <w:tcW w:w="320" w:type="dxa"/>
            <w:vAlign w:val="bottom"/>
            <w:shd w:val="clear" w:color="auto" w:fill="D5DC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501,507</w:t>
            </w:r>
          </w:p>
        </w:tc>
        <w:tc>
          <w:tcPr>
            <w:tcW w:w="80" w:type="dxa"/>
            <w:vAlign w:val="bottom"/>
            <w:shd w:val="clear" w:color="auto" w:fill="D5DCE4"/>
          </w:tcPr>
          <w:p>
            <w:pPr>
              <w:spacing w:after="0"/>
              <w:rPr>
                <w:sz w:val="22"/>
                <w:szCs w:val="22"/>
                <w:color w:val="auto"/>
              </w:rPr>
            </w:pPr>
          </w:p>
        </w:tc>
        <w:tc>
          <w:tcPr>
            <w:tcW w:w="420" w:type="dxa"/>
            <w:vAlign w:val="bottom"/>
            <w:shd w:val="clear" w:color="auto" w:fill="D5DC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364,866</w:t>
            </w:r>
          </w:p>
        </w:tc>
        <w:tc>
          <w:tcPr>
            <w:tcW w:w="0" w:type="dxa"/>
            <w:vAlign w:val="bottom"/>
          </w:tcPr>
          <w:p>
            <w:pPr>
              <w:spacing w:after="0"/>
              <w:rPr>
                <w:sz w:val="1"/>
                <w:szCs w:val="1"/>
                <w:color w:val="auto"/>
              </w:rPr>
            </w:pPr>
          </w:p>
        </w:tc>
      </w:tr>
      <w:tr>
        <w:trPr>
          <w:trHeight w:val="20"/>
        </w:trPr>
        <w:tc>
          <w:tcPr>
            <w:tcW w:w="49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color w:val="auto"/>
              </w:rPr>
              <w:t>Earnings per share attributable to Tradeweb Markets Inc. Class A</w:t>
            </w:r>
          </w:p>
        </w:tc>
        <w:tc>
          <w:tcPr>
            <w:tcW w:w="80" w:type="dxa"/>
            <w:vAlign w:val="bottom"/>
            <w:shd w:val="clear" w:color="auto" w:fill="D5DCE4"/>
          </w:tcPr>
          <w:p>
            <w:pPr>
              <w:spacing w:after="0"/>
              <w:rPr>
                <w:sz w:val="18"/>
                <w:szCs w:val="18"/>
                <w:color w:val="auto"/>
              </w:rPr>
            </w:pPr>
          </w:p>
        </w:tc>
        <w:tc>
          <w:tcPr>
            <w:tcW w:w="260" w:type="dxa"/>
            <w:vAlign w:val="bottom"/>
            <w:shd w:val="clear" w:color="auto" w:fill="D5DCE4"/>
          </w:tcPr>
          <w:p>
            <w:pPr>
              <w:spacing w:after="0"/>
              <w:rPr>
                <w:sz w:val="18"/>
                <w:szCs w:val="18"/>
                <w:color w:val="auto"/>
              </w:rPr>
            </w:pPr>
          </w:p>
        </w:tc>
        <w:tc>
          <w:tcPr>
            <w:tcW w:w="124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20" w:type="dxa"/>
            <w:vAlign w:val="bottom"/>
            <w:shd w:val="clear" w:color="auto" w:fill="D5DCE4"/>
          </w:tcPr>
          <w:p>
            <w:pPr>
              <w:spacing w:after="0"/>
              <w:rPr>
                <w:sz w:val="18"/>
                <w:szCs w:val="18"/>
                <w:color w:val="auto"/>
              </w:rPr>
            </w:pPr>
          </w:p>
        </w:tc>
        <w:tc>
          <w:tcPr>
            <w:tcW w:w="110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color w:val="auto"/>
              </w:rPr>
              <w:t>and B common stockholders:</w:t>
            </w:r>
          </w:p>
        </w:tc>
        <w:tc>
          <w:tcPr>
            <w:tcW w:w="80" w:type="dxa"/>
            <w:vAlign w:val="bottom"/>
            <w:shd w:val="clear" w:color="auto" w:fill="D5DCE4"/>
          </w:tcPr>
          <w:p>
            <w:pPr>
              <w:spacing w:after="0"/>
              <w:rPr>
                <w:sz w:val="20"/>
                <w:szCs w:val="20"/>
                <w:color w:val="auto"/>
              </w:rPr>
            </w:pPr>
          </w:p>
        </w:tc>
        <w:tc>
          <w:tcPr>
            <w:tcW w:w="260" w:type="dxa"/>
            <w:vAlign w:val="bottom"/>
            <w:shd w:val="clear" w:color="auto" w:fill="D5DCE4"/>
          </w:tcPr>
          <w:p>
            <w:pPr>
              <w:spacing w:after="0"/>
              <w:rPr>
                <w:sz w:val="20"/>
                <w:szCs w:val="20"/>
                <w:color w:val="auto"/>
              </w:rPr>
            </w:pPr>
          </w:p>
        </w:tc>
        <w:tc>
          <w:tcPr>
            <w:tcW w:w="1240" w:type="dxa"/>
            <w:vAlign w:val="bottom"/>
            <w:shd w:val="clear" w:color="auto" w:fill="D5DCE4"/>
          </w:tcPr>
          <w:p>
            <w:pPr>
              <w:spacing w:after="0"/>
              <w:rPr>
                <w:sz w:val="20"/>
                <w:szCs w:val="20"/>
                <w:color w:val="auto"/>
              </w:rPr>
            </w:pPr>
          </w:p>
        </w:tc>
        <w:tc>
          <w:tcPr>
            <w:tcW w:w="80" w:type="dxa"/>
            <w:vAlign w:val="bottom"/>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180" w:type="dxa"/>
            <w:vAlign w:val="bottom"/>
            <w:shd w:val="clear" w:color="auto" w:fill="D5DCE4"/>
          </w:tcPr>
          <w:p>
            <w:pPr>
              <w:spacing w:after="0"/>
              <w:rPr>
                <w:sz w:val="20"/>
                <w:szCs w:val="20"/>
                <w:color w:val="auto"/>
              </w:rPr>
            </w:pPr>
          </w:p>
        </w:tc>
        <w:tc>
          <w:tcPr>
            <w:tcW w:w="80" w:type="dxa"/>
            <w:vAlign w:val="bottom"/>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180" w:type="dxa"/>
            <w:vAlign w:val="bottom"/>
            <w:shd w:val="clear" w:color="auto" w:fill="D5DCE4"/>
          </w:tcPr>
          <w:p>
            <w:pPr>
              <w:spacing w:after="0"/>
              <w:rPr>
                <w:sz w:val="20"/>
                <w:szCs w:val="20"/>
                <w:color w:val="auto"/>
              </w:rPr>
            </w:pPr>
          </w:p>
        </w:tc>
        <w:tc>
          <w:tcPr>
            <w:tcW w:w="80" w:type="dxa"/>
            <w:vAlign w:val="bottom"/>
            <w:shd w:val="clear" w:color="auto" w:fill="D5DCE4"/>
          </w:tcPr>
          <w:p>
            <w:pPr>
              <w:spacing w:after="0"/>
              <w:rPr>
                <w:sz w:val="20"/>
                <w:szCs w:val="20"/>
                <w:color w:val="auto"/>
              </w:rPr>
            </w:pPr>
          </w:p>
        </w:tc>
        <w:tc>
          <w:tcPr>
            <w:tcW w:w="420" w:type="dxa"/>
            <w:vAlign w:val="bottom"/>
            <w:shd w:val="clear" w:color="auto" w:fill="D5DCE4"/>
          </w:tcPr>
          <w:p>
            <w:pPr>
              <w:spacing w:after="0"/>
              <w:rPr>
                <w:sz w:val="20"/>
                <w:szCs w:val="20"/>
                <w:color w:val="auto"/>
              </w:rPr>
            </w:pPr>
          </w:p>
        </w:tc>
        <w:tc>
          <w:tcPr>
            <w:tcW w:w="1100" w:type="dxa"/>
            <w:vAlign w:val="bottom"/>
            <w:shd w:val="clear" w:color="auto" w:fill="D5DCE4"/>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40"/>
              <w:spacing w:after="0"/>
              <w:rPr>
                <w:sz w:val="20"/>
                <w:szCs w:val="20"/>
                <w:color w:val="auto"/>
              </w:rPr>
            </w:pPr>
            <w:r>
              <w:rPr>
                <w:rFonts w:ascii="Arial" w:cs="Arial" w:eastAsia="Arial" w:hAnsi="Arial"/>
                <w:sz w:val="16"/>
                <w:szCs w:val="16"/>
                <w:color w:val="auto"/>
              </w:rPr>
              <w:t>Basic</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0.67</w:t>
            </w:r>
          </w:p>
        </w:tc>
        <w:tc>
          <w:tcPr>
            <w:tcW w:w="8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0.42</w:t>
            </w:r>
          </w:p>
        </w:tc>
        <w:tc>
          <w:tcPr>
            <w:tcW w:w="8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21"/>
                <w:szCs w:val="21"/>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
        </w:trPr>
        <w:tc>
          <w:tcPr>
            <w:tcW w:w="49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34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0.66</w:t>
            </w:r>
          </w:p>
        </w:tc>
        <w:tc>
          <w:tcPr>
            <w:tcW w:w="80" w:type="dxa"/>
            <w:vAlign w:val="bottom"/>
            <w:shd w:val="clear" w:color="auto" w:fill="D5DCE4"/>
          </w:tcPr>
          <w:p>
            <w:pPr>
              <w:spacing w:after="0"/>
              <w:rPr>
                <w:sz w:val="22"/>
                <w:szCs w:val="22"/>
                <w:color w:val="auto"/>
              </w:rPr>
            </w:pPr>
          </w:p>
        </w:tc>
        <w:tc>
          <w:tcPr>
            <w:tcW w:w="32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0.42</w:t>
            </w:r>
          </w:p>
        </w:tc>
        <w:tc>
          <w:tcPr>
            <w:tcW w:w="80" w:type="dxa"/>
            <w:vAlign w:val="bottom"/>
            <w:shd w:val="clear" w:color="auto" w:fill="D5DCE4"/>
          </w:tcPr>
          <w:p>
            <w:pPr>
              <w:spacing w:after="0"/>
              <w:rPr>
                <w:sz w:val="22"/>
                <w:szCs w:val="22"/>
                <w:color w:val="auto"/>
              </w:rPr>
            </w:pPr>
          </w:p>
        </w:tc>
        <w:tc>
          <w:tcPr>
            <w:tcW w:w="32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2.33</w:t>
            </w:r>
          </w:p>
        </w:tc>
        <w:tc>
          <w:tcPr>
            <w:tcW w:w="80" w:type="dxa"/>
            <w:vAlign w:val="bottom"/>
            <w:shd w:val="clear" w:color="auto" w:fill="D5DCE4"/>
          </w:tcPr>
          <w:p>
            <w:pPr>
              <w:spacing w:after="0"/>
              <w:rPr>
                <w:sz w:val="22"/>
                <w:szCs w:val="22"/>
                <w:color w:val="auto"/>
              </w:rPr>
            </w:pPr>
          </w:p>
        </w:tc>
        <w:tc>
          <w:tcPr>
            <w:tcW w:w="420" w:type="dxa"/>
            <w:vAlign w:val="bottom"/>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
        </w:trPr>
        <w:tc>
          <w:tcPr>
            <w:tcW w:w="4900" w:type="dxa"/>
            <w:vAlign w:val="bottom"/>
            <w:tcBorders>
              <w:top w:val="single" w:sz="8" w:color="D5DCE4"/>
              <w:bottom w:val="single" w:sz="8" w:color="D5DCE4"/>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8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213,039,958</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211,843,460</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213,030,056</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210,796,802</w:t>
            </w:r>
          </w:p>
        </w:tc>
        <w:tc>
          <w:tcPr>
            <w:tcW w:w="0" w:type="dxa"/>
            <w:vAlign w:val="bottom"/>
          </w:tcPr>
          <w:p>
            <w:pPr>
              <w:spacing w:after="0"/>
              <w:rPr>
                <w:sz w:val="1"/>
                <w:szCs w:val="1"/>
                <w:color w:val="auto"/>
              </w:rPr>
            </w:pPr>
          </w:p>
        </w:tc>
      </w:tr>
      <w:tr>
        <w:trPr>
          <w:trHeight w:val="228"/>
        </w:trPr>
        <w:tc>
          <w:tcPr>
            <w:tcW w:w="4900" w:type="dxa"/>
            <w:vAlign w:val="bottom"/>
          </w:tcPr>
          <w:p>
            <w:pPr>
              <w:ind w:left="14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215,043,352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213,833,001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214,924,763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212,668,808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5</w:t>
      </w:r>
    </w:p>
    <w:p>
      <w:pPr>
        <w:sectPr>
          <w:pgSz w:w="11900" w:h="16838" w:orient="portrait"/>
          <w:cols w:equalWidth="0" w:num="1">
            <w:col w:w="11240"/>
          </w:cols>
          <w:pgMar w:left="320" w:top="692"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20"/>
        <w:spacing w:after="0" w:line="280" w:lineRule="auto"/>
        <w:rPr>
          <w:sz w:val="20"/>
          <w:szCs w:val="20"/>
          <w:color w:val="auto"/>
        </w:rPr>
      </w:pPr>
      <w:r>
        <w:rPr>
          <w:rFonts w:ascii="Arial" w:cs="Arial" w:eastAsia="Arial" w:hAnsi="Arial"/>
          <w:sz w:val="16"/>
          <w:szCs w:val="16"/>
          <w:b w:val="1"/>
          <w:bCs w:val="1"/>
          <w:color w:val="auto"/>
        </w:rPr>
        <w:t>Reconciliation of Net Income to Adjusted EBITDA, Adjusted EBITDA Margin, Adjusted EBIT and Adjusted EBIT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8803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30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Quarter Ended December 31,</w:t>
            </w:r>
          </w:p>
        </w:tc>
        <w:tc>
          <w:tcPr>
            <w:tcW w:w="3200" w:type="dxa"/>
            <w:vAlign w:val="bottom"/>
            <w:gridSpan w:val="2"/>
          </w:tcPr>
          <w:p>
            <w:pPr>
              <w:ind w:left="600"/>
              <w:spacing w:after="0"/>
              <w:rPr>
                <w:sz w:val="20"/>
                <w:szCs w:val="20"/>
                <w:color w:val="auto"/>
              </w:rPr>
            </w:pPr>
            <w:r>
              <w:rPr>
                <w:rFonts w:ascii="Arial" w:cs="Arial" w:eastAsia="Arial" w:hAnsi="Arial"/>
                <w:sz w:val="16"/>
                <w:szCs w:val="16"/>
                <w:b w:val="1"/>
                <w:bCs w:val="1"/>
                <w:color w:val="auto"/>
              </w:rPr>
              <w:t>Year Ended December 31,</w:t>
            </w:r>
          </w:p>
        </w:tc>
      </w:tr>
      <w:tr>
        <w:trPr>
          <w:trHeight w:val="328"/>
        </w:trPr>
        <w:tc>
          <w:tcPr>
            <w:tcW w:w="16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7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160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2024</w:t>
            </w:r>
          </w:p>
        </w:tc>
        <w:tc>
          <w:tcPr>
            <w:tcW w:w="16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233"/>
        </w:trPr>
        <w:tc>
          <w:tcPr>
            <w:tcW w:w="1600" w:type="dxa"/>
            <w:vAlign w:val="bottom"/>
          </w:tcPr>
          <w:p>
            <w:pPr>
              <w:spacing w:after="0"/>
              <w:rPr>
                <w:sz w:val="20"/>
                <w:szCs w:val="20"/>
                <w:color w:val="auto"/>
              </w:rPr>
            </w:pPr>
          </w:p>
        </w:tc>
        <w:tc>
          <w:tcPr>
            <w:tcW w:w="3300" w:type="dxa"/>
            <w:vAlign w:val="bottom"/>
            <w:gridSpan w:val="2"/>
          </w:tcPr>
          <w:p>
            <w:pPr>
              <w:ind w:left="800"/>
              <w:spacing w:after="0"/>
              <w:rPr>
                <w:sz w:val="20"/>
                <w:szCs w:val="20"/>
                <w:color w:val="auto"/>
              </w:rPr>
            </w:pPr>
            <w:r>
              <w:rPr>
                <w:rFonts w:ascii="Arial" w:cs="Arial" w:eastAsia="Arial" w:hAnsi="Arial"/>
                <w:sz w:val="16"/>
                <w:szCs w:val="16"/>
                <w:b w:val="1"/>
                <w:bCs w:val="1"/>
                <w:color w:val="auto"/>
              </w:rPr>
              <w:t>(dollars in thousands)</w:t>
            </w:r>
          </w:p>
        </w:tc>
        <w:tc>
          <w:tcPr>
            <w:tcW w:w="1600" w:type="dxa"/>
            <w:vAlign w:val="bottom"/>
          </w:tcPr>
          <w:p>
            <w:pPr>
              <w:spacing w:after="0"/>
              <w:rPr>
                <w:sz w:val="20"/>
                <w:szCs w:val="20"/>
                <w:color w:val="auto"/>
              </w:rPr>
            </w:pPr>
          </w:p>
        </w:tc>
      </w:tr>
    </w:tbl>
    <w:p>
      <w:pPr>
        <w:spacing w:after="0" w:line="20" w:lineRule="exact"/>
        <w:rPr>
          <w:sz w:val="20"/>
          <w:szCs w:val="20"/>
          <w:color w:val="auto"/>
        </w:rPr>
      </w:pPr>
    </w:p>
    <w:p>
      <w:pPr>
        <w:sectPr>
          <w:pgSz w:w="11900" w:h="16838" w:orient="portrait"/>
          <w:cols w:equalWidth="0" w:num="2">
            <w:col w:w="4220" w:space="520"/>
            <w:col w:w="6500"/>
          </w:cols>
          <w:pgMar w:left="320" w:top="692"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159,942</w:t>
            </w:r>
          </w:p>
        </w:tc>
        <w:tc>
          <w:tcPr>
            <w:tcW w:w="80" w:type="dxa"/>
            <w:vAlign w:val="bottom"/>
            <w:shd w:val="clear" w:color="auto" w:fill="D5DCE4"/>
          </w:tcPr>
          <w:p>
            <w:pPr>
              <w:spacing w:after="0"/>
              <w:rPr>
                <w:sz w:val="20"/>
                <w:szCs w:val="20"/>
                <w:color w:val="auto"/>
              </w:rPr>
            </w:pP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103,741</w:t>
            </w:r>
          </w:p>
        </w:tc>
        <w:tc>
          <w:tcPr>
            <w:tcW w:w="80" w:type="dxa"/>
            <w:vAlign w:val="bottom"/>
            <w:shd w:val="clear" w:color="auto" w:fill="D5DCE4"/>
          </w:tcPr>
          <w:p>
            <w:pPr>
              <w:spacing w:after="0"/>
              <w:rPr>
                <w:sz w:val="20"/>
                <w:szCs w:val="20"/>
                <w:color w:val="auto"/>
              </w:rPr>
            </w:pPr>
          </w:p>
        </w:tc>
        <w:tc>
          <w:tcPr>
            <w:tcW w:w="420" w:type="dxa"/>
            <w:vAlign w:val="bottom"/>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569,963</w:t>
            </w:r>
          </w:p>
        </w:tc>
        <w:tc>
          <w:tcPr>
            <w:tcW w:w="80" w:type="dxa"/>
            <w:vAlign w:val="bottom"/>
            <w:shd w:val="clear" w:color="auto" w:fill="D5DCE4"/>
          </w:tcPr>
          <w:p>
            <w:pPr>
              <w:spacing w:after="0"/>
              <w:rPr>
                <w:sz w:val="20"/>
                <w:szCs w:val="20"/>
                <w:color w:val="auto"/>
              </w:rPr>
            </w:pPr>
          </w:p>
        </w:tc>
        <w:tc>
          <w:tcPr>
            <w:tcW w:w="400" w:type="dxa"/>
            <w:vAlign w:val="bottom"/>
            <w:shd w:val="clear" w:color="auto" w:fill="D5DCE4"/>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419,503</w:t>
            </w:r>
          </w:p>
        </w:tc>
        <w:tc>
          <w:tcPr>
            <w:tcW w:w="0" w:type="dxa"/>
            <w:vAlign w:val="bottom"/>
          </w:tcPr>
          <w:p>
            <w:pPr>
              <w:spacing w:after="0"/>
              <w:rPr>
                <w:sz w:val="1"/>
                <w:szCs w:val="1"/>
                <w:color w:val="auto"/>
              </w:rPr>
            </w:pPr>
          </w:p>
        </w:tc>
      </w:tr>
      <w:tr>
        <w:trPr>
          <w:trHeight w:val="270"/>
        </w:trPr>
        <w:tc>
          <w:tcPr>
            <w:tcW w:w="4740" w:type="dxa"/>
            <w:vAlign w:val="bottom"/>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440" w:type="dxa"/>
            <w:vAlign w:val="bottom"/>
          </w:tcPr>
          <w:p>
            <w:pPr>
              <w:spacing w:after="0"/>
              <w:rPr>
                <w:sz w:val="23"/>
                <w:szCs w:val="23"/>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1,071</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1,631</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22,823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8,042</w:t>
            </w:r>
          </w:p>
        </w:tc>
        <w:tc>
          <w:tcPr>
            <w:tcW w:w="0" w:type="dxa"/>
            <w:vAlign w:val="bottom"/>
          </w:tcPr>
          <w:p>
            <w:pPr>
              <w:spacing w:after="0"/>
              <w:rPr>
                <w:sz w:val="1"/>
                <w:szCs w:val="1"/>
                <w:color w:val="auto"/>
              </w:rPr>
            </w:pPr>
          </w:p>
        </w:tc>
      </w:tr>
      <w:tr>
        <w:trPr>
          <w:trHeight w:val="243"/>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Interest income</w:t>
            </w: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(14,803)</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(20,952)</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(74,037)</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(67,397)</w:t>
            </w:r>
          </w:p>
        </w:tc>
        <w:tc>
          <w:tcPr>
            <w:tcW w:w="0" w:type="dxa"/>
            <w:vAlign w:val="bottom"/>
          </w:tcPr>
          <w:p>
            <w:pPr>
              <w:spacing w:after="0"/>
              <w:rPr>
                <w:sz w:val="1"/>
                <w:szCs w:val="1"/>
                <w:color w:val="auto"/>
              </w:rPr>
            </w:pPr>
          </w:p>
        </w:tc>
      </w:tr>
      <w:tr>
        <w:trPr>
          <w:trHeight w:val="235"/>
        </w:trPr>
        <w:tc>
          <w:tcPr>
            <w:tcW w:w="47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573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667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4,279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2,047</w:t>
            </w:r>
          </w:p>
        </w:tc>
        <w:tc>
          <w:tcPr>
            <w:tcW w:w="0" w:type="dxa"/>
            <w:vAlign w:val="bottom"/>
          </w:tcPr>
          <w:p>
            <w:pPr>
              <w:spacing w:after="0"/>
              <w:rPr>
                <w:sz w:val="1"/>
                <w:szCs w:val="1"/>
                <w:color w:val="auto"/>
              </w:rPr>
            </w:pPr>
          </w:p>
        </w:tc>
      </w:tr>
      <w:tr>
        <w:trPr>
          <w:trHeight w:val="251"/>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Depreciation and amortization</w:t>
            </w: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62,854</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47,500</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219,999</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185,350</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44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701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987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6,096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2,947</w:t>
            </w:r>
          </w:p>
        </w:tc>
        <w:tc>
          <w:tcPr>
            <w:tcW w:w="0" w:type="dxa"/>
            <w:vAlign w:val="bottom"/>
          </w:tcPr>
          <w:p>
            <w:pPr>
              <w:spacing w:after="0"/>
              <w:rPr>
                <w:sz w:val="1"/>
                <w:szCs w:val="1"/>
                <w:color w:val="auto"/>
              </w:rPr>
            </w:pPr>
          </w:p>
        </w:tc>
      </w:tr>
      <w:tr>
        <w:trPr>
          <w:trHeight w:val="243"/>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50,304</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37,557</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184,439</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128,477</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440" w:type="dxa"/>
            <w:vAlign w:val="bottom"/>
          </w:tcPr>
          <w:p>
            <w:pPr>
              <w:spacing w:after="0"/>
              <w:rPr>
                <w:sz w:val="21"/>
                <w:szCs w:val="21"/>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(8,423)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4,195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(6,326)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43"/>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(8,600)</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9,517</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(7,730)</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9,517</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Other (income) loss, net</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1,124</w:t>
            </w:r>
          </w:p>
        </w:tc>
        <w:tc>
          <w:tcPr>
            <w:tcW w:w="80" w:type="dxa"/>
            <w:vAlign w:val="bottom"/>
            <w:tcBorders>
              <w:bottom w:val="single" w:sz="8" w:color="D5DCE4"/>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11,100</w:t>
            </w:r>
          </w:p>
        </w:tc>
        <w:tc>
          <w:tcPr>
            <w:tcW w:w="80" w:type="dxa"/>
            <w:vAlign w:val="bottom"/>
            <w:tcBorders>
              <w:bottom w:val="single" w:sz="8" w:color="D5DCE4"/>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1,114</w:t>
            </w:r>
          </w:p>
        </w:tc>
        <w:tc>
          <w:tcPr>
            <w:tcW w:w="80" w:type="dxa"/>
            <w:vAlign w:val="bottom"/>
            <w:tcBorders>
              <w:bottom w:val="single" w:sz="8" w:color="D5DCE4"/>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13,122</w:t>
            </w:r>
          </w:p>
        </w:tc>
        <w:tc>
          <w:tcPr>
            <w:tcW w:w="0" w:type="dxa"/>
            <w:vAlign w:val="bottom"/>
          </w:tcPr>
          <w:p>
            <w:pPr>
              <w:spacing w:after="0"/>
              <w:rPr>
                <w:sz w:val="1"/>
                <w:szCs w:val="1"/>
                <w:color w:val="auto"/>
              </w:rPr>
            </w:pPr>
          </w:p>
        </w:tc>
      </w:tr>
      <w:tr>
        <w:trPr>
          <w:trHeight w:val="268"/>
        </w:trPr>
        <w:tc>
          <w:tcPr>
            <w:tcW w:w="474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EBITDA</w:t>
            </w:r>
          </w:p>
        </w:tc>
        <w:tc>
          <w:tcPr>
            <w:tcW w:w="440" w:type="dxa"/>
            <w:vAlign w:val="bottom"/>
            <w:tcBorders>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244,743</w:t>
            </w:r>
          </w:p>
        </w:tc>
        <w:tc>
          <w:tcPr>
            <w:tcW w:w="80" w:type="dxa"/>
            <w:vAlign w:val="bottom"/>
            <w:tcBorders>
              <w:bottom w:val="single" w:sz="8" w:color="D5DCE4"/>
            </w:tcBorders>
            <w:shd w:val="clear" w:color="auto" w:fill="D5DCE4"/>
          </w:tcPr>
          <w:p>
            <w:pPr>
              <w:spacing w:after="0"/>
              <w:rPr>
                <w:sz w:val="22"/>
                <w:szCs w:val="22"/>
                <w:color w:val="auto"/>
              </w:rPr>
            </w:pPr>
          </w:p>
        </w:tc>
        <w:tc>
          <w:tcPr>
            <w:tcW w:w="440" w:type="dxa"/>
            <w:vAlign w:val="bottom"/>
            <w:tcBorders>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195,943</w:t>
            </w:r>
          </w:p>
        </w:tc>
        <w:tc>
          <w:tcPr>
            <w:tcW w:w="80" w:type="dxa"/>
            <w:vAlign w:val="bottom"/>
            <w:tcBorders>
              <w:bottom w:val="single" w:sz="8" w:color="D5DCE4"/>
            </w:tcBorders>
            <w:shd w:val="clear" w:color="auto" w:fill="D5DCE4"/>
          </w:tcPr>
          <w:p>
            <w:pPr>
              <w:spacing w:after="0"/>
              <w:rPr>
                <w:sz w:val="22"/>
                <w:szCs w:val="22"/>
                <w:color w:val="auto"/>
              </w:rPr>
            </w:pPr>
          </w:p>
        </w:tc>
        <w:tc>
          <w:tcPr>
            <w:tcW w:w="42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920,620</w:t>
            </w:r>
          </w:p>
        </w:tc>
        <w:tc>
          <w:tcPr>
            <w:tcW w:w="80" w:type="dxa"/>
            <w:vAlign w:val="bottom"/>
            <w:tcBorders>
              <w:bottom w:val="single" w:sz="8" w:color="D5DCE4"/>
            </w:tcBorders>
            <w:shd w:val="clear" w:color="auto" w:fill="D5DCE4"/>
          </w:tcPr>
          <w:p>
            <w:pPr>
              <w:spacing w:after="0"/>
              <w:rPr>
                <w:sz w:val="22"/>
                <w:szCs w:val="22"/>
                <w:color w:val="auto"/>
              </w:rPr>
            </w:pPr>
          </w:p>
        </w:tc>
        <w:tc>
          <w:tcPr>
            <w:tcW w:w="40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701,561</w:t>
            </w:r>
          </w:p>
        </w:tc>
        <w:tc>
          <w:tcPr>
            <w:tcW w:w="0" w:type="dxa"/>
            <w:vAlign w:val="bottom"/>
          </w:tcPr>
          <w:p>
            <w:pPr>
              <w:spacing w:after="0"/>
              <w:rPr>
                <w:sz w:val="1"/>
                <w:szCs w:val="1"/>
                <w:color w:val="auto"/>
              </w:rPr>
            </w:pPr>
          </w:p>
        </w:tc>
      </w:tr>
      <w:tr>
        <w:trPr>
          <w:trHeight w:val="20"/>
        </w:trPr>
        <w:tc>
          <w:tcPr>
            <w:tcW w:w="474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1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00" w:type="dxa"/>
            <w:vAlign w:val="bottom"/>
            <w:tcBorders>
              <w:top w:val="single" w:sz="8" w:color="D5DCE4"/>
              <w:bottom w:val="single" w:sz="8" w:color="auto"/>
            </w:tcBorders>
          </w:tcPr>
          <w:p>
            <w:pPr>
              <w:spacing w:after="0" w:line="20" w:lineRule="exact"/>
              <w:rPr>
                <w:sz w:val="1"/>
                <w:szCs w:val="1"/>
                <w:color w:val="auto"/>
              </w:rPr>
            </w:pPr>
          </w:p>
        </w:tc>
        <w:tc>
          <w:tcPr>
            <w:tcW w:w="116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color w:val="auto"/>
              </w:rPr>
              <w:t>Less: Depreciation and amortization</w:t>
            </w:r>
          </w:p>
        </w:tc>
        <w:tc>
          <w:tcPr>
            <w:tcW w:w="4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(62,854)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(47,500)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(219,999)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(185,350)</w:t>
            </w:r>
          </w:p>
        </w:tc>
        <w:tc>
          <w:tcPr>
            <w:tcW w:w="0" w:type="dxa"/>
            <w:vAlign w:val="bottom"/>
          </w:tcPr>
          <w:p>
            <w:pPr>
              <w:spacing w:after="0"/>
              <w:rPr>
                <w:sz w:val="1"/>
                <w:szCs w:val="1"/>
                <w:color w:val="auto"/>
              </w:rPr>
            </w:pPr>
          </w:p>
        </w:tc>
      </w:tr>
      <w:tr>
        <w:trPr>
          <w:trHeight w:val="183"/>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Add: D&amp;A related to acquisitions and the Refinitiv Transaction</w:t>
            </w:r>
          </w:p>
        </w:tc>
        <w:tc>
          <w:tcPr>
            <w:tcW w:w="440" w:type="dxa"/>
            <w:vAlign w:val="bottom"/>
            <w:shd w:val="clear" w:color="auto" w:fill="D5DCE4"/>
          </w:tcPr>
          <w:p>
            <w:pPr>
              <w:spacing w:after="0"/>
              <w:rPr>
                <w:sz w:val="15"/>
                <w:szCs w:val="15"/>
                <w:color w:val="auto"/>
              </w:rPr>
            </w:pPr>
          </w:p>
        </w:tc>
        <w:tc>
          <w:tcPr>
            <w:tcW w:w="11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45,458</w:t>
            </w:r>
          </w:p>
        </w:tc>
        <w:tc>
          <w:tcPr>
            <w:tcW w:w="80" w:type="dxa"/>
            <w:vAlign w:val="bottom"/>
            <w:shd w:val="clear" w:color="auto" w:fill="D5DCE4"/>
          </w:tcPr>
          <w:p>
            <w:pPr>
              <w:spacing w:after="0"/>
              <w:rPr>
                <w:sz w:val="15"/>
                <w:szCs w:val="15"/>
                <w:color w:val="auto"/>
              </w:rPr>
            </w:pPr>
          </w:p>
        </w:tc>
        <w:tc>
          <w:tcPr>
            <w:tcW w:w="440" w:type="dxa"/>
            <w:vAlign w:val="bottom"/>
            <w:shd w:val="clear" w:color="auto" w:fill="D5DCE4"/>
          </w:tcPr>
          <w:p>
            <w:pPr>
              <w:spacing w:after="0"/>
              <w:rPr>
                <w:sz w:val="15"/>
                <w:szCs w:val="15"/>
                <w:color w:val="auto"/>
              </w:rPr>
            </w:pPr>
          </w:p>
        </w:tc>
        <w:tc>
          <w:tcPr>
            <w:tcW w:w="11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32,514</w:t>
            </w:r>
          </w:p>
        </w:tc>
        <w:tc>
          <w:tcPr>
            <w:tcW w:w="80" w:type="dxa"/>
            <w:vAlign w:val="bottom"/>
            <w:shd w:val="clear" w:color="auto" w:fill="D5DCE4"/>
          </w:tcPr>
          <w:p>
            <w:pPr>
              <w:spacing w:after="0"/>
              <w:rPr>
                <w:sz w:val="15"/>
                <w:szCs w:val="15"/>
                <w:color w:val="auto"/>
              </w:rPr>
            </w:pPr>
          </w:p>
        </w:tc>
        <w:tc>
          <w:tcPr>
            <w:tcW w:w="420" w:type="dxa"/>
            <w:vAlign w:val="bottom"/>
            <w:shd w:val="clear" w:color="auto" w:fill="D5DCE4"/>
          </w:tcPr>
          <w:p>
            <w:pPr>
              <w:spacing w:after="0"/>
              <w:rPr>
                <w:sz w:val="15"/>
                <w:szCs w:val="15"/>
                <w:color w:val="auto"/>
              </w:rPr>
            </w:pPr>
          </w:p>
        </w:tc>
        <w:tc>
          <w:tcPr>
            <w:tcW w:w="1160" w:type="dxa"/>
            <w:vAlign w:val="bottom"/>
            <w:vMerge w:val="restart"/>
            <w:shd w:val="clear" w:color="auto" w:fill="D5DCE4"/>
          </w:tcPr>
          <w:p>
            <w:pPr>
              <w:jc w:val="right"/>
              <w:ind w:right="139"/>
              <w:spacing w:after="0"/>
              <w:rPr>
                <w:sz w:val="20"/>
                <w:szCs w:val="20"/>
                <w:color w:val="auto"/>
              </w:rPr>
            </w:pPr>
            <w:r>
              <w:rPr>
                <w:rFonts w:ascii="Arial" w:cs="Arial" w:eastAsia="Arial" w:hAnsi="Arial"/>
                <w:sz w:val="16"/>
                <w:szCs w:val="16"/>
                <w:color w:val="auto"/>
              </w:rPr>
              <w:t>156,489</w:t>
            </w:r>
          </w:p>
        </w:tc>
        <w:tc>
          <w:tcPr>
            <w:tcW w:w="80" w:type="dxa"/>
            <w:vAlign w:val="bottom"/>
            <w:shd w:val="clear" w:color="auto" w:fill="D5DCE4"/>
          </w:tcPr>
          <w:p>
            <w:pPr>
              <w:spacing w:after="0"/>
              <w:rPr>
                <w:sz w:val="15"/>
                <w:szCs w:val="15"/>
                <w:color w:val="auto"/>
              </w:rPr>
            </w:pPr>
          </w:p>
        </w:tc>
        <w:tc>
          <w:tcPr>
            <w:tcW w:w="400" w:type="dxa"/>
            <w:vAlign w:val="bottom"/>
            <w:shd w:val="clear" w:color="auto" w:fill="D5DCE4"/>
          </w:tcPr>
          <w:p>
            <w:pPr>
              <w:spacing w:after="0"/>
              <w:rPr>
                <w:sz w:val="15"/>
                <w:szCs w:val="15"/>
                <w:color w:val="auto"/>
              </w:rPr>
            </w:pPr>
          </w:p>
        </w:tc>
        <w:tc>
          <w:tcPr>
            <w:tcW w:w="116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127,731</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1"/>
                <w:szCs w:val="11"/>
                <w:color w:val="auto"/>
              </w:rPr>
              <w:t>(5)</w:t>
            </w:r>
          </w:p>
        </w:tc>
        <w:tc>
          <w:tcPr>
            <w:tcW w:w="440" w:type="dxa"/>
            <w:vAlign w:val="bottom"/>
            <w:tcBorders>
              <w:bottom w:val="single" w:sz="8" w:color="D5DCE4"/>
            </w:tcBorders>
            <w:shd w:val="clear" w:color="auto" w:fill="D5DCE4"/>
          </w:tcPr>
          <w:p>
            <w:pPr>
              <w:spacing w:after="0"/>
              <w:rPr>
                <w:sz w:val="17"/>
                <w:szCs w:val="17"/>
                <w:color w:val="auto"/>
              </w:rPr>
            </w:pPr>
          </w:p>
        </w:tc>
        <w:tc>
          <w:tcPr>
            <w:tcW w:w="112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440" w:type="dxa"/>
            <w:vAlign w:val="bottom"/>
            <w:tcBorders>
              <w:bottom w:val="single" w:sz="8" w:color="D5DCE4"/>
            </w:tcBorders>
            <w:shd w:val="clear" w:color="auto" w:fill="D5DCE4"/>
          </w:tcPr>
          <w:p>
            <w:pPr>
              <w:spacing w:after="0"/>
              <w:rPr>
                <w:sz w:val="17"/>
                <w:szCs w:val="17"/>
                <w:color w:val="auto"/>
              </w:rPr>
            </w:pPr>
          </w:p>
        </w:tc>
        <w:tc>
          <w:tcPr>
            <w:tcW w:w="112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420" w:type="dxa"/>
            <w:vAlign w:val="bottom"/>
            <w:tcBorders>
              <w:bottom w:val="single" w:sz="8" w:color="D5DCE4"/>
            </w:tcBorders>
            <w:shd w:val="clear" w:color="auto" w:fill="D5DCE4"/>
          </w:tcPr>
          <w:p>
            <w:pPr>
              <w:spacing w:after="0"/>
              <w:rPr>
                <w:sz w:val="17"/>
                <w:szCs w:val="17"/>
                <w:color w:val="auto"/>
              </w:rPr>
            </w:pPr>
          </w:p>
        </w:tc>
        <w:tc>
          <w:tcPr>
            <w:tcW w:w="116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400" w:type="dxa"/>
            <w:vAlign w:val="bottom"/>
            <w:tcBorders>
              <w:bottom w:val="single" w:sz="8" w:color="D5DCE4"/>
            </w:tcBorders>
            <w:shd w:val="clear" w:color="auto" w:fill="D5DCE4"/>
          </w:tcPr>
          <w:p>
            <w:pPr>
              <w:spacing w:after="0"/>
              <w:rPr>
                <w:sz w:val="17"/>
                <w:szCs w:val="17"/>
                <w:color w:val="auto"/>
              </w:rPr>
            </w:pPr>
          </w:p>
        </w:tc>
        <w:tc>
          <w:tcPr>
            <w:tcW w:w="1160" w:type="dxa"/>
            <w:vAlign w:val="bottom"/>
            <w:tcBorders>
              <w:bottom w:val="single" w:sz="8" w:color="D5DCE4"/>
            </w:tcBorders>
            <w:vMerge w:val="continue"/>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Adjusted EBIT</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227,347</w:t>
            </w:r>
          </w:p>
        </w:tc>
        <w:tc>
          <w:tcPr>
            <w:tcW w:w="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180,957</w:t>
            </w:r>
          </w:p>
        </w:tc>
        <w:tc>
          <w:tcPr>
            <w:tcW w:w="8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857,110</w:t>
            </w:r>
          </w:p>
        </w:tc>
        <w:tc>
          <w:tcPr>
            <w:tcW w:w="8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643,942</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3880" w:type="dxa"/>
            <w:vAlign w:val="bottom"/>
          </w:tcPr>
          <w:p>
            <w:pPr>
              <w:ind w:left="20"/>
              <w:spacing w:after="0"/>
              <w:rPr>
                <w:sz w:val="20"/>
                <w:szCs w:val="20"/>
                <w:color w:val="auto"/>
              </w:rPr>
            </w:pPr>
            <w:r>
              <w:rPr>
                <w:rFonts w:ascii="Arial" w:cs="Arial" w:eastAsia="Arial" w:hAnsi="Arial"/>
                <w:sz w:val="16"/>
                <w:szCs w:val="16"/>
                <w:color w:val="auto"/>
              </w:rPr>
              <w:t xml:space="preserve">Net income margin </w:t>
            </w:r>
            <w:r>
              <w:rPr>
                <w:rFonts w:ascii="Arial" w:cs="Arial" w:eastAsia="Arial" w:hAnsi="Arial"/>
                <w:sz w:val="21"/>
                <w:szCs w:val="21"/>
                <w:color w:val="auto"/>
                <w:vertAlign w:val="superscript"/>
              </w:rPr>
              <w:t>(6)</w:t>
            </w:r>
          </w:p>
        </w:tc>
        <w:tc>
          <w:tcPr>
            <w:tcW w:w="2980" w:type="dxa"/>
            <w:vAlign w:val="bottom"/>
          </w:tcPr>
          <w:p>
            <w:pPr>
              <w:jc w:val="right"/>
              <w:ind w:right="499"/>
              <w:spacing w:after="0"/>
              <w:rPr>
                <w:sz w:val="20"/>
                <w:szCs w:val="20"/>
                <w:color w:val="auto"/>
              </w:rPr>
            </w:pPr>
            <w:r>
              <w:rPr>
                <w:rFonts w:ascii="Arial" w:cs="Arial" w:eastAsia="Arial" w:hAnsi="Arial"/>
                <w:sz w:val="16"/>
                <w:szCs w:val="16"/>
                <w:color w:val="auto"/>
              </w:rPr>
              <w:t>34.5 %</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28.0 %</w:t>
            </w:r>
          </w:p>
        </w:tc>
        <w:tc>
          <w:tcPr>
            <w:tcW w:w="1640" w:type="dxa"/>
            <w:vAlign w:val="bottom"/>
          </w:tcPr>
          <w:p>
            <w:pPr>
              <w:jc w:val="right"/>
              <w:ind w:right="479"/>
              <w:spacing w:after="0"/>
              <w:rPr>
                <w:sz w:val="20"/>
                <w:szCs w:val="20"/>
                <w:color w:val="auto"/>
              </w:rPr>
            </w:pPr>
            <w:r>
              <w:rPr>
                <w:rFonts w:ascii="Arial" w:cs="Arial" w:eastAsia="Arial" w:hAnsi="Arial"/>
                <w:sz w:val="16"/>
                <w:szCs w:val="16"/>
                <w:color w:val="auto"/>
              </w:rPr>
              <w:t>33.0 %</w:t>
            </w:r>
          </w:p>
        </w:tc>
        <w:tc>
          <w:tcPr>
            <w:tcW w:w="1100" w:type="dxa"/>
            <w:vAlign w:val="bottom"/>
          </w:tcPr>
          <w:p>
            <w:pPr>
              <w:jc w:val="right"/>
              <w:spacing w:after="0"/>
              <w:rPr>
                <w:sz w:val="20"/>
                <w:szCs w:val="20"/>
                <w:color w:val="auto"/>
              </w:rPr>
            </w:pPr>
            <w:r>
              <w:rPr>
                <w:rFonts w:ascii="Arial" w:cs="Arial" w:eastAsia="Arial" w:hAnsi="Arial"/>
                <w:sz w:val="16"/>
                <w:szCs w:val="16"/>
                <w:color w:val="auto"/>
              </w:rPr>
              <w:t>31.3 %</w:t>
            </w:r>
          </w:p>
        </w:tc>
      </w:tr>
      <w:tr>
        <w:trPr>
          <w:trHeight w:val="230"/>
        </w:trPr>
        <w:tc>
          <w:tcPr>
            <w:tcW w:w="38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2980" w:type="dxa"/>
            <w:vAlign w:val="bottom"/>
          </w:tcPr>
          <w:p>
            <w:pPr>
              <w:jc w:val="right"/>
              <w:ind w:right="499"/>
              <w:spacing w:after="0"/>
              <w:rPr>
                <w:sz w:val="20"/>
                <w:szCs w:val="20"/>
                <w:color w:val="auto"/>
              </w:rPr>
            </w:pPr>
            <w:r>
              <w:rPr>
                <w:rFonts w:ascii="Arial" w:cs="Arial" w:eastAsia="Arial" w:hAnsi="Arial"/>
                <w:sz w:val="16"/>
                <w:szCs w:val="16"/>
                <w:color w:val="auto"/>
              </w:rPr>
              <w:t>52.8 %</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53.0 %</w:t>
            </w:r>
          </w:p>
        </w:tc>
        <w:tc>
          <w:tcPr>
            <w:tcW w:w="1640" w:type="dxa"/>
            <w:vAlign w:val="bottom"/>
          </w:tcPr>
          <w:p>
            <w:pPr>
              <w:jc w:val="right"/>
              <w:ind w:right="479"/>
              <w:spacing w:after="0"/>
              <w:rPr>
                <w:sz w:val="20"/>
                <w:szCs w:val="20"/>
                <w:color w:val="auto"/>
              </w:rPr>
            </w:pPr>
            <w:r>
              <w:rPr>
                <w:rFonts w:ascii="Arial" w:cs="Arial" w:eastAsia="Arial" w:hAnsi="Arial"/>
                <w:sz w:val="16"/>
                <w:szCs w:val="16"/>
                <w:color w:val="auto"/>
              </w:rPr>
              <w:t>53.3 %</w:t>
            </w:r>
          </w:p>
        </w:tc>
        <w:tc>
          <w:tcPr>
            <w:tcW w:w="1100" w:type="dxa"/>
            <w:vAlign w:val="bottom"/>
          </w:tcPr>
          <w:p>
            <w:pPr>
              <w:jc w:val="right"/>
              <w:spacing w:after="0"/>
              <w:rPr>
                <w:sz w:val="20"/>
                <w:szCs w:val="20"/>
                <w:color w:val="auto"/>
              </w:rPr>
            </w:pPr>
            <w:r>
              <w:rPr>
                <w:rFonts w:ascii="Arial" w:cs="Arial" w:eastAsia="Arial" w:hAnsi="Arial"/>
                <w:sz w:val="16"/>
                <w:szCs w:val="16"/>
                <w:color w:val="auto"/>
              </w:rPr>
              <w:t>52.4 %</w:t>
            </w:r>
          </w:p>
        </w:tc>
      </w:tr>
      <w:tr>
        <w:trPr>
          <w:trHeight w:val="243"/>
        </w:trPr>
        <w:tc>
          <w:tcPr>
            <w:tcW w:w="388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2980" w:type="dxa"/>
            <w:vAlign w:val="bottom"/>
            <w:shd w:val="clear" w:color="auto" w:fill="D5DCE4"/>
          </w:tcPr>
          <w:p>
            <w:pPr>
              <w:jc w:val="right"/>
              <w:ind w:right="499"/>
              <w:spacing w:after="0"/>
              <w:rPr>
                <w:sz w:val="20"/>
                <w:szCs w:val="20"/>
                <w:color w:val="auto"/>
              </w:rPr>
            </w:pPr>
            <w:r>
              <w:rPr>
                <w:rFonts w:ascii="Arial" w:cs="Arial" w:eastAsia="Arial" w:hAnsi="Arial"/>
                <w:sz w:val="16"/>
                <w:szCs w:val="16"/>
                <w:color w:val="auto"/>
              </w:rPr>
              <w:t>49.1 %</w:t>
            </w:r>
          </w:p>
        </w:tc>
        <w:tc>
          <w:tcPr>
            <w:tcW w:w="1640" w:type="dxa"/>
            <w:vAlign w:val="bottom"/>
            <w:shd w:val="clear" w:color="auto" w:fill="D5DCE4"/>
          </w:tcPr>
          <w:p>
            <w:pPr>
              <w:jc w:val="right"/>
              <w:ind w:right="499"/>
              <w:spacing w:after="0"/>
              <w:rPr>
                <w:sz w:val="20"/>
                <w:szCs w:val="20"/>
                <w:color w:val="auto"/>
              </w:rPr>
            </w:pPr>
            <w:r>
              <w:rPr>
                <w:rFonts w:ascii="Arial" w:cs="Arial" w:eastAsia="Arial" w:hAnsi="Arial"/>
                <w:sz w:val="16"/>
                <w:szCs w:val="16"/>
                <w:color w:val="auto"/>
              </w:rPr>
              <w:t>48.9 %</w:t>
            </w:r>
          </w:p>
        </w:tc>
        <w:tc>
          <w:tcPr>
            <w:tcW w:w="1640" w:type="dxa"/>
            <w:vAlign w:val="bottom"/>
            <w:shd w:val="clear" w:color="auto" w:fill="D5DCE4"/>
          </w:tcPr>
          <w:p>
            <w:pPr>
              <w:jc w:val="right"/>
              <w:ind w:right="479"/>
              <w:spacing w:after="0"/>
              <w:rPr>
                <w:sz w:val="20"/>
                <w:szCs w:val="20"/>
                <w:color w:val="auto"/>
              </w:rPr>
            </w:pPr>
            <w:r>
              <w:rPr>
                <w:rFonts w:ascii="Arial" w:cs="Arial" w:eastAsia="Arial" w:hAnsi="Arial"/>
                <w:sz w:val="16"/>
                <w:szCs w:val="16"/>
                <w:color w:val="auto"/>
              </w:rPr>
              <w:t>49.7 %</w:t>
            </w: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48.1 %</w:t>
            </w:r>
          </w:p>
        </w:tc>
      </w:tr>
    </w:tbl>
    <w:p>
      <w:pPr>
        <w:spacing w:after="0" w:line="114" w:lineRule="exact"/>
        <w:rPr>
          <w:sz w:val="20"/>
          <w:szCs w:val="20"/>
          <w:color w:val="auto"/>
        </w:rPr>
      </w:pPr>
    </w:p>
    <w:p>
      <w:pPr>
        <w:ind w:left="440" w:right="40" w:hanging="414"/>
        <w:spacing w:after="0" w:line="181" w:lineRule="auto"/>
        <w:tabs>
          <w:tab w:leader="none" w:pos="440" w:val="left"/>
        </w:tabs>
        <w:numPr>
          <w:ilvl w:val="0"/>
          <w:numId w:val="8"/>
        </w:numPr>
        <w:rPr>
          <w:rFonts w:ascii="Arial" w:cs="Arial" w:eastAsia="Arial" w:hAnsi="Arial"/>
          <w:sz w:val="22"/>
          <w:szCs w:val="22"/>
          <w:color w:val="auto"/>
          <w:vertAlign w:val="subscript"/>
        </w:rPr>
      </w:pPr>
      <w:r>
        <w:rPr>
          <w:rFonts w:ascii="Arial" w:cs="Arial" w:eastAsia="Arial" w:hAnsi="Arial"/>
          <w:sz w:val="11"/>
          <w:szCs w:val="11"/>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37" w:lineRule="exact"/>
        <w:rPr>
          <w:rFonts w:ascii="Arial" w:cs="Arial" w:eastAsia="Arial" w:hAnsi="Arial"/>
          <w:sz w:val="22"/>
          <w:szCs w:val="22"/>
          <w:color w:val="auto"/>
          <w:vertAlign w:val="subscript"/>
        </w:rPr>
      </w:pPr>
    </w:p>
    <w:p>
      <w:pPr>
        <w:ind w:left="440" w:right="220" w:hanging="414"/>
        <w:spacing w:after="0" w:line="265"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quarter ended and year ended December 31, 2024, this adjustment also includes none and $2.7 million, respectively, of non-cash accelerated stock-based compensation expense and related payroll taxes associated with our former President and $0.6 million and $1.0 million, respectively, of non-cash stock-based compensation expense and related payroll taxes associated with RSAs and RSUs issued to help retain key ICD employees during the integration of ICD</w:t>
      </w:r>
      <w:r>
        <w:rPr>
          <w:rFonts w:ascii="Arial" w:cs="Arial" w:eastAsia="Arial" w:hAnsi="Arial"/>
          <w:sz w:val="14"/>
          <w:szCs w:val="14"/>
          <w:color w:val="auto"/>
        </w:rPr>
        <w:t>.</w:t>
      </w:r>
    </w:p>
    <w:p>
      <w:pPr>
        <w:spacing w:after="0" w:line="13" w:lineRule="exact"/>
        <w:rPr>
          <w:rFonts w:ascii="Arial" w:cs="Arial" w:eastAsia="Arial" w:hAnsi="Arial"/>
          <w:sz w:val="12"/>
          <w:szCs w:val="12"/>
          <w:color w:val="auto"/>
        </w:rPr>
      </w:pPr>
    </w:p>
    <w:p>
      <w:pPr>
        <w:ind w:left="440" w:right="460" w:hanging="414"/>
        <w:spacing w:after="0" w:line="282"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13" w:lineRule="exact"/>
        <w:rPr>
          <w:rFonts w:ascii="Arial" w:cs="Arial" w:eastAsia="Arial" w:hAnsi="Arial"/>
          <w:sz w:val="12"/>
          <w:szCs w:val="12"/>
          <w:color w:val="auto"/>
        </w:rPr>
      </w:pPr>
    </w:p>
    <w:p>
      <w:pPr>
        <w:ind w:left="440" w:right="220" w:hanging="414"/>
        <w:spacing w:after="0" w:line="282"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as applicable, changes in the mix of earnings, tax legislation and tax rates in various jurisdictions which impacted our tax savings.</w:t>
      </w:r>
    </w:p>
    <w:p>
      <w:pPr>
        <w:spacing w:after="0" w:line="13" w:lineRule="exact"/>
        <w:rPr>
          <w:rFonts w:ascii="Arial" w:cs="Arial" w:eastAsia="Arial" w:hAnsi="Arial"/>
          <w:sz w:val="12"/>
          <w:szCs w:val="12"/>
          <w:color w:val="auto"/>
        </w:rPr>
      </w:pPr>
    </w:p>
    <w:p>
      <w:pPr>
        <w:ind w:left="440" w:right="680" w:hanging="414"/>
        <w:spacing w:after="0" w:line="316" w:lineRule="auto"/>
        <w:tabs>
          <w:tab w:leader="none" w:pos="44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r>
        <w:rPr>
          <w:rFonts w:ascii="Arial" w:cs="Arial" w:eastAsia="Arial" w:hAnsi="Arial"/>
          <w:sz w:val="13"/>
          <w:szCs w:val="13"/>
          <w:color w:val="auto"/>
        </w:rPr>
        <w:t>.</w:t>
      </w:r>
    </w:p>
    <w:p>
      <w:pPr>
        <w:spacing w:after="0" w:line="1" w:lineRule="exact"/>
        <w:rPr>
          <w:rFonts w:ascii="Arial" w:cs="Arial" w:eastAsia="Arial" w:hAnsi="Arial"/>
          <w:sz w:val="11"/>
          <w:szCs w:val="11"/>
          <w:color w:val="auto"/>
        </w:rPr>
      </w:pPr>
    </w:p>
    <w:p>
      <w:pPr>
        <w:ind w:left="440" w:hanging="414"/>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Net income margin, Adjusted EBITDA margin and Adjusted EBIT margin are defined as net income, Adjusted EBITDA and Adjusted EBIT, respectively, divided by revenue for the applicable period.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 Adjusted Net Income and</w:t>
            </w:r>
          </w:p>
        </w:tc>
        <w:tc>
          <w:tcPr>
            <w:tcW w:w="280" w:type="dxa"/>
            <w:vAlign w:val="bottom"/>
          </w:tcPr>
          <w:p>
            <w:pPr>
              <w:spacing w:after="0"/>
              <w:rPr>
                <w:sz w:val="21"/>
                <w:szCs w:val="21"/>
                <w:color w:val="auto"/>
              </w:rPr>
            </w:pPr>
          </w:p>
        </w:tc>
        <w:tc>
          <w:tcPr>
            <w:tcW w:w="2880" w:type="dxa"/>
            <w:vAlign w:val="bottom"/>
            <w:gridSpan w:val="5"/>
          </w:tcPr>
          <w:p>
            <w:pPr>
              <w:ind w:left="160"/>
              <w:spacing w:after="0"/>
              <w:rPr>
                <w:sz w:val="20"/>
                <w:szCs w:val="20"/>
                <w:color w:val="auto"/>
              </w:rPr>
            </w:pPr>
            <w:r>
              <w:rPr>
                <w:rFonts w:ascii="Arial" w:cs="Arial" w:eastAsia="Arial" w:hAnsi="Arial"/>
                <w:sz w:val="16"/>
                <w:szCs w:val="16"/>
                <w:b w:val="1"/>
                <w:bCs w:val="1"/>
                <w:color w:val="auto"/>
              </w:rPr>
              <w:t>Quarter Ended December 31,</w:t>
            </w:r>
          </w:p>
        </w:tc>
        <w:tc>
          <w:tcPr>
            <w:tcW w:w="340" w:type="dxa"/>
            <w:vAlign w:val="bottom"/>
          </w:tcPr>
          <w:p>
            <w:pPr>
              <w:spacing w:after="0"/>
              <w:rPr>
                <w:sz w:val="21"/>
                <w:szCs w:val="21"/>
                <w:color w:val="auto"/>
              </w:rPr>
            </w:pPr>
          </w:p>
        </w:tc>
        <w:tc>
          <w:tcPr>
            <w:tcW w:w="27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Year Ended December 31,</w:t>
            </w:r>
          </w:p>
        </w:tc>
      </w:tr>
      <w:tr>
        <w:trPr>
          <w:trHeight w:val="226"/>
        </w:trPr>
        <w:tc>
          <w:tcPr>
            <w:tcW w:w="500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Diluted EPS</w:t>
            </w:r>
          </w:p>
        </w:tc>
        <w:tc>
          <w:tcPr>
            <w:tcW w:w="280" w:type="dxa"/>
            <w:vAlign w:val="bottom"/>
          </w:tcPr>
          <w:p>
            <w:pPr>
              <w:spacing w:after="0"/>
              <w:rPr>
                <w:sz w:val="19"/>
                <w:szCs w:val="19"/>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36"/>
        </w:trPr>
        <w:tc>
          <w:tcPr>
            <w:tcW w:w="4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880" w:type="dxa"/>
            <w:vAlign w:val="bottom"/>
            <w:tcBorders>
              <w:top w:val="single" w:sz="8" w:color="auto"/>
            </w:tcBorders>
            <w:gridSpan w:val="9"/>
          </w:tcPr>
          <w:p>
            <w:pPr>
              <w:jc w:val="right"/>
              <w:ind w:right="59"/>
              <w:spacing w:after="0"/>
              <w:rPr>
                <w:sz w:val="20"/>
                <w:szCs w:val="20"/>
                <w:color w:val="auto"/>
              </w:rPr>
            </w:pPr>
            <w:r>
              <w:rPr>
                <w:rFonts w:ascii="Arial" w:cs="Arial" w:eastAsia="Arial" w:hAnsi="Arial"/>
                <w:sz w:val="16"/>
                <w:szCs w:val="16"/>
                <w:b w:val="1"/>
                <w:bCs w:val="1"/>
                <w:color w:val="auto"/>
              </w:rPr>
              <w:t>(dollars in thousands, except per share amounts)</w:t>
            </w:r>
          </w:p>
        </w:tc>
        <w:tc>
          <w:tcPr>
            <w:tcW w:w="1080" w:type="dxa"/>
            <w:vAlign w:val="bottom"/>
            <w:tcBorders>
              <w:top w:val="single" w:sz="8" w:color="auto"/>
            </w:tcBorders>
          </w:tcPr>
          <w:p>
            <w:pPr>
              <w:spacing w:after="0"/>
              <w:rPr>
                <w:sz w:val="20"/>
                <w:szCs w:val="20"/>
                <w:color w:val="auto"/>
              </w:rPr>
            </w:pPr>
          </w:p>
        </w:tc>
      </w:tr>
      <w:tr>
        <w:trPr>
          <w:trHeight w:val="272"/>
        </w:trPr>
        <w:tc>
          <w:tcPr>
            <w:tcW w:w="500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280" w:type="dxa"/>
            <w:vAlign w:val="bottom"/>
            <w:tcBorders>
              <w:bottom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0.66</w:t>
            </w:r>
          </w:p>
        </w:tc>
        <w:tc>
          <w:tcPr>
            <w:tcW w:w="80" w:type="dxa"/>
            <w:vAlign w:val="bottom"/>
            <w:tcBorders>
              <w:bottom w:val="single" w:sz="8" w:color="D5DCE4"/>
            </w:tcBorders>
            <w:shd w:val="clear" w:color="auto" w:fill="D5DCE4"/>
          </w:tcPr>
          <w:p>
            <w:pPr>
              <w:spacing w:after="0"/>
              <w:rPr>
                <w:sz w:val="23"/>
                <w:szCs w:val="23"/>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0.42</w:t>
            </w:r>
          </w:p>
        </w:tc>
        <w:tc>
          <w:tcPr>
            <w:tcW w:w="80" w:type="dxa"/>
            <w:vAlign w:val="bottom"/>
            <w:tcBorders>
              <w:bottom w:val="single" w:sz="8" w:color="D5DCE4"/>
            </w:tcBorders>
            <w:shd w:val="clear" w:color="auto" w:fill="D5DCE4"/>
          </w:tcPr>
          <w:p>
            <w:pPr>
              <w:spacing w:after="0"/>
              <w:rPr>
                <w:sz w:val="23"/>
                <w:szCs w:val="23"/>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2.33</w:t>
            </w:r>
          </w:p>
        </w:tc>
        <w:tc>
          <w:tcPr>
            <w:tcW w:w="80" w:type="dxa"/>
            <w:vAlign w:val="bottom"/>
            <w:tcBorders>
              <w:bottom w:val="single" w:sz="8" w:color="D5DCE4"/>
            </w:tcBorders>
            <w:shd w:val="clear" w:color="auto" w:fill="D5DCE4"/>
          </w:tcPr>
          <w:p>
            <w:pPr>
              <w:spacing w:after="0"/>
              <w:rPr>
                <w:sz w:val="23"/>
                <w:szCs w:val="23"/>
                <w:color w:val="auto"/>
              </w:rPr>
            </w:pPr>
          </w:p>
        </w:tc>
        <w:tc>
          <w:tcPr>
            <w:tcW w:w="420" w:type="dxa"/>
            <w:vAlign w:val="bottom"/>
            <w:tcBorders>
              <w:bottom w:val="single" w:sz="8" w:color="auto"/>
            </w:tcBorders>
            <w:shd w:val="clear" w:color="auto" w:fill="D5DCE4"/>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1.71</w:t>
            </w:r>
          </w:p>
        </w:tc>
      </w:tr>
      <w:tr>
        <w:trPr>
          <w:trHeight w:val="20"/>
        </w:trPr>
        <w:tc>
          <w:tcPr>
            <w:tcW w:w="49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8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080" w:type="dxa"/>
            <w:vAlign w:val="bottom"/>
            <w:tcBorders>
              <w:top w:val="single" w:sz="8" w:color="D5DCE4"/>
              <w:bottom w:val="single" w:sz="8" w:color="auto"/>
            </w:tcBorders>
          </w:tcPr>
          <w:p>
            <w:pPr>
              <w:spacing w:after="0" w:line="20" w:lineRule="exact"/>
              <w:rPr>
                <w:sz w:val="1"/>
                <w:szCs w:val="1"/>
                <w:color w:val="auto"/>
              </w:rPr>
            </w:pPr>
          </w:p>
        </w:tc>
      </w:tr>
      <w:tr>
        <w:trPr>
          <w:trHeight w:val="209"/>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142,210</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89,314</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501,507</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364,866</w:t>
            </w:r>
          </w:p>
        </w:tc>
      </w:tr>
      <w:tr>
        <w:trPr>
          <w:trHeight w:val="251"/>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17,732</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14,427</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68,456</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54,637</w:t>
            </w:r>
          </w:p>
        </w:tc>
      </w:tr>
      <w:tr>
        <w:trPr>
          <w:trHeight w:val="229"/>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159,942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103,741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569,963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419,503</w:t>
            </w:r>
          </w:p>
        </w:tc>
      </w:tr>
      <w:tr>
        <w:trPr>
          <w:trHeight w:val="251"/>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50,304</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37,557</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184,439</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128,477</w:t>
            </w: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(2)</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1,631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22,823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8,042</w:t>
            </w:r>
          </w:p>
        </w:tc>
      </w:tr>
      <w:tr>
        <w:trPr>
          <w:trHeight w:val="24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45,458</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32,514</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156,489</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127,731</w:t>
            </w: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6,096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2,947</w:t>
            </w:r>
          </w:p>
        </w:tc>
      </w:tr>
      <w:tr>
        <w:trPr>
          <w:trHeight w:val="24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(8,423)</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4,195</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(6,326)</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w:t>
            </w: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9,517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(7,730)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9,517</w:t>
            </w:r>
          </w:p>
        </w:tc>
      </w:tr>
      <w:tr>
        <w:trPr>
          <w:trHeight w:val="24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Other (income) loss, net</w:t>
            </w:r>
          </w:p>
        </w:tc>
        <w:tc>
          <w:tcPr>
            <w:tcW w:w="280" w:type="dxa"/>
            <w:vAlign w:val="bottom"/>
            <w:tcBorders>
              <w:bottom w:val="single" w:sz="8" w:color="auto"/>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1,124</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11,100</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1,114</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13,122</w:t>
            </w:r>
          </w:p>
        </w:tc>
      </w:tr>
      <w:tr>
        <w:trPr>
          <w:trHeight w:val="229"/>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241,577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201,242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926,868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709,292</w:t>
            </w:r>
          </w:p>
        </w:tc>
      </w:tr>
      <w:tr>
        <w:trPr>
          <w:trHeight w:val="251"/>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280" w:type="dxa"/>
            <w:vAlign w:val="bottom"/>
            <w:tcBorders>
              <w:bottom w:val="single" w:sz="8" w:color="auto"/>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(60,394)</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(49,305)</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(231,717)</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(173,777)</w:t>
            </w:r>
          </w:p>
        </w:tc>
      </w:tr>
      <w:tr>
        <w:trPr>
          <w:trHeight w:val="230"/>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Adjusted Net Income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181,183</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151,937</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695,151</w:t>
            </w: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535,515</w:t>
            </w:r>
          </w:p>
        </w:tc>
      </w:tr>
      <w:tr>
        <w:trPr>
          <w:trHeight w:val="21"/>
        </w:trPr>
        <w:tc>
          <w:tcPr>
            <w:tcW w:w="492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68"/>
        </w:trPr>
        <w:tc>
          <w:tcPr>
            <w:tcW w:w="500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280" w:type="dxa"/>
            <w:vAlign w:val="bottom"/>
            <w:tcBorders>
              <w:bottom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0.76</w:t>
            </w:r>
          </w:p>
        </w:tc>
        <w:tc>
          <w:tcPr>
            <w:tcW w:w="80" w:type="dxa"/>
            <w:vAlign w:val="bottom"/>
            <w:tcBorders>
              <w:bottom w:val="single" w:sz="8" w:color="D5DCE4"/>
            </w:tcBorders>
            <w:shd w:val="clear" w:color="auto" w:fill="D5DCE4"/>
          </w:tcPr>
          <w:p>
            <w:pPr>
              <w:spacing w:after="0"/>
              <w:rPr>
                <w:sz w:val="22"/>
                <w:szCs w:val="22"/>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0.64</w:t>
            </w:r>
          </w:p>
        </w:tc>
        <w:tc>
          <w:tcPr>
            <w:tcW w:w="80" w:type="dxa"/>
            <w:vAlign w:val="bottom"/>
            <w:tcBorders>
              <w:bottom w:val="single" w:sz="8" w:color="D5DCE4"/>
            </w:tcBorders>
            <w:shd w:val="clear" w:color="auto" w:fill="D5DCE4"/>
          </w:tcPr>
          <w:p>
            <w:pPr>
              <w:spacing w:after="0"/>
              <w:rPr>
                <w:sz w:val="22"/>
                <w:szCs w:val="22"/>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2.92</w:t>
            </w:r>
          </w:p>
        </w:tc>
        <w:tc>
          <w:tcPr>
            <w:tcW w:w="80" w:type="dxa"/>
            <w:vAlign w:val="bottom"/>
            <w:tcBorders>
              <w:bottom w:val="single" w:sz="8" w:color="D5DCE4"/>
            </w:tcBorders>
            <w:shd w:val="clear" w:color="auto" w:fill="D5DCE4"/>
          </w:tcPr>
          <w:p>
            <w:pPr>
              <w:spacing w:after="0"/>
              <w:rPr>
                <w:sz w:val="22"/>
                <w:szCs w:val="22"/>
                <w:color w:val="auto"/>
              </w:rPr>
            </w:pPr>
          </w:p>
        </w:tc>
        <w:tc>
          <w:tcPr>
            <w:tcW w:w="420" w:type="dxa"/>
            <w:vAlign w:val="bottom"/>
            <w:tcBorders>
              <w:bottom w:val="single" w:sz="8" w:color="auto"/>
            </w:tcBorders>
            <w:shd w:val="clear" w:color="auto" w:fill="D5DCE4"/>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2.26</w:t>
            </w:r>
          </w:p>
        </w:tc>
      </w:tr>
      <w:tr>
        <w:trPr>
          <w:trHeight w:val="20"/>
        </w:trPr>
        <w:tc>
          <w:tcPr>
            <w:tcW w:w="49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8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080" w:type="dxa"/>
            <w:vAlign w:val="bottom"/>
            <w:tcBorders>
              <w:top w:val="single" w:sz="8" w:color="D5DCE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92" w:right="339" w:bottom="1440" w:gutter="0" w:footer="0" w:header="0"/>
          <w:type w:val="continuous"/>
        </w:sectPr>
      </w:pPr>
    </w:p>
    <w:p>
      <w:pPr>
        <w:spacing w:after="0" w:line="227"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6</w:t>
      </w:r>
    </w:p>
    <w:p>
      <w:pPr>
        <w:sectPr>
          <w:pgSz w:w="11900" w:h="16838" w:orient="portrait"/>
          <w:cols w:equalWidth="0" w:num="1">
            <w:col w:w="11240"/>
          </w:cols>
          <w:pgMar w:left="320" w:top="692" w:right="339" w:bottom="1440" w:gutter="0" w:footer="0" w:header="0"/>
          <w:type w:val="continuous"/>
        </w:sectPr>
      </w:pPr>
    </w:p>
    <w:bookmarkStart w:id="9" w:name="page10"/>
    <w:bookmarkEnd w:id="9"/>
    <w:p>
      <w:pPr>
        <w:ind w:left="440" w:right="100" w:hanging="414"/>
        <w:spacing w:after="0" w:line="258"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spacing w:after="0" w:line="40" w:lineRule="exact"/>
        <w:rPr>
          <w:rFonts w:ascii="Arial" w:cs="Arial" w:eastAsia="Arial" w:hAnsi="Arial"/>
          <w:sz w:val="12"/>
          <w:szCs w:val="12"/>
          <w:color w:val="auto"/>
        </w:rPr>
      </w:pPr>
    </w:p>
    <w:p>
      <w:pPr>
        <w:ind w:left="440" w:right="40" w:hanging="414"/>
        <w:spacing w:after="0" w:line="258"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40" w:lineRule="exact"/>
        <w:rPr>
          <w:rFonts w:ascii="Arial" w:cs="Arial" w:eastAsia="Arial" w:hAnsi="Arial"/>
          <w:sz w:val="12"/>
          <w:szCs w:val="12"/>
          <w:color w:val="auto"/>
        </w:rPr>
      </w:pPr>
    </w:p>
    <w:p>
      <w:pPr>
        <w:ind w:left="440" w:right="680" w:hanging="414"/>
        <w:spacing w:after="0" w:line="304" w:lineRule="auto"/>
        <w:tabs>
          <w:tab w:leader="none" w:pos="440" w:val="left"/>
        </w:tabs>
        <w:numPr>
          <w:ilvl w:val="0"/>
          <w:numId w:val="9"/>
        </w:numPr>
        <w:rPr>
          <w:rFonts w:ascii="Arial" w:cs="Arial" w:eastAsia="Arial" w:hAnsi="Arial"/>
          <w:sz w:val="11"/>
          <w:szCs w:val="11"/>
          <w:color w:val="auto"/>
        </w:rPr>
      </w:pPr>
      <w:r>
        <w:rPr>
          <w:rFonts w:ascii="Arial" w:cs="Arial" w:eastAsia="Arial" w:hAnsi="Arial"/>
          <w:sz w:val="11"/>
          <w:szCs w:val="11"/>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7" w:lineRule="exact"/>
        <w:rPr>
          <w:rFonts w:ascii="Arial" w:cs="Arial" w:eastAsia="Arial" w:hAnsi="Arial"/>
          <w:sz w:val="11"/>
          <w:szCs w:val="11"/>
          <w:color w:val="auto"/>
        </w:rPr>
      </w:pPr>
    </w:p>
    <w:p>
      <w:pPr>
        <w:ind w:left="440" w:right="220" w:hanging="414"/>
        <w:spacing w:after="0" w:line="257"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quarter ended and year ended December 31, 2024, this adjustment also includes none and $2.7 million, respectively, of non-cash accelerated stock-based compensation expense and related payroll taxes associated with our former President and $0.6 million and $1.0 million, respectively, of non-cash stock-based compensation expense and related payroll taxes associated with RSAs and RSUs issued to help retain key ICD employees during the integration of ICD</w:t>
      </w:r>
      <w:r>
        <w:rPr>
          <w:rFonts w:ascii="Arial" w:cs="Arial" w:eastAsia="Arial" w:hAnsi="Arial"/>
          <w:sz w:val="14"/>
          <w:szCs w:val="14"/>
          <w:color w:val="auto"/>
        </w:rPr>
        <w:t>.</w:t>
      </w:r>
    </w:p>
    <w:p>
      <w:pPr>
        <w:spacing w:after="0" w:line="32" w:lineRule="exact"/>
        <w:rPr>
          <w:rFonts w:ascii="Arial" w:cs="Arial" w:eastAsia="Arial" w:hAnsi="Arial"/>
          <w:sz w:val="12"/>
          <w:szCs w:val="12"/>
          <w:color w:val="auto"/>
        </w:rPr>
      </w:pPr>
    </w:p>
    <w:p>
      <w:pPr>
        <w:ind w:left="440" w:right="460" w:hanging="414"/>
        <w:spacing w:after="0" w:line="258"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40" w:lineRule="exact"/>
        <w:rPr>
          <w:rFonts w:ascii="Arial" w:cs="Arial" w:eastAsia="Arial" w:hAnsi="Arial"/>
          <w:sz w:val="12"/>
          <w:szCs w:val="12"/>
          <w:color w:val="auto"/>
        </w:rPr>
      </w:pPr>
    </w:p>
    <w:p>
      <w:pPr>
        <w:ind w:left="440" w:right="220" w:hanging="414"/>
        <w:spacing w:after="0" w:line="258"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as applicable, changes in the mix of earnings, tax legislation and tax rates in various jurisdictions which impacted our tax savings.</w:t>
      </w:r>
    </w:p>
    <w:p>
      <w:pPr>
        <w:spacing w:after="0" w:line="27" w:lineRule="exact"/>
        <w:rPr>
          <w:rFonts w:ascii="Arial" w:cs="Arial" w:eastAsia="Arial" w:hAnsi="Arial"/>
          <w:sz w:val="12"/>
          <w:szCs w:val="12"/>
          <w:color w:val="auto"/>
        </w:rPr>
      </w:pPr>
    </w:p>
    <w:p>
      <w:pPr>
        <w:ind w:left="440" w:right="400" w:hanging="414"/>
        <w:spacing w:after="0" w:line="258"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25.0% applied to Adjusted Net Income before income taxes for the quarter and year ended December 31, 2024 and 24.5% for the quarter and year ended December 31, 2023.</w:t>
      </w:r>
    </w:p>
    <w:p>
      <w:pPr>
        <w:spacing w:after="0" w:line="27" w:lineRule="exact"/>
        <w:rPr>
          <w:rFonts w:ascii="Arial" w:cs="Arial" w:eastAsia="Arial" w:hAnsi="Arial"/>
          <w:sz w:val="12"/>
          <w:szCs w:val="12"/>
          <w:color w:val="auto"/>
        </w:rPr>
      </w:pPr>
    </w:p>
    <w:p>
      <w:pPr>
        <w:ind w:left="440" w:right="400" w:hanging="414"/>
        <w:spacing w:after="0" w:line="258"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and Adjusted Diluted EPS” below.</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ectPr>
          <w:pgSz w:w="11900" w:h="16838" w:orient="portrait"/>
          <w:cols w:equalWidth="0" w:num="1">
            <w:col w:w="11240"/>
          </w:cols>
          <w:pgMar w:left="320" w:top="861" w:right="339" w:bottom="1440" w:gutter="0" w:footer="0" w:header="0"/>
        </w:sectPr>
      </w:pPr>
    </w:p>
    <w:p>
      <w:pPr>
        <w:spacing w:after="0" w:line="77" w:lineRule="exact"/>
        <w:rPr>
          <w:sz w:val="20"/>
          <w:szCs w:val="20"/>
          <w:color w:val="auto"/>
        </w:rPr>
      </w:pPr>
    </w:p>
    <w:p>
      <w:pPr>
        <w:ind w:left="20" w:right="280"/>
        <w:spacing w:after="0" w:line="280" w:lineRule="auto"/>
        <w:rPr>
          <w:sz w:val="20"/>
          <w:szCs w:val="20"/>
          <w:color w:val="auto"/>
        </w:rPr>
      </w:pPr>
      <w:r>
        <w:rPr>
          <w:rFonts w:ascii="Arial" w:cs="Arial" w:eastAsia="Arial" w:hAnsi="Arial"/>
          <w:sz w:val="16"/>
          <w:szCs w:val="16"/>
          <w:b w:val="1"/>
          <w:bCs w:val="1"/>
          <w:color w:val="auto"/>
        </w:rPr>
        <w:t>Reconciliation of Diluted Weighted Average Shares Outstanding to Adjusted Diluted Weighted Average Shares Outstanding and Adjusted Diluted EPS</w:t>
      </w:r>
    </w:p>
    <w:p>
      <w:pPr>
        <w:spacing w:after="0" w:line="4" w:lineRule="exact"/>
        <w:rPr>
          <w:sz w:val="20"/>
          <w:szCs w:val="20"/>
          <w:color w:val="auto"/>
        </w:rPr>
      </w:pPr>
    </w:p>
    <w:p>
      <w:pPr>
        <w:ind w:left="20" w:right="60"/>
        <w:spacing w:after="0" w:line="286" w:lineRule="auto"/>
        <w:rPr>
          <w:sz w:val="20"/>
          <w:szCs w:val="20"/>
          <w:color w:val="auto"/>
        </w:rPr>
      </w:pPr>
      <w:r>
        <w:rPr>
          <w:rFonts w:ascii="Arial" w:cs="Arial" w:eastAsia="Arial" w:hAnsi="Arial"/>
          <w:sz w:val="16"/>
          <w:szCs w:val="16"/>
          <w:color w:val="auto"/>
        </w:rPr>
        <w:t>Diluted weighted average shares of Class A and Class B common stock outstanding</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Weighted average of other participating securities </w:t>
      </w:r>
      <w:r>
        <w:rPr>
          <w:rFonts w:ascii="Arial" w:cs="Arial" w:eastAsia="Arial" w:hAnsi="Arial"/>
          <w:sz w:val="21"/>
          <w:szCs w:val="21"/>
          <w:color w:val="auto"/>
          <w:vertAlign w:val="superscript"/>
        </w:rPr>
        <w:t>(1)</w:t>
      </w:r>
    </w:p>
    <w:p>
      <w:pPr>
        <w:spacing w:after="0" w:line="18" w:lineRule="exact"/>
        <w:rPr>
          <w:sz w:val="20"/>
          <w:szCs w:val="20"/>
          <w:color w:val="auto"/>
        </w:rPr>
      </w:pPr>
    </w:p>
    <w:p>
      <w:pPr>
        <w:ind w:left="20"/>
        <w:spacing w:after="0" w:line="237" w:lineRule="auto"/>
        <w:rPr>
          <w:sz w:val="20"/>
          <w:szCs w:val="20"/>
          <w:color w:val="auto"/>
        </w:rPr>
      </w:pPr>
      <w:r>
        <w:rPr>
          <w:rFonts w:ascii="Arial" w:cs="Arial" w:eastAsia="Arial" w:hAnsi="Arial"/>
          <w:sz w:val="16"/>
          <w:szCs w:val="16"/>
          <w:color w:val="auto"/>
        </w:rPr>
        <w:t xml:space="preserve">Assumed exchange of LLC Interests for shares of Class A or Class B common stock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180" w:type="dxa"/>
            <w:vAlign w:val="bottom"/>
            <w:gridSpan w:val="4"/>
          </w:tcPr>
          <w:p>
            <w:pPr>
              <w:ind w:left="440"/>
              <w:spacing w:after="0"/>
              <w:rPr>
                <w:sz w:val="20"/>
                <w:szCs w:val="20"/>
                <w:color w:val="auto"/>
              </w:rPr>
            </w:pPr>
            <w:r>
              <w:rPr>
                <w:rFonts w:ascii="Arial" w:cs="Arial" w:eastAsia="Arial" w:hAnsi="Arial"/>
                <w:sz w:val="16"/>
                <w:szCs w:val="16"/>
                <w:b w:val="1"/>
                <w:bCs w:val="1"/>
                <w:color w:val="auto"/>
              </w:rPr>
              <w:t>Quarter Ended December 31,</w:t>
            </w:r>
          </w:p>
        </w:tc>
        <w:tc>
          <w:tcPr>
            <w:tcW w:w="310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r>
      <w:tr>
        <w:trPr>
          <w:trHeight w:val="328"/>
        </w:trPr>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4"/>
                <w:szCs w:val="24"/>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4"/>
                <w:szCs w:val="24"/>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4"/>
                <w:szCs w:val="24"/>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427"/>
        </w:trPr>
        <w:tc>
          <w:tcPr>
            <w:tcW w:w="1500" w:type="dxa"/>
            <w:vAlign w:val="bottom"/>
          </w:tcPr>
          <w:p>
            <w:pPr>
              <w:jc w:val="right"/>
              <w:spacing w:after="0"/>
              <w:rPr>
                <w:sz w:val="20"/>
                <w:szCs w:val="20"/>
                <w:color w:val="auto"/>
              </w:rPr>
            </w:pPr>
            <w:r>
              <w:rPr>
                <w:rFonts w:ascii="Arial" w:cs="Arial" w:eastAsia="Arial" w:hAnsi="Arial"/>
                <w:sz w:val="16"/>
                <w:szCs w:val="16"/>
                <w:color w:val="auto"/>
              </w:rPr>
              <w:t>215,043,352</w:t>
            </w:r>
          </w:p>
        </w:tc>
        <w:tc>
          <w:tcPr>
            <w:tcW w:w="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213,833,001</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214,924,763</w:t>
            </w:r>
          </w:p>
        </w:tc>
        <w:tc>
          <w:tcPr>
            <w:tcW w:w="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212,668,808</w:t>
            </w:r>
          </w:p>
        </w:tc>
      </w:tr>
      <w:tr>
        <w:trPr>
          <w:trHeight w:val="243"/>
        </w:trPr>
        <w:tc>
          <w:tcPr>
            <w:tcW w:w="1500" w:type="dxa"/>
            <w:vAlign w:val="bottom"/>
          </w:tcPr>
          <w:p>
            <w:pPr>
              <w:jc w:val="right"/>
              <w:spacing w:after="0"/>
              <w:rPr>
                <w:sz w:val="20"/>
                <w:szCs w:val="20"/>
                <w:color w:val="auto"/>
              </w:rPr>
            </w:pPr>
            <w:r>
              <w:rPr>
                <w:rFonts w:ascii="Arial" w:cs="Arial" w:eastAsia="Arial" w:hAnsi="Arial"/>
                <w:sz w:val="16"/>
                <w:szCs w:val="16"/>
                <w:color w:val="auto"/>
              </w:rPr>
              <w:t>249,907</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281,059</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165,565</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270,249</w:t>
            </w:r>
          </w:p>
        </w:tc>
      </w:tr>
      <w:tr>
        <w:trPr>
          <w:trHeight w:val="445"/>
        </w:trPr>
        <w:tc>
          <w:tcPr>
            <w:tcW w:w="1500" w:type="dxa"/>
            <w:vAlign w:val="bottom"/>
          </w:tcPr>
          <w:p>
            <w:pPr>
              <w:jc w:val="right"/>
              <w:spacing w:after="0"/>
              <w:rPr>
                <w:sz w:val="20"/>
                <w:szCs w:val="20"/>
                <w:color w:val="auto"/>
              </w:rPr>
            </w:pPr>
            <w:r>
              <w:rPr>
                <w:rFonts w:ascii="Arial" w:cs="Arial" w:eastAsia="Arial" w:hAnsi="Arial"/>
                <w:sz w:val="16"/>
                <w:szCs w:val="16"/>
                <w:color w:val="auto"/>
              </w:rPr>
              <w:t>23,073,616</w:t>
            </w:r>
          </w:p>
        </w:tc>
        <w:tc>
          <w:tcPr>
            <w:tcW w:w="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23,079,809</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23,076,373</w:t>
            </w:r>
          </w:p>
        </w:tc>
        <w:tc>
          <w:tcPr>
            <w:tcW w:w="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23,902,379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-272415</wp:posOffset>
            </wp:positionV>
            <wp:extent cx="71323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-718185</wp:posOffset>
            </wp:positionV>
            <wp:extent cx="71323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4820" w:space="140"/>
            <w:col w:w="6280"/>
          </w:cols>
          <w:pgMar w:left="320" w:top="86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238,366,875</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237,193,869</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238,166,701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236,841,436</w:t>
            </w:r>
          </w:p>
        </w:tc>
      </w:tr>
      <w:tr>
        <w:trPr>
          <w:trHeight w:val="20"/>
        </w:trPr>
        <w:tc>
          <w:tcPr>
            <w:tcW w:w="496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2"/>
        </w:trPr>
        <w:tc>
          <w:tcPr>
            <w:tcW w:w="496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Net Income (in thousands)</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181,183</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151,937</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695,151</w:t>
            </w:r>
          </w:p>
        </w:tc>
        <w:tc>
          <w:tcPr>
            <w:tcW w:w="80" w:type="dxa"/>
            <w:vAlign w:val="bottom"/>
            <w:tcBorders>
              <w:bottom w:val="single" w:sz="8" w:color="D5DCE4"/>
            </w:tcBorders>
            <w:shd w:val="clear" w:color="auto" w:fill="D5DCE4"/>
          </w:tcPr>
          <w:p>
            <w:pPr>
              <w:spacing w:after="0"/>
              <w:rPr>
                <w:sz w:val="22"/>
                <w:szCs w:val="22"/>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535,515</w:t>
            </w:r>
          </w:p>
        </w:tc>
      </w:tr>
      <w:tr>
        <w:trPr>
          <w:trHeight w:val="20"/>
        </w:trPr>
        <w:tc>
          <w:tcPr>
            <w:tcW w:w="496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440" w:right="200" w:hanging="414"/>
        <w:spacing w:after="0" w:line="189" w:lineRule="auto"/>
        <w:tabs>
          <w:tab w:leader="none" w:pos="440" w:val="left"/>
        </w:tabs>
        <w:numPr>
          <w:ilvl w:val="0"/>
          <w:numId w:val="10"/>
        </w:numPr>
        <w:rPr>
          <w:rFonts w:ascii="Arial" w:cs="Arial" w:eastAsia="Arial" w:hAnsi="Arial"/>
          <w:sz w:val="22"/>
          <w:szCs w:val="22"/>
          <w:color w:val="auto"/>
          <w:vertAlign w:val="subscript"/>
        </w:rPr>
      </w:pPr>
      <w:r>
        <w:rPr>
          <w:rFonts w:ascii="Arial" w:cs="Arial" w:eastAsia="Arial" w:hAnsi="Arial"/>
          <w:sz w:val="11"/>
          <w:szCs w:val="11"/>
          <w:color w:val="auto"/>
        </w:rPr>
        <w:t>Represents the weighted average of unvested stock awards and unsettled vested stock awards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w:t>
      </w:r>
    </w:p>
    <w:p>
      <w:pPr>
        <w:spacing w:after="0" w:line="38" w:lineRule="exact"/>
        <w:rPr>
          <w:rFonts w:ascii="Arial" w:cs="Arial" w:eastAsia="Arial" w:hAnsi="Arial"/>
          <w:sz w:val="22"/>
          <w:szCs w:val="22"/>
          <w:color w:val="auto"/>
          <w:vertAlign w:val="subscript"/>
        </w:rPr>
      </w:pPr>
    </w:p>
    <w:p>
      <w:pPr>
        <w:ind w:left="440" w:right="320" w:hanging="414"/>
        <w:spacing w:after="0" w:line="282"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ind w:left="140"/>
              <w:spacing w:after="0"/>
              <w:rPr>
                <w:sz w:val="20"/>
                <w:szCs w:val="20"/>
                <w:color w:val="auto"/>
              </w:rPr>
            </w:pPr>
            <w:r>
              <w:rPr>
                <w:rFonts w:ascii="Arial" w:cs="Arial" w:eastAsia="Arial" w:hAnsi="Arial"/>
                <w:sz w:val="16"/>
                <w:szCs w:val="16"/>
                <w:b w:val="1"/>
                <w:bCs w:val="1"/>
                <w:color w:val="auto"/>
              </w:rPr>
              <w:t>Quarter Ended December 31,</w:t>
            </w:r>
          </w:p>
        </w:tc>
        <w:tc>
          <w:tcPr>
            <w:tcW w:w="340" w:type="dxa"/>
            <w:vAlign w:val="bottom"/>
          </w:tcPr>
          <w:p>
            <w:pPr>
              <w:spacing w:after="0"/>
              <w:rPr>
                <w:sz w:val="19"/>
                <w:szCs w:val="19"/>
                <w:color w:val="auto"/>
              </w:rPr>
            </w:pPr>
          </w:p>
        </w:tc>
        <w:tc>
          <w:tcPr>
            <w:tcW w:w="27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Year Ended December 31,</w:t>
            </w:r>
          </w:p>
        </w:tc>
      </w:tr>
      <w:tr>
        <w:trPr>
          <w:trHeight w:val="247"/>
        </w:trPr>
        <w:tc>
          <w:tcPr>
            <w:tcW w:w="502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280" w:type="dxa"/>
            <w:vAlign w:val="bottom"/>
          </w:tcPr>
          <w:p>
            <w:pPr>
              <w:spacing w:after="0"/>
              <w:rPr>
                <w:sz w:val="21"/>
                <w:szCs w:val="21"/>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37"/>
        </w:trPr>
        <w:tc>
          <w:tcPr>
            <w:tcW w:w="48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0" w:type="dxa"/>
            <w:vAlign w:val="bottom"/>
            <w:tcBorders>
              <w:top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47"/>
        </w:trPr>
        <w:tc>
          <w:tcPr>
            <w:tcW w:w="50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274,804</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228,370</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1,047,921</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832,950</w:t>
            </w:r>
          </w:p>
        </w:tc>
      </w:tr>
      <w:tr>
        <w:trPr>
          <w:trHeight w:val="243"/>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(1,631)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(8,042)</w:t>
            </w:r>
          </w:p>
        </w:tc>
      </w:tr>
      <w:tr>
        <w:trPr>
          <w:trHeight w:val="243"/>
        </w:trPr>
        <w:tc>
          <w:tcPr>
            <w:tcW w:w="50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(2)</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(45,458)</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(32,514)</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(156,489)</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(127,731)</w:t>
            </w:r>
          </w:p>
        </w:tc>
      </w:tr>
      <w:tr>
        <w:trPr>
          <w:trHeight w:val="243"/>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(6,096)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(2,947)</w:t>
            </w:r>
          </w:p>
        </w:tc>
      </w:tr>
      <w:tr>
        <w:trPr>
          <w:trHeight w:val="243"/>
        </w:trPr>
        <w:tc>
          <w:tcPr>
            <w:tcW w:w="50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280" w:type="dxa"/>
            <w:vAlign w:val="bottom"/>
            <w:tcBorders>
              <w:bottom w:val="single" w:sz="8" w:color="auto"/>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8,423</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(4,195)</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6,326</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47</w:t>
            </w:r>
          </w:p>
        </w:tc>
      </w:tr>
      <w:tr>
        <w:trPr>
          <w:trHeight w:val="236"/>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235,997</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189,043</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868,839</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694,277</w:t>
            </w:r>
          </w:p>
        </w:tc>
      </w:tr>
      <w:tr>
        <w:trPr>
          <w:trHeight w:val="20"/>
        </w:trPr>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440" w:right="40" w:hanging="414"/>
        <w:spacing w:after="0" w:line="181" w:lineRule="auto"/>
        <w:tabs>
          <w:tab w:leader="none" w:pos="440" w:val="left"/>
        </w:tabs>
        <w:numPr>
          <w:ilvl w:val="0"/>
          <w:numId w:val="11"/>
        </w:numPr>
        <w:rPr>
          <w:rFonts w:ascii="Arial" w:cs="Arial" w:eastAsia="Arial" w:hAnsi="Arial"/>
          <w:sz w:val="22"/>
          <w:szCs w:val="22"/>
          <w:color w:val="auto"/>
          <w:vertAlign w:val="subscript"/>
        </w:rPr>
      </w:pPr>
      <w:r>
        <w:rPr>
          <w:rFonts w:ascii="Arial" w:cs="Arial" w:eastAsia="Arial" w:hAnsi="Arial"/>
          <w:sz w:val="11"/>
          <w:szCs w:val="11"/>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51" w:lineRule="exact"/>
        <w:rPr>
          <w:rFonts w:ascii="Arial" w:cs="Arial" w:eastAsia="Arial" w:hAnsi="Arial"/>
          <w:sz w:val="22"/>
          <w:szCs w:val="22"/>
          <w:color w:val="auto"/>
          <w:vertAlign w:val="subscript"/>
        </w:rPr>
      </w:pPr>
    </w:p>
    <w:p>
      <w:pPr>
        <w:ind w:left="440" w:right="680" w:hanging="414"/>
        <w:spacing w:after="0" w:line="304" w:lineRule="auto"/>
        <w:tabs>
          <w:tab w:leader="none" w:pos="4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7" w:lineRule="exact"/>
        <w:rPr>
          <w:rFonts w:ascii="Arial" w:cs="Arial" w:eastAsia="Arial" w:hAnsi="Arial"/>
          <w:sz w:val="11"/>
          <w:szCs w:val="11"/>
          <w:color w:val="auto"/>
        </w:rPr>
      </w:pPr>
    </w:p>
    <w:p>
      <w:pPr>
        <w:ind w:left="440" w:right="220" w:hanging="414"/>
        <w:spacing w:after="0" w:line="257"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quarter ended and year ended December 31, 2024, this adjustment also includes none and $2.7 million, respectively, of non-cash accelerated stock-based compensation expense and related payroll taxes associated with our former President and $0.6 million and $1.0 million, respectively, of non-cash stock-based compensation expense and related payroll taxes associated with RSAs and RSUs issued to help retain key ICD employees during the integration of ICD</w:t>
      </w:r>
      <w:r>
        <w:rPr>
          <w:rFonts w:ascii="Arial" w:cs="Arial" w:eastAsia="Arial" w:hAnsi="Arial"/>
          <w:sz w:val="14"/>
          <w:szCs w:val="14"/>
          <w:color w:val="auto"/>
        </w:rPr>
        <w:t>.</w:t>
      </w:r>
    </w:p>
    <w:p>
      <w:pPr>
        <w:spacing w:after="0" w:line="32" w:lineRule="exact"/>
        <w:rPr>
          <w:rFonts w:ascii="Arial" w:cs="Arial" w:eastAsia="Arial" w:hAnsi="Arial"/>
          <w:sz w:val="12"/>
          <w:szCs w:val="12"/>
          <w:color w:val="auto"/>
        </w:rPr>
      </w:pPr>
    </w:p>
    <w:p>
      <w:pPr>
        <w:ind w:left="440" w:right="460" w:hanging="414"/>
        <w:spacing w:after="0" w:line="258"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7</w:t>
      </w:r>
    </w:p>
    <w:p>
      <w:pPr>
        <w:sectPr>
          <w:pgSz w:w="11900" w:h="16838" w:orient="portrait"/>
          <w:cols w:equalWidth="0" w:num="1">
            <w:col w:w="11240"/>
          </w:cols>
          <w:pgMar w:left="320" w:top="861"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23"/>
        </w:trPr>
        <w:tc>
          <w:tcPr>
            <w:tcW w:w="8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r>
      <w:tr>
        <w:trPr>
          <w:trHeight w:val="244"/>
        </w:trPr>
        <w:tc>
          <w:tcPr>
            <w:tcW w:w="8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39"/>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Cash Flow from Operating Activities to Free Cash Flow</w:t>
            </w:r>
          </w:p>
        </w:tc>
        <w:tc>
          <w:tcPr>
            <w:tcW w:w="80" w:type="dxa"/>
            <w:vAlign w:val="bottom"/>
            <w:tcBorders>
              <w:bottom w:val="single" w:sz="8" w:color="D5DCE4"/>
            </w:tcBorders>
          </w:tcPr>
          <w:p>
            <w:pPr>
              <w:spacing w:after="0"/>
              <w:rPr>
                <w:sz w:val="20"/>
                <w:szCs w:val="20"/>
                <w:color w:val="auto"/>
              </w:rPr>
            </w:pPr>
          </w:p>
        </w:tc>
        <w:tc>
          <w:tcPr>
            <w:tcW w:w="340" w:type="dxa"/>
            <w:vAlign w:val="bottom"/>
            <w:tcBorders>
              <w:bottom w:val="single" w:sz="8" w:color="D5DCE4"/>
            </w:tcBorders>
          </w:tcPr>
          <w:p>
            <w:pPr>
              <w:spacing w:after="0"/>
              <w:rPr>
                <w:sz w:val="20"/>
                <w:szCs w:val="20"/>
                <w:color w:val="auto"/>
              </w:rPr>
            </w:pPr>
          </w:p>
        </w:tc>
        <w:tc>
          <w:tcPr>
            <w:tcW w:w="2760" w:type="dxa"/>
            <w:vAlign w:val="bottom"/>
            <w:tcBorders>
              <w:bottom w:val="single" w:sz="8" w:color="D5DCE4"/>
            </w:tcBorders>
            <w:gridSpan w:val="4"/>
          </w:tcPr>
          <w:p>
            <w:pPr>
              <w:jc w:val="right"/>
              <w:ind w:right="619"/>
              <w:spacing w:after="0"/>
              <w:rPr>
                <w:sz w:val="20"/>
                <w:szCs w:val="20"/>
                <w:color w:val="auto"/>
              </w:rPr>
            </w:pPr>
            <w:r>
              <w:rPr>
                <w:rFonts w:ascii="Arial" w:cs="Arial" w:eastAsia="Arial" w:hAnsi="Arial"/>
                <w:sz w:val="16"/>
                <w:szCs w:val="16"/>
                <w:b w:val="1"/>
                <w:bCs w:val="1"/>
                <w:color w:val="auto"/>
              </w:rPr>
              <w:t>(dollars in thousands)</w:t>
            </w:r>
          </w:p>
        </w:tc>
      </w:tr>
      <w:tr>
        <w:trPr>
          <w:trHeight w:val="240"/>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897,741</w:t>
            </w:r>
          </w:p>
        </w:tc>
        <w:tc>
          <w:tcPr>
            <w:tcW w:w="80" w:type="dxa"/>
            <w:vAlign w:val="bottom"/>
            <w:shd w:val="clear" w:color="auto" w:fill="D5DCE4"/>
          </w:tcPr>
          <w:p>
            <w:pPr>
              <w:spacing w:after="0"/>
              <w:rPr>
                <w:sz w:val="20"/>
                <w:szCs w:val="20"/>
                <w:color w:val="auto"/>
              </w:rPr>
            </w:pP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746,089</w:t>
            </w:r>
          </w:p>
        </w:tc>
      </w:tr>
      <w:tr>
        <w:trPr>
          <w:trHeight w:val="235"/>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(47,909)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(43,235)</w:t>
            </w:r>
          </w:p>
        </w:tc>
      </w:tr>
      <w:tr>
        <w:trPr>
          <w:trHeight w:val="244"/>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(40,960)</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(18,529)</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808,872</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684,325</w:t>
            </w:r>
          </w:p>
        </w:tc>
      </w:tr>
      <w:tr>
        <w:trPr>
          <w:trHeight w:val="20"/>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00" w:type="dxa"/>
            <w:vAlign w:val="bottom"/>
            <w:gridSpan w:val="5"/>
          </w:tcPr>
          <w:p>
            <w:pPr>
              <w:ind w:left="160"/>
              <w:spacing w:after="0"/>
              <w:rPr>
                <w:sz w:val="20"/>
                <w:szCs w:val="20"/>
                <w:color w:val="auto"/>
              </w:rPr>
            </w:pPr>
            <w:r>
              <w:rPr>
                <w:rFonts w:ascii="Arial" w:cs="Arial" w:eastAsia="Arial" w:hAnsi="Arial"/>
                <w:sz w:val="16"/>
                <w:szCs w:val="16"/>
                <w:b w:val="1"/>
                <w:bCs w:val="1"/>
                <w:color w:val="auto"/>
              </w:rPr>
              <w:t>Quarter Ended December 31,</w:t>
            </w:r>
          </w:p>
        </w:tc>
        <w:tc>
          <w:tcPr>
            <w:tcW w:w="320" w:type="dxa"/>
            <w:vAlign w:val="bottom"/>
          </w:tcPr>
          <w:p>
            <w:pPr>
              <w:spacing w:after="0"/>
              <w:rPr>
                <w:sz w:val="19"/>
                <w:szCs w:val="19"/>
                <w:color w:val="auto"/>
              </w:rPr>
            </w:pPr>
          </w:p>
        </w:tc>
        <w:tc>
          <w:tcPr>
            <w:tcW w:w="27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940" w:type="dxa"/>
            <w:vAlign w:val="bottom"/>
            <w:gridSpan w:val="4"/>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280" w:type="dxa"/>
            <w:vAlign w:val="bottom"/>
          </w:tcPr>
          <w:p>
            <w:pPr>
              <w:spacing w:after="0"/>
              <w:rPr>
                <w:sz w:val="21"/>
                <w:szCs w:val="21"/>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900" w:type="dxa"/>
            <w:vAlign w:val="bottom"/>
            <w:tcBorders>
              <w:top w:val="single" w:sz="8" w:color="auto"/>
            </w:tcBorders>
            <w:gridSpan w:val="9"/>
          </w:tcPr>
          <w:p>
            <w:pPr>
              <w:jc w:val="right"/>
              <w:ind w:right="59"/>
              <w:spacing w:after="0"/>
              <w:rPr>
                <w:sz w:val="20"/>
                <w:szCs w:val="20"/>
                <w:color w:val="auto"/>
              </w:rPr>
            </w:pPr>
            <w:r>
              <w:rPr>
                <w:rFonts w:ascii="Arial" w:cs="Arial" w:eastAsia="Arial" w:hAnsi="Arial"/>
                <w:sz w:val="16"/>
                <w:szCs w:val="16"/>
                <w:b w:val="1"/>
                <w:bCs w:val="1"/>
                <w:color w:val="auto"/>
              </w:rPr>
              <w:t>(dollars in thousands, except per share amounts)</w:t>
            </w: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D5DCE4"/>
            </w:tcBorders>
            <w:shd w:val="clear" w:color="auto" w:fill="D5DCE4"/>
          </w:tcPr>
          <w:p>
            <w:pPr>
              <w:spacing w:after="0"/>
              <w:rPr>
                <w:sz w:val="19"/>
                <w:szCs w:val="19"/>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4120" w:type="dxa"/>
            <w:vAlign w:val="bottom"/>
            <w:tcBorders>
              <w:bottom w:val="single" w:sz="8" w:color="D5DCE4"/>
            </w:tcBorders>
            <w:gridSpan w:val="3"/>
            <w:shd w:val="clear" w:color="auto" w:fill="D5DCE4"/>
          </w:tcPr>
          <w:p>
            <w:pPr>
              <w:spacing w:after="0"/>
              <w:rPr>
                <w:sz w:val="19"/>
                <w:szCs w:val="19"/>
                <w:color w:val="auto"/>
              </w:rPr>
            </w:pPr>
          </w:p>
        </w:tc>
        <w:tc>
          <w:tcPr>
            <w:tcW w:w="280" w:type="dxa"/>
            <w:vAlign w:val="bottom"/>
            <w:tcBorders>
              <w:bottom w:val="single" w:sz="8" w:color="D5DCE4"/>
            </w:tcBorders>
            <w:shd w:val="clear" w:color="auto" w:fill="D5DCE4"/>
          </w:tcPr>
          <w:p>
            <w:pPr>
              <w:spacing w:after="0"/>
              <w:rPr>
                <w:sz w:val="19"/>
                <w:szCs w:val="19"/>
                <w:color w:val="auto"/>
              </w:rPr>
            </w:pPr>
          </w:p>
        </w:tc>
        <w:tc>
          <w:tcPr>
            <w:tcW w:w="122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20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420" w:type="dxa"/>
            <w:vAlign w:val="bottom"/>
            <w:tcBorders>
              <w:bottom w:val="single" w:sz="8" w:color="D5DCE4"/>
            </w:tcBorders>
            <w:shd w:val="clear" w:color="auto" w:fill="D5DCE4"/>
          </w:tcPr>
          <w:p>
            <w:pPr>
              <w:spacing w:after="0"/>
              <w:rPr>
                <w:sz w:val="19"/>
                <w:szCs w:val="19"/>
                <w:color w:val="auto"/>
              </w:rPr>
            </w:pPr>
          </w:p>
        </w:tc>
        <w:tc>
          <w:tcPr>
            <w:tcW w:w="1100" w:type="dxa"/>
            <w:vAlign w:val="bottom"/>
            <w:tcBorders>
              <w:bottom w:val="single" w:sz="8" w:color="D5DCE4"/>
            </w:tcBorders>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142,210</w:t>
            </w:r>
          </w:p>
        </w:tc>
        <w:tc>
          <w:tcPr>
            <w:tcW w:w="8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89,314</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501,507</w:t>
            </w:r>
          </w:p>
        </w:tc>
        <w:tc>
          <w:tcPr>
            <w:tcW w:w="8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364,866</w:t>
            </w:r>
          </w:p>
        </w:tc>
        <w:tc>
          <w:tcPr>
            <w:tcW w:w="0" w:type="dxa"/>
            <w:vAlign w:val="bottom"/>
          </w:tcPr>
          <w:p>
            <w:pPr>
              <w:spacing w:after="0"/>
              <w:rPr>
                <w:sz w:val="1"/>
                <w:szCs w:val="1"/>
                <w:color w:val="auto"/>
              </w:rPr>
            </w:pPr>
          </w:p>
        </w:tc>
      </w:tr>
      <w:tr>
        <w:trPr>
          <w:trHeight w:val="210"/>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Less: Distributed and undistributed earnings allocated to</w:t>
            </w:r>
          </w:p>
        </w:tc>
        <w:tc>
          <w:tcPr>
            <w:tcW w:w="280" w:type="dxa"/>
            <w:vAlign w:val="bottom"/>
            <w:shd w:val="clear" w:color="auto" w:fill="D5DCE4"/>
          </w:tcPr>
          <w:p>
            <w:pPr>
              <w:spacing w:after="0"/>
              <w:rPr>
                <w:sz w:val="18"/>
                <w:szCs w:val="18"/>
                <w:color w:val="auto"/>
              </w:rPr>
            </w:pPr>
          </w:p>
        </w:tc>
        <w:tc>
          <w:tcPr>
            <w:tcW w:w="122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20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20" w:type="dxa"/>
            <w:vAlign w:val="bottom"/>
            <w:shd w:val="clear" w:color="auto" w:fill="D5DCE4"/>
          </w:tcPr>
          <w:p>
            <w:pPr>
              <w:spacing w:after="0"/>
              <w:rPr>
                <w:sz w:val="18"/>
                <w:szCs w:val="18"/>
                <w:color w:val="auto"/>
              </w:rPr>
            </w:pPr>
          </w:p>
        </w:tc>
        <w:tc>
          <w:tcPr>
            <w:tcW w:w="110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 xml:space="preserve">participating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(118)</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(389)</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gridSpan w:val="4"/>
          </w:tcPr>
          <w:p>
            <w:pPr>
              <w:spacing w:after="0" w:line="182" w:lineRule="exact"/>
              <w:rPr>
                <w:sz w:val="20"/>
                <w:szCs w:val="20"/>
                <w:color w:val="auto"/>
              </w:rPr>
            </w:pPr>
            <w:r>
              <w:rPr>
                <w:rFonts w:ascii="Arial" w:cs="Arial" w:eastAsia="Arial" w:hAnsi="Arial"/>
                <w:sz w:val="16"/>
                <w:szCs w:val="16"/>
                <w:color w:val="auto"/>
              </w:rPr>
              <w:t>Net income attributable to outstanding shares of Class A and Class</w:t>
            </w: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142,043</w:t>
            </w:r>
          </w:p>
        </w:tc>
        <w:tc>
          <w:tcPr>
            <w:tcW w:w="80" w:type="dxa"/>
            <w:vAlign w:val="bottom"/>
          </w:tcPr>
          <w:p>
            <w:pPr>
              <w:spacing w:after="0"/>
              <w:rPr>
                <w:sz w:val="15"/>
                <w:szCs w:val="15"/>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89,196</w:t>
            </w:r>
          </w:p>
        </w:tc>
        <w:tc>
          <w:tcPr>
            <w:tcW w:w="80" w:type="dxa"/>
            <w:vAlign w:val="bottom"/>
          </w:tcPr>
          <w:p>
            <w:pPr>
              <w:spacing w:after="0"/>
              <w:rPr>
                <w:sz w:val="15"/>
                <w:szCs w:val="15"/>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501,118</w:t>
            </w:r>
          </w:p>
        </w:tc>
        <w:tc>
          <w:tcPr>
            <w:tcW w:w="80" w:type="dxa"/>
            <w:vAlign w:val="bottom"/>
          </w:tcPr>
          <w:p>
            <w:pPr>
              <w:spacing w:after="0"/>
              <w:rPr>
                <w:sz w:val="15"/>
                <w:szCs w:val="15"/>
                <w:color w:val="auto"/>
              </w:rPr>
            </w:pPr>
          </w:p>
        </w:tc>
        <w:tc>
          <w:tcPr>
            <w:tcW w:w="42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364,399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B common stock - Basic and Diluted</w:t>
            </w:r>
          </w:p>
        </w:tc>
        <w:tc>
          <w:tcPr>
            <w:tcW w:w="28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22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2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D5DCE4"/>
          </w:tcPr>
          <w:p>
            <w:pPr>
              <w:spacing w:after="0"/>
              <w:rPr>
                <w:sz w:val="14"/>
                <w:szCs w:val="14"/>
                <w:color w:val="auto"/>
              </w:rPr>
            </w:pPr>
          </w:p>
        </w:tc>
        <w:tc>
          <w:tcPr>
            <w:tcW w:w="4940" w:type="dxa"/>
            <w:vAlign w:val="bottom"/>
            <w:gridSpan w:val="4"/>
            <w:shd w:val="clear" w:color="auto" w:fill="D5DCE4"/>
          </w:tcPr>
          <w:p>
            <w:pPr>
              <w:spacing w:after="0" w:line="162" w:lineRule="exact"/>
              <w:rPr>
                <w:sz w:val="20"/>
                <w:szCs w:val="20"/>
                <w:color w:val="auto"/>
              </w:rPr>
            </w:pPr>
            <w:r>
              <w:rPr>
                <w:rFonts w:ascii="Arial" w:cs="Arial" w:eastAsia="Arial" w:hAnsi="Arial"/>
                <w:sz w:val="16"/>
                <w:szCs w:val="16"/>
                <w:color w:val="auto"/>
              </w:rPr>
              <w:t>Weighted average shares of Class A and Class B common stock</w:t>
            </w:r>
          </w:p>
        </w:tc>
        <w:tc>
          <w:tcPr>
            <w:tcW w:w="280" w:type="dxa"/>
            <w:vAlign w:val="bottom"/>
            <w:shd w:val="clear" w:color="auto" w:fill="D5DCE4"/>
          </w:tcPr>
          <w:p>
            <w:pPr>
              <w:spacing w:after="0"/>
              <w:rPr>
                <w:sz w:val="14"/>
                <w:szCs w:val="14"/>
                <w:color w:val="auto"/>
              </w:rPr>
            </w:pPr>
          </w:p>
        </w:tc>
        <w:tc>
          <w:tcPr>
            <w:tcW w:w="12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213,039,958</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2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211,843,460</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213,030,056</w:t>
            </w:r>
          </w:p>
        </w:tc>
        <w:tc>
          <w:tcPr>
            <w:tcW w:w="80" w:type="dxa"/>
            <w:vAlign w:val="bottom"/>
            <w:shd w:val="clear" w:color="auto" w:fill="D5DCE4"/>
          </w:tcPr>
          <w:p>
            <w:pPr>
              <w:spacing w:after="0"/>
              <w:rPr>
                <w:sz w:val="14"/>
                <w:szCs w:val="14"/>
                <w:color w:val="auto"/>
              </w:rPr>
            </w:pPr>
          </w:p>
        </w:tc>
        <w:tc>
          <w:tcPr>
            <w:tcW w:w="420" w:type="dxa"/>
            <w:vAlign w:val="bottom"/>
            <w:shd w:val="clear" w:color="auto" w:fill="D5DCE4"/>
          </w:tcPr>
          <w:p>
            <w:pPr>
              <w:spacing w:after="0"/>
              <w:rPr>
                <w:sz w:val="14"/>
                <w:szCs w:val="14"/>
                <w:color w:val="auto"/>
              </w:rPr>
            </w:pPr>
          </w:p>
        </w:tc>
        <w:tc>
          <w:tcPr>
            <w:tcW w:w="11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210,796,802</w:t>
            </w:r>
          </w:p>
        </w:tc>
        <w:tc>
          <w:tcPr>
            <w:tcW w:w="0" w:type="dxa"/>
            <w:vAlign w:val="bottom"/>
          </w:tcPr>
          <w:p>
            <w:pPr>
              <w:spacing w:after="0"/>
              <w:rPr>
                <w:sz w:val="1"/>
                <w:szCs w:val="1"/>
                <w:color w:val="auto"/>
              </w:rPr>
            </w:pPr>
          </w:p>
        </w:tc>
      </w:tr>
      <w:tr>
        <w:trPr>
          <w:trHeight w:val="216"/>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outstanding - Basic</w:t>
            </w:r>
          </w:p>
        </w:tc>
        <w:tc>
          <w:tcPr>
            <w:tcW w:w="280" w:type="dxa"/>
            <w:vAlign w:val="bottom"/>
            <w:shd w:val="clear" w:color="auto" w:fill="D5DCE4"/>
          </w:tcPr>
          <w:p>
            <w:pPr>
              <w:spacing w:after="0"/>
              <w:rPr>
                <w:sz w:val="18"/>
                <w:szCs w:val="18"/>
                <w:color w:val="auto"/>
              </w:rPr>
            </w:pPr>
          </w:p>
        </w:tc>
        <w:tc>
          <w:tcPr>
            <w:tcW w:w="122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20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20" w:type="dxa"/>
            <w:vAlign w:val="bottom"/>
            <w:shd w:val="clear" w:color="auto" w:fill="D5DCE4"/>
          </w:tcPr>
          <w:p>
            <w:pPr>
              <w:spacing w:after="0"/>
              <w:rPr>
                <w:sz w:val="18"/>
                <w:szCs w:val="18"/>
                <w:color w:val="auto"/>
              </w:rPr>
            </w:pPr>
          </w:p>
        </w:tc>
        <w:tc>
          <w:tcPr>
            <w:tcW w:w="1100" w:type="dxa"/>
            <w:vAlign w:val="bottom"/>
            <w:vMerge w:val="continue"/>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PRSUs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661,696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691,150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589,171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458,343</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303,253</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877,866</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428,926</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1,150,159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RSUs and RSAs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561,703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394,812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415,957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257,076</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PSUs</w:t>
            </w:r>
          </w:p>
        </w:tc>
        <w:tc>
          <w:tcPr>
            <w:tcW w:w="280" w:type="dxa"/>
            <w:vAlign w:val="bottom"/>
            <w:tcBorders>
              <w:bottom w:val="single" w:sz="8" w:color="auto"/>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476,742</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25,713</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460,653</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6,428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gridSpan w:val="4"/>
          </w:tcPr>
          <w:p>
            <w:pPr>
              <w:spacing w:after="0" w:line="142" w:lineRule="exact"/>
              <w:rPr>
                <w:sz w:val="20"/>
                <w:szCs w:val="20"/>
                <w:color w:val="auto"/>
              </w:rPr>
            </w:pPr>
            <w:r>
              <w:rPr>
                <w:rFonts w:ascii="Arial" w:cs="Arial" w:eastAsia="Arial" w:hAnsi="Arial"/>
                <w:sz w:val="16"/>
                <w:szCs w:val="16"/>
                <w:color w:val="auto"/>
              </w:rPr>
              <w:t>Weighted average shares of Class A and Class B common stock</w:t>
            </w:r>
          </w:p>
        </w:tc>
        <w:tc>
          <w:tcPr>
            <w:tcW w:w="2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215,043,352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213,833,001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214,924,763</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212,668,808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outstanding - Diluted</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22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2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Earnings per share - Basic</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0.67</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D5DCE4"/>
            </w:tcBorders>
            <w:shd w:val="clear" w:color="auto" w:fill="D5DCE4"/>
          </w:tcPr>
          <w:p>
            <w:pPr>
              <w:spacing w:after="0"/>
              <w:rPr>
                <w:sz w:val="22"/>
                <w:szCs w:val="22"/>
                <w:color w:val="auto"/>
              </w:rPr>
            </w:pPr>
          </w:p>
        </w:tc>
        <w:tc>
          <w:tcPr>
            <w:tcW w:w="494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Diluted</w:t>
            </w:r>
          </w:p>
        </w:tc>
        <w:tc>
          <w:tcPr>
            <w:tcW w:w="280" w:type="dxa"/>
            <w:vAlign w:val="bottom"/>
            <w:tcBorders>
              <w:bottom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0.66</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0.42</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2.33</w:t>
            </w:r>
          </w:p>
        </w:tc>
        <w:tc>
          <w:tcPr>
            <w:tcW w:w="80" w:type="dxa"/>
            <w:vAlign w:val="bottom"/>
            <w:tcBorders>
              <w:bottom w:val="single" w:sz="8" w:color="D5DCE4"/>
            </w:tcBorders>
            <w:shd w:val="clear" w:color="auto" w:fill="D5DCE4"/>
          </w:tcPr>
          <w:p>
            <w:pPr>
              <w:spacing w:after="0"/>
              <w:rPr>
                <w:sz w:val="22"/>
                <w:szCs w:val="22"/>
                <w:color w:val="auto"/>
              </w:rPr>
            </w:pPr>
          </w:p>
        </w:tc>
        <w:tc>
          <w:tcPr>
            <w:tcW w:w="42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8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10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40"/>
        <w:spacing w:after="0"/>
        <w:rPr>
          <w:sz w:val="20"/>
          <w:szCs w:val="20"/>
          <w:color w:val="auto"/>
        </w:rPr>
      </w:pPr>
      <w:r>
        <w:rPr>
          <w:rFonts w:ascii="Arial" w:cs="Arial" w:eastAsia="Arial" w:hAnsi="Arial"/>
          <w:sz w:val="11"/>
          <w:szCs w:val="11"/>
          <w:color w:val="auto"/>
        </w:rPr>
        <w:t>During the quarters ended December 31, 2024 and 2023, there was a total of 249,907 and 281,059, respectively, and during the years ended December 31, 2024 and 2023, there was a total of 165,565 and</w:t>
      </w:r>
    </w:p>
    <w:p>
      <w:pPr>
        <w:spacing w:after="0" w:line="22" w:lineRule="exact"/>
        <w:rPr>
          <w:sz w:val="20"/>
          <w:szCs w:val="20"/>
          <w:color w:val="auto"/>
        </w:rPr>
      </w:pPr>
    </w:p>
    <w:p>
      <w:pPr>
        <w:ind w:left="440" w:right="40" w:hanging="414"/>
        <w:spacing w:after="0" w:line="258"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270,249, respectively, weighted average unvested or unsettled vested stock awards that were considered a participating security for purposes of calculating earnings per share in accordance with the two-class method.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REVENUES BY ASSET CLASS (UNAUDITED)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gridSpan w:val="5"/>
          </w:tcPr>
          <w:p>
            <w:pPr>
              <w:ind w:left="34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9"/>
                <w:szCs w:val="19"/>
                <w:color w:val="auto"/>
              </w:rPr>
            </w:pPr>
          </w:p>
        </w:tc>
        <w:tc>
          <w:tcPr>
            <w:tcW w:w="2120" w:type="dxa"/>
            <w:vAlign w:val="bottom"/>
            <w:gridSpan w:val="5"/>
          </w:tcPr>
          <w:p>
            <w:pPr>
              <w:ind w:left="34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9"/>
                <w:szCs w:val="19"/>
                <w:color w:val="auto"/>
              </w:rPr>
            </w:pPr>
          </w:p>
        </w:tc>
        <w:tc>
          <w:tcPr>
            <w:tcW w:w="2060" w:type="dxa"/>
            <w:vAlign w:val="bottom"/>
            <w:gridSpan w:val="5"/>
          </w:tcPr>
          <w:p>
            <w:pPr>
              <w:ind w:left="420"/>
              <w:spacing w:after="0"/>
              <w:rPr>
                <w:sz w:val="20"/>
                <w:szCs w:val="20"/>
                <w:color w:val="auto"/>
              </w:rPr>
            </w:pPr>
            <w:r>
              <w:rPr>
                <w:rFonts w:ascii="Arial" w:cs="Arial" w:eastAsia="Arial" w:hAnsi="Arial"/>
                <w:sz w:val="16"/>
                <w:szCs w:val="16"/>
                <w:b w:val="1"/>
                <w:bCs w:val="1"/>
                <w:color w:val="auto"/>
              </w:rPr>
              <w:t>Year Ended</w:t>
            </w:r>
          </w:p>
        </w:tc>
        <w:tc>
          <w:tcPr>
            <w:tcW w:w="140" w:type="dxa"/>
            <w:vAlign w:val="bottom"/>
          </w:tcPr>
          <w:p>
            <w:pPr>
              <w:spacing w:after="0"/>
              <w:rPr>
                <w:sz w:val="19"/>
                <w:szCs w:val="19"/>
                <w:color w:val="auto"/>
              </w:rPr>
            </w:pPr>
          </w:p>
        </w:tc>
        <w:tc>
          <w:tcPr>
            <w:tcW w:w="18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Year Ended</w:t>
            </w:r>
          </w:p>
        </w:tc>
      </w:tr>
      <w:tr>
        <w:trPr>
          <w:trHeight w:val="244"/>
        </w:trPr>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December 31, 2024</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December 31, 2023</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December 31, 2024</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December 31, 2023</w:t>
            </w:r>
          </w:p>
        </w:tc>
      </w:tr>
      <w:tr>
        <w:trPr>
          <w:trHeight w:val="239"/>
        </w:trPr>
        <w:tc>
          <w:tcPr>
            <w:tcW w:w="254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Variable</w:t>
            </w:r>
          </w:p>
        </w:tc>
        <w:tc>
          <w:tcPr>
            <w:tcW w:w="18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Variable</w:t>
            </w:r>
          </w:p>
        </w:tc>
        <w:tc>
          <w:tcPr>
            <w:tcW w:w="1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Fixed</w:t>
            </w:r>
          </w:p>
        </w:tc>
        <w:tc>
          <w:tcPr>
            <w:tcW w:w="16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Variable</w:t>
            </w:r>
          </w:p>
        </w:tc>
        <w:tc>
          <w:tcPr>
            <w:tcW w:w="18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Variable</w:t>
            </w:r>
          </w:p>
        </w:tc>
        <w:tc>
          <w:tcPr>
            <w:tcW w:w="180" w:type="dxa"/>
            <w:vAlign w:val="bottom"/>
          </w:tcPr>
          <w:p>
            <w:pPr>
              <w:spacing w:after="0"/>
              <w:rPr>
                <w:sz w:val="20"/>
                <w:szCs w:val="20"/>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b w:val="1"/>
                <w:bCs w:val="1"/>
                <w:color w:val="auto"/>
              </w:rPr>
              <w:t>Fixed</w:t>
            </w:r>
          </w:p>
        </w:tc>
      </w:tr>
      <w:tr>
        <w:trPr>
          <w:trHeight w:val="236"/>
        </w:trPr>
        <w:tc>
          <w:tcPr>
            <w:tcW w:w="23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47"/>
        </w:trPr>
        <w:tc>
          <w:tcPr>
            <w:tcW w:w="2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175,407</w:t>
            </w:r>
          </w:p>
        </w:tc>
        <w:tc>
          <w:tcPr>
            <w:tcW w:w="1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64,785</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132,248</w:t>
            </w:r>
          </w:p>
        </w:tc>
        <w:tc>
          <w:tcPr>
            <w:tcW w:w="200" w:type="dxa"/>
            <w:vAlign w:val="bottom"/>
            <w:shd w:val="clear" w:color="auto" w:fill="D5DCE4"/>
          </w:tcPr>
          <w:p>
            <w:pPr>
              <w:spacing w:after="0"/>
              <w:rPr>
                <w:sz w:val="21"/>
                <w:szCs w:val="21"/>
                <w:color w:val="auto"/>
              </w:rPr>
            </w:pPr>
          </w:p>
        </w:tc>
        <w:tc>
          <w:tcPr>
            <w:tcW w:w="12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59,495</w:t>
            </w: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660,438</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244,500</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462,132</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233,302</w:t>
            </w:r>
          </w:p>
        </w:tc>
      </w:tr>
      <w:tr>
        <w:trPr>
          <w:trHeight w:val="235"/>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103,377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10,195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96,799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7,468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423,708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35,332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338,981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28,413</w:t>
            </w:r>
          </w:p>
        </w:tc>
      </w:tr>
      <w:tr>
        <w:trPr>
          <w:trHeight w:val="251"/>
        </w:trPr>
        <w:tc>
          <w:tcPr>
            <w:tcW w:w="2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26,470</w:t>
            </w:r>
          </w:p>
        </w:tc>
        <w:tc>
          <w:tcPr>
            <w:tcW w:w="1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2,279</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23,673</w:t>
            </w:r>
          </w:p>
        </w:tc>
        <w:tc>
          <w:tcPr>
            <w:tcW w:w="20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2,383</w:t>
            </w: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94,964</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9,220</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86,003</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9,292</w:t>
            </w:r>
          </w:p>
        </w:tc>
      </w:tr>
      <w:tr>
        <w:trPr>
          <w:trHeight w:val="235"/>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40,030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4,228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12,448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4,158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98,216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17,004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45,830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17,180</w:t>
            </w:r>
          </w:p>
        </w:tc>
      </w:tr>
      <w:tr>
        <w:trPr>
          <w:trHeight w:val="251"/>
        </w:trPr>
        <w:tc>
          <w:tcPr>
            <w:tcW w:w="2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89</w:t>
            </w:r>
          </w:p>
        </w:tc>
        <w:tc>
          <w:tcPr>
            <w:tcW w:w="1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29,922</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108</w:t>
            </w:r>
          </w:p>
        </w:tc>
        <w:tc>
          <w:tcPr>
            <w:tcW w:w="20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25,800</w:t>
            </w: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457</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117,563</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268</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93,806</w:t>
            </w:r>
          </w:p>
        </w:tc>
      </w:tr>
      <w:tr>
        <w:trPr>
          <w:trHeight w:val="236"/>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6,094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5,420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23,566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23,012</w:t>
            </w:r>
          </w:p>
        </w:tc>
      </w:tr>
      <w:tr>
        <w:trPr>
          <w:trHeight w:val="268"/>
        </w:trPr>
        <w:tc>
          <w:tcPr>
            <w:tcW w:w="2540" w:type="dxa"/>
            <w:vAlign w:val="bottom"/>
            <w:tcBorders>
              <w:top w:val="single" w:sz="8" w:color="D5DCE4"/>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345,841</w:t>
            </w:r>
          </w:p>
        </w:tc>
        <w:tc>
          <w:tcPr>
            <w:tcW w:w="180" w:type="dxa"/>
            <w:vAlign w:val="bottom"/>
            <w:tcBorders>
              <w:top w:val="single" w:sz="8" w:color="D5DCE4"/>
              <w:bottom w:val="single" w:sz="8" w:color="D5DCE4"/>
            </w:tcBorders>
            <w:shd w:val="clear" w:color="auto" w:fill="D5DCE4"/>
          </w:tcPr>
          <w:p>
            <w:pPr>
              <w:spacing w:after="0"/>
              <w:rPr>
                <w:sz w:val="22"/>
                <w:szCs w:val="22"/>
                <w:color w:val="auto"/>
              </w:rPr>
            </w:pPr>
          </w:p>
        </w:tc>
        <w:tc>
          <w:tcPr>
            <w:tcW w:w="1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117,503</w:t>
            </w:r>
          </w:p>
        </w:tc>
        <w:tc>
          <w:tcPr>
            <w:tcW w:w="140" w:type="dxa"/>
            <w:vAlign w:val="bottom"/>
            <w:tcBorders>
              <w:top w:val="single" w:sz="8" w:color="D5DCE4"/>
              <w:bottom w:val="single" w:sz="8" w:color="D5DCE4"/>
            </w:tcBorders>
            <w:shd w:val="clear" w:color="auto" w:fill="D5DCE4"/>
          </w:tcPr>
          <w:p>
            <w:pPr>
              <w:spacing w:after="0"/>
              <w:rPr>
                <w:sz w:val="22"/>
                <w:szCs w:val="22"/>
                <w:color w:val="auto"/>
              </w:rPr>
            </w:pP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265,276</w:t>
            </w:r>
          </w:p>
        </w:tc>
        <w:tc>
          <w:tcPr>
            <w:tcW w:w="200" w:type="dxa"/>
            <w:vAlign w:val="bottom"/>
            <w:tcBorders>
              <w:top w:val="single" w:sz="8" w:color="D5DCE4"/>
              <w:bottom w:val="single" w:sz="8" w:color="D5DCE4"/>
            </w:tcBorders>
            <w:shd w:val="clear" w:color="auto" w:fill="D5DCE4"/>
          </w:tcPr>
          <w:p>
            <w:pPr>
              <w:spacing w:after="0"/>
              <w:rPr>
                <w:sz w:val="22"/>
                <w:szCs w:val="22"/>
                <w:color w:val="auto"/>
              </w:rPr>
            </w:pPr>
          </w:p>
        </w:tc>
        <w:tc>
          <w:tcPr>
            <w:tcW w:w="1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104,724</w:t>
            </w:r>
          </w:p>
        </w:tc>
        <w:tc>
          <w:tcPr>
            <w:tcW w:w="180" w:type="dxa"/>
            <w:vAlign w:val="bottom"/>
            <w:tcBorders>
              <w:top w:val="single" w:sz="8" w:color="D5DCE4"/>
              <w:bottom w:val="single" w:sz="8" w:color="D5DCE4"/>
            </w:tcBorders>
            <w:shd w:val="clear" w:color="auto" w:fill="D5DCE4"/>
          </w:tcPr>
          <w:p>
            <w:pPr>
              <w:spacing w:after="0"/>
              <w:rPr>
                <w:sz w:val="22"/>
                <w:szCs w:val="22"/>
                <w:color w:val="auto"/>
              </w:rPr>
            </w:pPr>
          </w:p>
        </w:tc>
        <w:tc>
          <w:tcPr>
            <w:tcW w:w="1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1,278,764</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1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447,185</w:t>
            </w:r>
          </w:p>
        </w:tc>
        <w:tc>
          <w:tcPr>
            <w:tcW w:w="180" w:type="dxa"/>
            <w:vAlign w:val="bottom"/>
            <w:tcBorders>
              <w:top w:val="single" w:sz="8" w:color="D5DCE4"/>
              <w:bottom w:val="single" w:sz="8" w:color="D5DCE4"/>
            </w:tcBorders>
            <w:shd w:val="clear" w:color="auto" w:fill="D5DCE4"/>
          </w:tcPr>
          <w:p>
            <w:pPr>
              <w:spacing w:after="0"/>
              <w:rPr>
                <w:sz w:val="22"/>
                <w:szCs w:val="22"/>
                <w:color w:val="auto"/>
              </w:rPr>
            </w:pP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933,214</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1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405,005</w:t>
            </w:r>
          </w:p>
        </w:tc>
      </w:tr>
      <w:tr>
        <w:trPr>
          <w:trHeight w:val="20"/>
        </w:trPr>
        <w:tc>
          <w:tcPr>
            <w:tcW w:w="236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60" w:type="dxa"/>
            <w:vAlign w:val="bottom"/>
            <w:tcBorders>
              <w:top w:val="single" w:sz="8" w:color="D5DCE4"/>
              <w:bottom w:val="single" w:sz="8" w:color="auto"/>
            </w:tcBorders>
          </w:tcPr>
          <w:p>
            <w:pPr>
              <w:spacing w:after="0" w:line="20" w:lineRule="exact"/>
              <w:rPr>
                <w:sz w:val="1"/>
                <w:szCs w:val="1"/>
                <w:color w:val="auto"/>
              </w:rPr>
            </w:pPr>
          </w:p>
        </w:tc>
        <w:tc>
          <w:tcPr>
            <w:tcW w:w="14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00" w:type="dxa"/>
            <w:vAlign w:val="bottom"/>
            <w:tcBorders>
              <w:top w:val="single" w:sz="8" w:color="D5DCE4"/>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2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bottom w:val="single" w:sz="8" w:color="auto"/>
            </w:tcBorders>
          </w:tcPr>
          <w:p>
            <w:pPr>
              <w:spacing w:after="0" w:line="20" w:lineRule="exact"/>
              <w:rPr>
                <w:sz w:val="1"/>
                <w:szCs w:val="1"/>
                <w:color w:val="auto"/>
              </w:rPr>
            </w:pPr>
          </w:p>
        </w:tc>
        <w:tc>
          <w:tcPr>
            <w:tcW w:w="84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80" w:type="dxa"/>
            <w:vAlign w:val="bottom"/>
            <w:tcBorders>
              <w:top w:val="single" w:sz="8" w:color="D5DCE4"/>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80" w:type="dxa"/>
            <w:vAlign w:val="bottom"/>
            <w:tcBorders>
              <w:top w:val="single" w:sz="8" w:color="D5DCE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46"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8</w:t>
      </w:r>
    </w:p>
    <w:p>
      <w:pPr>
        <w:sectPr>
          <w:pgSz w:w="11900" w:h="16838" w:orient="portrait"/>
          <w:cols w:equalWidth="0" w:num="1">
            <w:col w:w="11240"/>
          </w:cols>
          <w:pgMar w:left="320" w:top="746"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80" w:type="dxa"/>
            <w:vAlign w:val="bottom"/>
            <w:gridSpan w:val="5"/>
          </w:tcPr>
          <w:p>
            <w:pPr>
              <w:ind w:left="460"/>
              <w:spacing w:after="0"/>
              <w:rPr>
                <w:sz w:val="20"/>
                <w:szCs w:val="20"/>
                <w:color w:val="auto"/>
              </w:rPr>
            </w:pPr>
            <w:r>
              <w:rPr>
                <w:rFonts w:ascii="Arial" w:cs="Arial" w:eastAsia="Arial" w:hAnsi="Arial"/>
                <w:sz w:val="16"/>
                <w:szCs w:val="16"/>
                <w:b w:val="1"/>
                <w:bCs w:val="1"/>
                <w:color w:val="auto"/>
              </w:rPr>
              <w:t>Quarter Ended December 31,</w:t>
            </w:r>
          </w:p>
        </w:tc>
        <w:tc>
          <w:tcPr>
            <w:tcW w:w="2120" w:type="dxa"/>
            <w:vAlign w:val="bottom"/>
          </w:tcPr>
          <w:p>
            <w:pPr>
              <w:jc w:val="right"/>
              <w:ind w:right="819"/>
              <w:spacing w:after="0"/>
              <w:rPr>
                <w:sz w:val="20"/>
                <w:szCs w:val="20"/>
                <w:color w:val="auto"/>
              </w:rPr>
            </w:pPr>
            <w:r>
              <w:rPr>
                <w:rFonts w:ascii="Arial" w:cs="Arial" w:eastAsia="Arial" w:hAnsi="Arial"/>
                <w:sz w:val="16"/>
                <w:szCs w:val="16"/>
                <w:b w:val="1"/>
                <w:bCs w:val="1"/>
                <w:color w:val="auto"/>
              </w:rPr>
              <w:t>YoY</w:t>
            </w:r>
          </w:p>
        </w:tc>
      </w:tr>
      <w:tr>
        <w:trPr>
          <w:trHeight w:val="247"/>
        </w:trPr>
        <w:tc>
          <w:tcPr>
            <w:tcW w:w="4980" w:type="dxa"/>
            <w:vAlign w:val="bottom"/>
            <w:tcBorders>
              <w:bottom w:val="single" w:sz="8" w:color="D5DCE4"/>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D5DCE4"/>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D5DCE4"/>
            </w:tcBorders>
          </w:tcPr>
          <w:p>
            <w:pPr>
              <w:spacing w:after="0"/>
              <w:rPr>
                <w:sz w:val="21"/>
                <w:szCs w:val="21"/>
                <w:color w:val="auto"/>
              </w:rPr>
            </w:pPr>
          </w:p>
        </w:tc>
        <w:tc>
          <w:tcPr>
            <w:tcW w:w="2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 Change</w:t>
            </w: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2.23</w:t>
            </w:r>
          </w:p>
        </w:tc>
        <w:tc>
          <w:tcPr>
            <w:tcW w:w="80" w:type="dxa"/>
            <w:vAlign w:val="bottom"/>
            <w:shd w:val="clear" w:color="auto" w:fill="D5DCE4"/>
          </w:tcPr>
          <w:p>
            <w:pPr>
              <w:spacing w:after="0"/>
              <w:rPr>
                <w:sz w:val="20"/>
                <w:szCs w:val="20"/>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1.95</w:t>
            </w:r>
          </w:p>
        </w:tc>
        <w:tc>
          <w:tcPr>
            <w:tcW w:w="80" w:type="dxa"/>
            <w:vAlign w:val="bottom"/>
            <w:shd w:val="clear" w:color="auto" w:fill="D5DCE4"/>
          </w:tcPr>
          <w:p>
            <w:pPr>
              <w:spacing w:after="0"/>
              <w:rPr>
                <w:sz w:val="20"/>
                <w:szCs w:val="20"/>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14.5 %</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Rates Cash</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2.47</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1.66</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29.1 %</w:t>
            </w:r>
          </w:p>
        </w:tc>
      </w:tr>
      <w:tr>
        <w:trPr>
          <w:trHeight w:val="235"/>
        </w:trPr>
        <w:tc>
          <w:tcPr>
            <w:tcW w:w="4980" w:type="dxa"/>
            <w:vAlign w:val="bottom"/>
          </w:tcPr>
          <w:p>
            <w:pPr>
              <w:ind w:left="240"/>
              <w:spacing w:after="0"/>
              <w:rPr>
                <w:sz w:val="20"/>
                <w:szCs w:val="20"/>
                <w:color w:val="auto"/>
              </w:rPr>
            </w:pPr>
            <w:r>
              <w:rPr>
                <w:rFonts w:ascii="Arial" w:cs="Arial" w:eastAsia="Arial" w:hAnsi="Arial"/>
                <w:sz w:val="16"/>
                <w:szCs w:val="16"/>
                <w:color w:val="auto"/>
              </w:rPr>
              <w:t>Rates Derivatives (greater than 1 year)</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3.65</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54.6 %</w:t>
            </w:r>
          </w:p>
        </w:tc>
      </w:tr>
      <w:tr>
        <w:trPr>
          <w:trHeight w:val="251"/>
        </w:trPr>
        <w:tc>
          <w:tcPr>
            <w:tcW w:w="4980" w:type="dxa"/>
            <w:vAlign w:val="bottom"/>
            <w:shd w:val="clear" w:color="auto" w:fill="D5DCE4"/>
          </w:tcPr>
          <w:p>
            <w:pPr>
              <w:ind w:left="240"/>
              <w:spacing w:after="0"/>
              <w:rPr>
                <w:sz w:val="20"/>
                <w:szCs w:val="20"/>
                <w:color w:val="auto"/>
              </w:rPr>
            </w:pPr>
            <w:r>
              <w:rPr>
                <w:rFonts w:ascii="Arial" w:cs="Arial" w:eastAsia="Arial" w:hAnsi="Arial"/>
                <w:sz w:val="16"/>
                <w:szCs w:val="16"/>
                <w:color w:val="auto"/>
              </w:rPr>
              <w:t xml:space="preserve">Other Rates Derivatives </w:t>
            </w:r>
            <w:r>
              <w:rPr>
                <w:rFonts w:ascii="Arial" w:cs="Arial" w:eastAsia="Arial" w:hAnsi="Arial"/>
                <w:sz w:val="21"/>
                <w:szCs w:val="21"/>
                <w:color w:val="auto"/>
                <w:vertAlign w:val="superscript"/>
              </w:rPr>
              <w:t>(1)</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0.23</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0.21</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9.4 %</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134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60.36</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64.64</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(6.6)%</w:t>
            </w:r>
          </w:p>
        </w:tc>
      </w:tr>
      <w:tr>
        <w:trPr>
          <w:trHeight w:val="243"/>
        </w:trPr>
        <w:tc>
          <w:tcPr>
            <w:tcW w:w="4400" w:type="dxa"/>
            <w:vAlign w:val="bottom"/>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13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148.07</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color w:val="auto"/>
              </w:rPr>
              <w:t>168.34</w:t>
            </w:r>
          </w:p>
        </w:tc>
        <w:tc>
          <w:tcPr>
            <w:tcW w:w="142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43"/>
        </w:trPr>
        <w:tc>
          <w:tcPr>
            <w:tcW w:w="44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Credit Derivatives, China Bonds and U.S. Cash EP</w:t>
            </w:r>
          </w:p>
        </w:tc>
        <w:tc>
          <w:tcPr>
            <w:tcW w:w="1340" w:type="dxa"/>
            <w:vAlign w:val="bottom"/>
            <w:shd w:val="clear" w:color="auto" w:fill="D5DCE4"/>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7.98</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color w:val="auto"/>
              </w:rPr>
              <w:t>7.90</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1.0 %</w:t>
            </w:r>
          </w:p>
        </w:tc>
      </w:tr>
      <w:tr>
        <w:trPr>
          <w:trHeight w:val="216"/>
        </w:trPr>
        <w:tc>
          <w:tcPr>
            <w:tcW w:w="4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4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134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17.56</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15.97</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9.9 %</w:t>
            </w:r>
          </w:p>
        </w:tc>
      </w:tr>
      <w:tr>
        <w:trPr>
          <w:trHeight w:val="235"/>
        </w:trPr>
        <w:tc>
          <w:tcPr>
            <w:tcW w:w="4400" w:type="dxa"/>
            <w:vAlign w:val="bottom"/>
          </w:tcPr>
          <w:p>
            <w:pPr>
              <w:ind w:left="140"/>
              <w:spacing w:after="0"/>
              <w:rPr>
                <w:sz w:val="20"/>
                <w:szCs w:val="20"/>
                <w:color w:val="auto"/>
              </w:rPr>
            </w:pPr>
            <w:r>
              <w:rPr>
                <w:rFonts w:ascii="Arial" w:cs="Arial" w:eastAsia="Arial" w:hAnsi="Arial"/>
                <w:sz w:val="16"/>
                <w:szCs w:val="16"/>
                <w:color w:val="auto"/>
              </w:rPr>
              <w:t>Equities Cash</w:t>
            </w:r>
          </w:p>
        </w:tc>
        <w:tc>
          <w:tcPr>
            <w:tcW w:w="13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29.00</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color w:val="auto"/>
              </w:rPr>
              <w:t>27.92</w:t>
            </w:r>
          </w:p>
        </w:tc>
        <w:tc>
          <w:tcPr>
            <w:tcW w:w="1420" w:type="dxa"/>
            <w:vAlign w:val="bottom"/>
          </w:tcPr>
          <w:p>
            <w:pPr>
              <w:jc w:val="right"/>
              <w:spacing w:after="0"/>
              <w:rPr>
                <w:sz w:val="20"/>
                <w:szCs w:val="20"/>
                <w:color w:val="auto"/>
              </w:rPr>
            </w:pPr>
            <w:r>
              <w:rPr>
                <w:rFonts w:ascii="Arial" w:cs="Arial" w:eastAsia="Arial" w:hAnsi="Arial"/>
                <w:sz w:val="16"/>
                <w:szCs w:val="16"/>
                <w:color w:val="auto"/>
              </w:rPr>
              <w:t>3.9 %</w:t>
            </w:r>
          </w:p>
        </w:tc>
      </w:tr>
      <w:tr>
        <w:trPr>
          <w:trHeight w:val="251"/>
        </w:trPr>
        <w:tc>
          <w:tcPr>
            <w:tcW w:w="44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Equities Derivatives</w:t>
            </w:r>
          </w:p>
        </w:tc>
        <w:tc>
          <w:tcPr>
            <w:tcW w:w="1340" w:type="dxa"/>
            <w:vAlign w:val="bottom"/>
            <w:shd w:val="clear" w:color="auto" w:fill="D5DCE4"/>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7.07</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color w:val="auto"/>
              </w:rPr>
              <w:t>5.38</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31.4 %</w:t>
            </w:r>
          </w:p>
        </w:tc>
      </w:tr>
      <w:tr>
        <w:trPr>
          <w:trHeight w:val="216"/>
        </w:trPr>
        <w:tc>
          <w:tcPr>
            <w:tcW w:w="4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4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w:t>
            </w:r>
          </w:p>
        </w:tc>
        <w:tc>
          <w:tcPr>
            <w:tcW w:w="134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0.57</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0.37</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54.8 %</w:t>
            </w:r>
          </w:p>
        </w:tc>
      </w:tr>
      <w:tr>
        <w:trPr>
          <w:trHeight w:val="216"/>
        </w:trPr>
        <w:tc>
          <w:tcPr>
            <w:tcW w:w="4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4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134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2.28</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2.54</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(10.4)%</w:t>
            </w:r>
          </w:p>
        </w:tc>
      </w:tr>
      <w:tr>
        <w:trPr>
          <w:trHeight w:val="302"/>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excluding Other Rates Derivatives </w:t>
            </w:r>
            <w:r>
              <w:rPr>
                <w:rFonts w:ascii="Arial" w:cs="Arial" w:eastAsia="Arial" w:hAnsi="Arial"/>
                <w:sz w:val="21"/>
                <w:szCs w:val="21"/>
                <w:b w:val="1"/>
                <w:bCs w:val="1"/>
                <w:color w:val="auto"/>
                <w:vertAlign w:val="superscript"/>
              </w:rPr>
              <w:t>(3)</w:t>
            </w:r>
          </w:p>
        </w:tc>
        <w:tc>
          <w:tcPr>
            <w:tcW w:w="134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2.60</w:t>
            </w:r>
          </w:p>
        </w:tc>
        <w:tc>
          <w:tcPr>
            <w:tcW w:w="8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b w:val="1"/>
                <w:bCs w:val="1"/>
                <w:color w:val="auto"/>
              </w:rPr>
              <w:t>2.91</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(10.7)%</w:t>
            </w:r>
          </w:p>
        </w:tc>
      </w:tr>
    </w:tbl>
    <w:p>
      <w:pPr>
        <w:spacing w:after="0" w:line="197" w:lineRule="exact"/>
        <w:rPr>
          <w:sz w:val="20"/>
          <w:szCs w:val="20"/>
          <w:color w:val="auto"/>
        </w:rPr>
      </w:pPr>
    </w:p>
    <w:p>
      <w:pPr>
        <w:ind w:left="440" w:hanging="414"/>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Includes Swaps/Swaptions of tenor less than 1 year and Rates Futures.</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(2) China Bonds and (3) U.S. High Grade and High Yield electronically processed (“EP”) activity.</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totals for all periods presented.</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TRADEWEB MARKETS INC.</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 xml:space="preserve">AVERAGE DAILY VOLUME (UNAUDITED) </w:t>
      </w:r>
      <w:r>
        <w:rPr>
          <w:rFonts w:ascii="Arial" w:cs="Arial" w:eastAsia="Arial" w:hAnsi="Arial"/>
          <w:sz w:val="21"/>
          <w:szCs w:val="21"/>
          <w:b w:val="1"/>
          <w:bCs w:val="1"/>
          <w:color w:val="083566"/>
          <w:vertAlign w:val="superscript"/>
        </w:rPr>
        <w:t>(1)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740"/>
              <w:spacing w:after="0"/>
              <w:rPr>
                <w:sz w:val="20"/>
                <w:szCs w:val="20"/>
                <w:color w:val="auto"/>
              </w:rPr>
            </w:pPr>
            <w:r>
              <w:rPr>
                <w:rFonts w:ascii="Arial" w:cs="Arial" w:eastAsia="Arial" w:hAnsi="Arial"/>
                <w:sz w:val="16"/>
                <w:szCs w:val="16"/>
                <w:b w:val="1"/>
                <w:bCs w:val="1"/>
                <w:color w:val="auto"/>
              </w:rPr>
              <w:t>2024 Q4</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760"/>
              <w:spacing w:after="0"/>
              <w:rPr>
                <w:sz w:val="20"/>
                <w:szCs w:val="20"/>
                <w:color w:val="auto"/>
              </w:rPr>
            </w:pPr>
            <w:r>
              <w:rPr>
                <w:rFonts w:ascii="Arial" w:cs="Arial" w:eastAsia="Arial" w:hAnsi="Arial"/>
                <w:sz w:val="16"/>
                <w:szCs w:val="16"/>
                <w:b w:val="1"/>
                <w:bCs w:val="1"/>
                <w:color w:val="auto"/>
              </w:rPr>
              <w:t>2023 Q4</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ind w:left="52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47"/>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4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20" w:type="dxa"/>
            <w:vAlign w:val="bottom"/>
            <w:tcBorders>
              <w:bottom w:val="single" w:sz="8" w:color="D5DCE4"/>
            </w:tcBorders>
          </w:tcPr>
          <w:p>
            <w:pPr>
              <w:spacing w:after="0"/>
              <w:rPr>
                <w:sz w:val="21"/>
                <w:szCs w:val="21"/>
                <w:color w:val="auto"/>
              </w:rPr>
            </w:pPr>
          </w:p>
        </w:tc>
        <w:tc>
          <w:tcPr>
            <w:tcW w:w="268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26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ADV</w:t>
            </w:r>
          </w:p>
        </w:tc>
        <w:tc>
          <w:tcPr>
            <w:tcW w:w="0" w:type="dxa"/>
            <w:vAlign w:val="bottom"/>
          </w:tcPr>
          <w:p>
            <w:pPr>
              <w:spacing w:after="0"/>
              <w:rPr>
                <w:sz w:val="1"/>
                <w:szCs w:val="1"/>
                <w:color w:val="auto"/>
              </w:rPr>
            </w:pPr>
          </w:p>
        </w:tc>
      </w:tr>
      <w:tr>
        <w:trPr>
          <w:trHeight w:val="240"/>
        </w:trPr>
        <w:tc>
          <w:tcPr>
            <w:tcW w:w="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240" w:type="dxa"/>
            <w:vAlign w:val="bottom"/>
            <w:tcBorders>
              <w:right w:val="single" w:sz="8" w:color="D5DCE4"/>
            </w:tcBorders>
            <w:shd w:val="clear" w:color="auto" w:fill="D5DCE4"/>
          </w:tcPr>
          <w:p>
            <w:pPr>
              <w:spacing w:after="0"/>
              <w:rPr>
                <w:sz w:val="20"/>
                <w:szCs w:val="20"/>
                <w:color w:val="auto"/>
              </w:rPr>
            </w:pPr>
          </w:p>
        </w:tc>
        <w:tc>
          <w:tcPr>
            <w:tcW w:w="31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260" w:type="dxa"/>
            <w:vAlign w:val="bottom"/>
            <w:shd w:val="clear" w:color="auto" w:fill="D5DCE4"/>
          </w:tcPr>
          <w:p>
            <w:pPr>
              <w:jc w:val="right"/>
              <w:ind w:right="127"/>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508,863</w:t>
            </w:r>
          </w:p>
        </w:tc>
        <w:tc>
          <w:tcPr>
            <w:tcW w:w="42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31,654,127</w:t>
            </w:r>
          </w:p>
        </w:tc>
        <w:tc>
          <w:tcPr>
            <w:tcW w:w="100" w:type="dxa"/>
            <w:vAlign w:val="bottom"/>
            <w:tcBorders>
              <w:right w:val="single" w:sz="8" w:color="D5DCE4"/>
            </w:tcBorders>
            <w:shd w:val="clear" w:color="auto" w:fill="D5DCE4"/>
          </w:tcPr>
          <w:p>
            <w:pPr>
              <w:spacing w:after="0"/>
              <w:rPr>
                <w:sz w:val="20"/>
                <w:szCs w:val="20"/>
                <w:color w:val="auto"/>
              </w:rPr>
            </w:pPr>
          </w:p>
        </w:tc>
        <w:tc>
          <w:tcPr>
            <w:tcW w:w="260" w:type="dxa"/>
            <w:vAlign w:val="bottom"/>
            <w:shd w:val="clear" w:color="auto" w:fill="D5DCE4"/>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397,946</w:t>
            </w:r>
          </w:p>
        </w:tc>
        <w:tc>
          <w:tcPr>
            <w:tcW w:w="42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24,713,727</w:t>
            </w:r>
          </w:p>
        </w:tc>
        <w:tc>
          <w:tcPr>
            <w:tcW w:w="100" w:type="dxa"/>
            <w:vAlign w:val="bottom"/>
            <w:tcBorders>
              <w:right w:val="single" w:sz="8" w:color="D5DCE4"/>
            </w:tcBorders>
            <w:shd w:val="clear" w:color="auto" w:fill="D5DCE4"/>
          </w:tcPr>
          <w:p>
            <w:pPr>
              <w:spacing w:after="0"/>
              <w:rPr>
                <w:sz w:val="20"/>
                <w:szCs w:val="20"/>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27.87 %</w:t>
            </w: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U.S. Government Bonds</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224,928</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13,945,561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162,335</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10,064,801</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38.56 %</w:t>
            </w:r>
          </w:p>
        </w:tc>
        <w:tc>
          <w:tcPr>
            <w:tcW w:w="0" w:type="dxa"/>
            <w:vAlign w:val="bottom"/>
          </w:tcPr>
          <w:p>
            <w:pPr>
              <w:spacing w:after="0"/>
              <w:rPr>
                <w:sz w:val="1"/>
                <w:szCs w:val="1"/>
                <w:color w:val="auto"/>
              </w:rPr>
            </w:pPr>
          </w:p>
        </w:tc>
      </w:tr>
      <w:tr>
        <w:trPr>
          <w:trHeight w:val="251"/>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European Government Bonds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48,016</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3,073,052</w:t>
            </w:r>
          </w:p>
        </w:tc>
        <w:tc>
          <w:tcPr>
            <w:tcW w:w="100" w:type="dxa"/>
            <w:vAlign w:val="bottom"/>
            <w:tcBorders>
              <w:right w:val="single" w:sz="8" w:color="D5DCE4"/>
            </w:tcBorders>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00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40,491</w:t>
            </w:r>
          </w:p>
        </w:tc>
        <w:tc>
          <w:tcPr>
            <w:tcW w:w="42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2,550,927</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18.59 %</w:t>
            </w: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Mortgages</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226,707</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14,055,856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185,883</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11,524,751</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21.96 %</w:t>
            </w:r>
          </w:p>
        </w:tc>
        <w:tc>
          <w:tcPr>
            <w:tcW w:w="0" w:type="dxa"/>
            <w:vAlign w:val="bottom"/>
          </w:tcPr>
          <w:p>
            <w:pPr>
              <w:spacing w:after="0"/>
              <w:rPr>
                <w:sz w:val="1"/>
                <w:szCs w:val="1"/>
                <w:color w:val="auto"/>
              </w:rPr>
            </w:pPr>
          </w:p>
        </w:tc>
      </w:tr>
      <w:tr>
        <w:trPr>
          <w:trHeight w:val="251"/>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Other Government Bonds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9,211</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579,657</w:t>
            </w:r>
          </w:p>
        </w:tc>
        <w:tc>
          <w:tcPr>
            <w:tcW w:w="100" w:type="dxa"/>
            <w:vAlign w:val="bottom"/>
            <w:tcBorders>
              <w:right w:val="single" w:sz="8" w:color="D5DCE4"/>
            </w:tcBorders>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00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9,236</w:t>
            </w:r>
          </w:p>
        </w:tc>
        <w:tc>
          <w:tcPr>
            <w:tcW w:w="42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573,248</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744,189</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46,916,987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689,543</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43,033,453</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7.92 %</w:t>
            </w:r>
          </w:p>
        </w:tc>
        <w:tc>
          <w:tcPr>
            <w:tcW w:w="0" w:type="dxa"/>
            <w:vAlign w:val="bottom"/>
          </w:tcPr>
          <w:p>
            <w:pPr>
              <w:spacing w:after="0"/>
              <w:rPr>
                <w:sz w:val="1"/>
                <w:szCs w:val="1"/>
                <w:color w:val="auto"/>
              </w:rPr>
            </w:pPr>
          </w:p>
        </w:tc>
      </w:tr>
      <w:tr>
        <w:trPr>
          <w:trHeight w:val="247"/>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Swaps/Swaptions ≥ 1Y</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416,896</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26,248,749</w:t>
            </w:r>
          </w:p>
        </w:tc>
        <w:tc>
          <w:tcPr>
            <w:tcW w:w="100" w:type="dxa"/>
            <w:vAlign w:val="bottom"/>
            <w:tcBorders>
              <w:right w:val="single" w:sz="8" w:color="D5DCE4"/>
            </w:tcBorders>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00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459,943</w:t>
            </w:r>
          </w:p>
        </w:tc>
        <w:tc>
          <w:tcPr>
            <w:tcW w:w="42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28,695,380</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Swaps/Swaptions &lt; 1Y</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320,517</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20,205,645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226,131</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14,121,397</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41.74 %</w:t>
            </w:r>
          </w:p>
        </w:tc>
        <w:tc>
          <w:tcPr>
            <w:tcW w:w="0" w:type="dxa"/>
            <w:vAlign w:val="bottom"/>
          </w:tcPr>
          <w:p>
            <w:pPr>
              <w:spacing w:after="0"/>
              <w:rPr>
                <w:sz w:val="1"/>
                <w:szCs w:val="1"/>
                <w:color w:val="auto"/>
              </w:rPr>
            </w:pPr>
          </w:p>
        </w:tc>
      </w:tr>
      <w:tr>
        <w:trPr>
          <w:trHeight w:val="251"/>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Futures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6,776</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462,593</w:t>
            </w:r>
          </w:p>
        </w:tc>
        <w:tc>
          <w:tcPr>
            <w:tcW w:w="100" w:type="dxa"/>
            <w:vAlign w:val="bottom"/>
            <w:tcBorders>
              <w:right w:val="single" w:sz="8" w:color="D5DCE4"/>
            </w:tcBorders>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00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3,469</w:t>
            </w:r>
          </w:p>
        </w:tc>
        <w:tc>
          <w:tcPr>
            <w:tcW w:w="42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216,676</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95.37 %</w:t>
            </w:r>
          </w:p>
        </w:tc>
        <w:tc>
          <w:tcPr>
            <w:tcW w:w="0" w:type="dxa"/>
            <w:vAlign w:val="bottom"/>
          </w:tcPr>
          <w:p>
            <w:pPr>
              <w:spacing w:after="0"/>
              <w:rPr>
                <w:sz w:val="1"/>
                <w:szCs w:val="1"/>
                <w:color w:val="auto"/>
              </w:rPr>
            </w:pPr>
          </w:p>
        </w:tc>
      </w:tr>
      <w:tr>
        <w:trPr>
          <w:trHeight w:val="233"/>
        </w:trPr>
        <w:tc>
          <w:tcPr>
            <w:tcW w:w="98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312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1,253,052</w:t>
            </w:r>
          </w:p>
        </w:tc>
        <w:tc>
          <w:tcPr>
            <w:tcW w:w="4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78,571,114</w:t>
            </w:r>
          </w:p>
        </w:tc>
        <w:tc>
          <w:tcPr>
            <w:tcW w:w="100" w:type="dxa"/>
            <w:vAlign w:val="bottom"/>
            <w:tcBorders>
              <w:bottom w:val="single" w:sz="8" w:color="D5DCE4"/>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1,087,489</w:t>
            </w:r>
          </w:p>
        </w:tc>
        <w:tc>
          <w:tcPr>
            <w:tcW w:w="4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67,747,180</w:t>
            </w:r>
          </w:p>
        </w:tc>
        <w:tc>
          <w:tcPr>
            <w:tcW w:w="100" w:type="dxa"/>
            <w:vAlign w:val="bottom"/>
            <w:tcBorders>
              <w:bottom w:val="single" w:sz="8" w:color="D5DCE4"/>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15.22 %</w:t>
            </w:r>
          </w:p>
        </w:tc>
        <w:tc>
          <w:tcPr>
            <w:tcW w:w="0" w:type="dxa"/>
            <w:vAlign w:val="bottom"/>
          </w:tcPr>
          <w:p>
            <w:pPr>
              <w:spacing w:after="0"/>
              <w:rPr>
                <w:sz w:val="1"/>
                <w:szCs w:val="1"/>
                <w:color w:val="auto"/>
              </w:rPr>
            </w:pPr>
          </w:p>
        </w:tc>
      </w:tr>
      <w:tr>
        <w:trPr>
          <w:trHeight w:val="240"/>
        </w:trPr>
        <w:tc>
          <w:tcPr>
            <w:tcW w:w="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240" w:type="dxa"/>
            <w:vAlign w:val="bottom"/>
            <w:tcBorders>
              <w:right w:val="single" w:sz="8" w:color="D5DCE4"/>
            </w:tcBorders>
            <w:shd w:val="clear" w:color="auto" w:fill="D5DCE4"/>
          </w:tcPr>
          <w:p>
            <w:pPr>
              <w:spacing w:after="0"/>
              <w:rPr>
                <w:sz w:val="20"/>
                <w:szCs w:val="20"/>
                <w:color w:val="auto"/>
              </w:rPr>
            </w:pPr>
          </w:p>
        </w:tc>
        <w:tc>
          <w:tcPr>
            <w:tcW w:w="31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260" w:type="dxa"/>
            <w:vAlign w:val="bottom"/>
            <w:shd w:val="clear" w:color="auto" w:fill="D5DCE4"/>
          </w:tcPr>
          <w:p>
            <w:pPr>
              <w:spacing w:after="0"/>
              <w:rPr>
                <w:sz w:val="20"/>
                <w:szCs w:val="20"/>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14,751</w:t>
            </w:r>
          </w:p>
        </w:tc>
        <w:tc>
          <w:tcPr>
            <w:tcW w:w="42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919,420</w:t>
            </w:r>
          </w:p>
        </w:tc>
        <w:tc>
          <w:tcPr>
            <w:tcW w:w="100" w:type="dxa"/>
            <w:vAlign w:val="bottom"/>
            <w:tcBorders>
              <w:right w:val="single" w:sz="8" w:color="D5DCE4"/>
            </w:tcBorders>
            <w:shd w:val="clear" w:color="auto" w:fill="D5DCE4"/>
          </w:tcPr>
          <w:p>
            <w:pPr>
              <w:spacing w:after="0"/>
              <w:rPr>
                <w:sz w:val="20"/>
                <w:szCs w:val="20"/>
                <w:color w:val="auto"/>
              </w:rPr>
            </w:pPr>
          </w:p>
        </w:tc>
        <w:tc>
          <w:tcPr>
            <w:tcW w:w="260" w:type="dxa"/>
            <w:vAlign w:val="bottom"/>
            <w:shd w:val="clear" w:color="auto" w:fill="D5DCE4"/>
          </w:tcPr>
          <w:p>
            <w:pPr>
              <w:spacing w:after="0"/>
              <w:rPr>
                <w:sz w:val="20"/>
                <w:szCs w:val="20"/>
                <w:color w:val="auto"/>
              </w:rPr>
            </w:pPr>
          </w:p>
        </w:tc>
        <w:tc>
          <w:tcPr>
            <w:tcW w:w="100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14,291</w:t>
            </w:r>
          </w:p>
        </w:tc>
        <w:tc>
          <w:tcPr>
            <w:tcW w:w="420" w:type="dxa"/>
            <w:vAlign w:val="bottom"/>
            <w:shd w:val="clear" w:color="auto" w:fill="D5DCE4"/>
          </w:tcPr>
          <w:p>
            <w:pPr>
              <w:spacing w:after="0"/>
              <w:rPr>
                <w:sz w:val="20"/>
                <w:szCs w:val="20"/>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882,253</w:t>
            </w:r>
          </w:p>
        </w:tc>
        <w:tc>
          <w:tcPr>
            <w:tcW w:w="100" w:type="dxa"/>
            <w:vAlign w:val="bottom"/>
            <w:tcBorders>
              <w:right w:val="single" w:sz="8" w:color="D5DCE4"/>
            </w:tcBorders>
            <w:shd w:val="clear" w:color="auto" w:fill="D5DCE4"/>
          </w:tcPr>
          <w:p>
            <w:pPr>
              <w:spacing w:after="0"/>
              <w:rPr>
                <w:sz w:val="20"/>
                <w:szCs w:val="20"/>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3.22 %</w:t>
            </w: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U.S. High Grade - Fully Electronic</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6,481</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401,793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5,134</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318,320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26.22 %</w:t>
            </w:r>
          </w:p>
        </w:tc>
        <w:tc>
          <w:tcPr>
            <w:tcW w:w="0" w:type="dxa"/>
            <w:vAlign w:val="bottom"/>
          </w:tcPr>
          <w:p>
            <w:pPr>
              <w:spacing w:after="0"/>
              <w:rPr>
                <w:sz w:val="1"/>
                <w:szCs w:val="1"/>
                <w:color w:val="auto"/>
              </w:rPr>
            </w:pPr>
          </w:p>
        </w:tc>
      </w:tr>
      <w:tr>
        <w:trPr>
          <w:trHeight w:val="251"/>
        </w:trPr>
        <w:tc>
          <w:tcPr>
            <w:tcW w:w="980" w:type="dxa"/>
            <w:vAlign w:val="bottom"/>
            <w:shd w:val="clear" w:color="auto" w:fill="D5DCE4"/>
          </w:tcPr>
          <w:p>
            <w:pPr>
              <w:spacing w:after="0"/>
              <w:rPr>
                <w:sz w:val="21"/>
                <w:szCs w:val="21"/>
                <w:color w:val="auto"/>
              </w:rPr>
            </w:pPr>
          </w:p>
        </w:tc>
        <w:tc>
          <w:tcPr>
            <w:tcW w:w="3360" w:type="dxa"/>
            <w:vAlign w:val="bottom"/>
            <w:tcBorders>
              <w:right w:val="single" w:sz="8" w:color="D5DCE4"/>
            </w:tcBorders>
            <w:gridSpan w:val="3"/>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U.S. High Grade - Electronically Processed</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3,116</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193,168</w:t>
            </w:r>
          </w:p>
        </w:tc>
        <w:tc>
          <w:tcPr>
            <w:tcW w:w="100" w:type="dxa"/>
            <w:vAlign w:val="bottom"/>
            <w:tcBorders>
              <w:right w:val="single" w:sz="8" w:color="D5DCE4"/>
            </w:tcBorders>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00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2,500</w:t>
            </w:r>
          </w:p>
        </w:tc>
        <w:tc>
          <w:tcPr>
            <w:tcW w:w="42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154,994</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24.63 %</w:t>
            </w: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U.S. High Yield - Fully Electronic</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794</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49,248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642</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39,825</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23.66 %</w:t>
            </w:r>
          </w:p>
        </w:tc>
        <w:tc>
          <w:tcPr>
            <w:tcW w:w="0" w:type="dxa"/>
            <w:vAlign w:val="bottom"/>
          </w:tcPr>
          <w:p>
            <w:pPr>
              <w:spacing w:after="0"/>
              <w:rPr>
                <w:sz w:val="1"/>
                <w:szCs w:val="1"/>
                <w:color w:val="auto"/>
              </w:rPr>
            </w:pPr>
          </w:p>
        </w:tc>
      </w:tr>
      <w:tr>
        <w:trPr>
          <w:trHeight w:val="251"/>
        </w:trPr>
        <w:tc>
          <w:tcPr>
            <w:tcW w:w="980" w:type="dxa"/>
            <w:vAlign w:val="bottom"/>
            <w:shd w:val="clear" w:color="auto" w:fill="D5DCE4"/>
          </w:tcPr>
          <w:p>
            <w:pPr>
              <w:spacing w:after="0"/>
              <w:rPr>
                <w:sz w:val="21"/>
                <w:szCs w:val="21"/>
                <w:color w:val="auto"/>
              </w:rPr>
            </w:pPr>
          </w:p>
        </w:tc>
        <w:tc>
          <w:tcPr>
            <w:tcW w:w="3360" w:type="dxa"/>
            <w:vAlign w:val="bottom"/>
            <w:tcBorders>
              <w:right w:val="single" w:sz="8" w:color="D5DCE4"/>
            </w:tcBorders>
            <w:gridSpan w:val="3"/>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U.S. High Yield - Electronically Processed</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219</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13,598</w:t>
            </w:r>
          </w:p>
        </w:tc>
        <w:tc>
          <w:tcPr>
            <w:tcW w:w="100" w:type="dxa"/>
            <w:vAlign w:val="bottom"/>
            <w:tcBorders>
              <w:right w:val="single" w:sz="8" w:color="D5DCE4"/>
            </w:tcBorders>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00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300</w:t>
            </w:r>
          </w:p>
        </w:tc>
        <w:tc>
          <w:tcPr>
            <w:tcW w:w="42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18,620</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(26.97)%</w:t>
            </w: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European Credit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2,280</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145,902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2,044</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128,744</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11.56 %</w:t>
            </w:r>
          </w:p>
        </w:tc>
        <w:tc>
          <w:tcPr>
            <w:tcW w:w="0" w:type="dxa"/>
            <w:vAlign w:val="bottom"/>
          </w:tcPr>
          <w:p>
            <w:pPr>
              <w:spacing w:after="0"/>
              <w:rPr>
                <w:sz w:val="1"/>
                <w:szCs w:val="1"/>
                <w:color w:val="auto"/>
              </w:rPr>
            </w:pPr>
          </w:p>
        </w:tc>
      </w:tr>
      <w:tr>
        <w:trPr>
          <w:trHeight w:val="251"/>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Municipal Bonds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421</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26,113</w:t>
            </w:r>
          </w:p>
        </w:tc>
        <w:tc>
          <w:tcPr>
            <w:tcW w:w="100" w:type="dxa"/>
            <w:vAlign w:val="bottom"/>
            <w:tcBorders>
              <w:right w:val="single" w:sz="8" w:color="D5DCE4"/>
            </w:tcBorders>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00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454</w:t>
            </w:r>
          </w:p>
        </w:tc>
        <w:tc>
          <w:tcPr>
            <w:tcW w:w="42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28,175</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Chinese Bonds</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1,166</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72,276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2,984</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179,032</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(60.93)%</w:t>
            </w:r>
          </w:p>
        </w:tc>
        <w:tc>
          <w:tcPr>
            <w:tcW w:w="0" w:type="dxa"/>
            <w:vAlign w:val="bottom"/>
          </w:tcPr>
          <w:p>
            <w:pPr>
              <w:spacing w:after="0"/>
              <w:rPr>
                <w:sz w:val="1"/>
                <w:szCs w:val="1"/>
                <w:color w:val="auto"/>
              </w:rPr>
            </w:pPr>
          </w:p>
        </w:tc>
      </w:tr>
      <w:tr>
        <w:trPr>
          <w:trHeight w:val="251"/>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Other Credit Bonds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275</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17,322</w:t>
            </w:r>
          </w:p>
        </w:tc>
        <w:tc>
          <w:tcPr>
            <w:tcW w:w="100" w:type="dxa"/>
            <w:vAlign w:val="bottom"/>
            <w:tcBorders>
              <w:right w:val="single" w:sz="8" w:color="D5DCE4"/>
            </w:tcBorders>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00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232</w:t>
            </w:r>
          </w:p>
        </w:tc>
        <w:tc>
          <w:tcPr>
            <w:tcW w:w="42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14,544</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18.51 %</w:t>
            </w: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12,613</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793,229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9,864</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615,208</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27.87 %</w:t>
            </w:r>
          </w:p>
        </w:tc>
        <w:tc>
          <w:tcPr>
            <w:tcW w:w="0" w:type="dxa"/>
            <w:vAlign w:val="bottom"/>
          </w:tcPr>
          <w:p>
            <w:pPr>
              <w:spacing w:after="0"/>
              <w:rPr>
                <w:sz w:val="1"/>
                <w:szCs w:val="1"/>
                <w:color w:val="auto"/>
              </w:rPr>
            </w:pPr>
          </w:p>
        </w:tc>
      </w:tr>
      <w:tr>
        <w:trPr>
          <w:trHeight w:val="247"/>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Swaps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12,613</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793,229</w:t>
            </w:r>
          </w:p>
        </w:tc>
        <w:tc>
          <w:tcPr>
            <w:tcW w:w="100" w:type="dxa"/>
            <w:vAlign w:val="bottom"/>
            <w:tcBorders>
              <w:right w:val="single" w:sz="8" w:color="D5DCE4"/>
            </w:tcBorders>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00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9,864</w:t>
            </w:r>
          </w:p>
        </w:tc>
        <w:tc>
          <w:tcPr>
            <w:tcW w:w="42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615,208</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27.87 %</w:t>
            </w:r>
          </w:p>
        </w:tc>
        <w:tc>
          <w:tcPr>
            <w:tcW w:w="0" w:type="dxa"/>
            <w:vAlign w:val="bottom"/>
          </w:tcPr>
          <w:p>
            <w:pPr>
              <w:spacing w:after="0"/>
              <w:rPr>
                <w:sz w:val="1"/>
                <w:szCs w:val="1"/>
                <w:color w:val="auto"/>
              </w:rPr>
            </w:pPr>
          </w:p>
        </w:tc>
      </w:tr>
      <w:tr>
        <w:trPr>
          <w:trHeight w:val="233"/>
        </w:trPr>
        <w:tc>
          <w:tcPr>
            <w:tcW w:w="98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312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27,364</w:t>
            </w:r>
          </w:p>
        </w:tc>
        <w:tc>
          <w:tcPr>
            <w:tcW w:w="4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1,712,648</w:t>
            </w:r>
          </w:p>
        </w:tc>
        <w:tc>
          <w:tcPr>
            <w:tcW w:w="100" w:type="dxa"/>
            <w:vAlign w:val="bottom"/>
            <w:tcBorders>
              <w:bottom w:val="single" w:sz="8" w:color="D5DCE4"/>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24,154</w:t>
            </w:r>
          </w:p>
        </w:tc>
        <w:tc>
          <w:tcPr>
            <w:tcW w:w="4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1,497,461</w:t>
            </w:r>
          </w:p>
        </w:tc>
        <w:tc>
          <w:tcPr>
            <w:tcW w:w="100" w:type="dxa"/>
            <w:vAlign w:val="bottom"/>
            <w:tcBorders>
              <w:bottom w:val="single" w:sz="8" w:color="D5DCE4"/>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13.29 %</w:t>
            </w:r>
          </w:p>
        </w:tc>
        <w:tc>
          <w:tcPr>
            <w:tcW w:w="0" w:type="dxa"/>
            <w:vAlign w:val="bottom"/>
          </w:tcPr>
          <w:p>
            <w:pPr>
              <w:spacing w:after="0"/>
              <w:rPr>
                <w:sz w:val="1"/>
                <w:szCs w:val="1"/>
                <w:color w:val="auto"/>
              </w:rPr>
            </w:pPr>
          </w:p>
        </w:tc>
      </w:tr>
      <w:tr>
        <w:trPr>
          <w:trHeight w:val="240"/>
        </w:trPr>
        <w:tc>
          <w:tcPr>
            <w:tcW w:w="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240" w:type="dxa"/>
            <w:vAlign w:val="bottom"/>
            <w:tcBorders>
              <w:right w:val="single" w:sz="8" w:color="D5DCE4"/>
            </w:tcBorders>
            <w:shd w:val="clear" w:color="auto" w:fill="D5DCE4"/>
          </w:tcPr>
          <w:p>
            <w:pPr>
              <w:spacing w:after="0"/>
              <w:rPr>
                <w:sz w:val="20"/>
                <w:szCs w:val="20"/>
                <w:color w:val="auto"/>
              </w:rPr>
            </w:pPr>
          </w:p>
        </w:tc>
        <w:tc>
          <w:tcPr>
            <w:tcW w:w="31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260" w:type="dxa"/>
            <w:vAlign w:val="bottom"/>
            <w:shd w:val="clear" w:color="auto" w:fill="D5DCE4"/>
          </w:tcPr>
          <w:p>
            <w:pPr>
              <w:spacing w:after="0"/>
              <w:rPr>
                <w:sz w:val="20"/>
                <w:szCs w:val="20"/>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11,263</w:t>
            </w:r>
          </w:p>
        </w:tc>
        <w:tc>
          <w:tcPr>
            <w:tcW w:w="42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720,851</w:t>
            </w:r>
          </w:p>
        </w:tc>
        <w:tc>
          <w:tcPr>
            <w:tcW w:w="100" w:type="dxa"/>
            <w:vAlign w:val="bottom"/>
            <w:tcBorders>
              <w:right w:val="single" w:sz="8" w:color="D5DCE4"/>
            </w:tcBorders>
            <w:shd w:val="clear" w:color="auto" w:fill="D5DCE4"/>
          </w:tcPr>
          <w:p>
            <w:pPr>
              <w:spacing w:after="0"/>
              <w:rPr>
                <w:sz w:val="20"/>
                <w:szCs w:val="20"/>
                <w:color w:val="auto"/>
              </w:rPr>
            </w:pPr>
          </w:p>
        </w:tc>
        <w:tc>
          <w:tcPr>
            <w:tcW w:w="260" w:type="dxa"/>
            <w:vAlign w:val="bottom"/>
            <w:shd w:val="clear" w:color="auto" w:fill="D5DCE4"/>
          </w:tcPr>
          <w:p>
            <w:pPr>
              <w:spacing w:after="0"/>
              <w:rPr>
                <w:sz w:val="20"/>
                <w:szCs w:val="20"/>
                <w:color w:val="auto"/>
              </w:rPr>
            </w:pPr>
          </w:p>
        </w:tc>
        <w:tc>
          <w:tcPr>
            <w:tcW w:w="100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11,054</w:t>
            </w:r>
          </w:p>
        </w:tc>
        <w:tc>
          <w:tcPr>
            <w:tcW w:w="420" w:type="dxa"/>
            <w:vAlign w:val="bottom"/>
            <w:shd w:val="clear" w:color="auto" w:fill="D5DCE4"/>
          </w:tcPr>
          <w:p>
            <w:pPr>
              <w:spacing w:after="0"/>
              <w:rPr>
                <w:sz w:val="20"/>
                <w:szCs w:val="20"/>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696,386</w:t>
            </w:r>
          </w:p>
        </w:tc>
        <w:tc>
          <w:tcPr>
            <w:tcW w:w="100" w:type="dxa"/>
            <w:vAlign w:val="bottom"/>
            <w:tcBorders>
              <w:right w:val="single" w:sz="8" w:color="D5DCE4"/>
            </w:tcBorders>
            <w:shd w:val="clear" w:color="auto" w:fill="D5DCE4"/>
          </w:tcPr>
          <w:p>
            <w:pPr>
              <w:spacing w:after="0"/>
              <w:rPr>
                <w:sz w:val="20"/>
                <w:szCs w:val="20"/>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1.90 %</w:t>
            </w: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U.S. ETFs</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8,103</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518,579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8,308</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523,379</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51"/>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European ETFs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3,161</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202,272</w:t>
            </w:r>
          </w:p>
        </w:tc>
        <w:tc>
          <w:tcPr>
            <w:tcW w:w="100" w:type="dxa"/>
            <w:vAlign w:val="bottom"/>
            <w:tcBorders>
              <w:right w:val="single" w:sz="8" w:color="D5DCE4"/>
            </w:tcBorders>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00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2,746</w:t>
            </w:r>
          </w:p>
        </w:tc>
        <w:tc>
          <w:tcPr>
            <w:tcW w:w="42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173,007</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15.09 %</w:t>
            </w: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12,295</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786,854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12,474</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785,845</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(1.44)%</w:t>
            </w:r>
          </w:p>
        </w:tc>
        <w:tc>
          <w:tcPr>
            <w:tcW w:w="0" w:type="dxa"/>
            <w:vAlign w:val="bottom"/>
          </w:tcPr>
          <w:p>
            <w:pPr>
              <w:spacing w:after="0"/>
              <w:rPr>
                <w:sz w:val="1"/>
                <w:szCs w:val="1"/>
                <w:color w:val="auto"/>
              </w:rPr>
            </w:pPr>
          </w:p>
        </w:tc>
      </w:tr>
      <w:tr>
        <w:trPr>
          <w:trHeight w:val="247"/>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Convertibles/Swaps/Options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8,906</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570,007</w:t>
            </w:r>
          </w:p>
        </w:tc>
        <w:tc>
          <w:tcPr>
            <w:tcW w:w="100" w:type="dxa"/>
            <w:vAlign w:val="bottom"/>
            <w:tcBorders>
              <w:right w:val="single" w:sz="8" w:color="D5DCE4"/>
            </w:tcBorders>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00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8,495</w:t>
            </w:r>
          </w:p>
        </w:tc>
        <w:tc>
          <w:tcPr>
            <w:tcW w:w="42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535,199</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4.84 %</w:t>
            </w: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Futures</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3,388</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216,847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3,979</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250,646</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243"/>
        </w:trPr>
        <w:tc>
          <w:tcPr>
            <w:tcW w:w="980" w:type="dxa"/>
            <w:vAlign w:val="bottom"/>
            <w:tcBorders>
              <w:top w:val="single" w:sz="8" w:color="D5DCE4"/>
            </w:tcBorders>
            <w:shd w:val="clear" w:color="auto" w:fill="D5DCE4"/>
          </w:tcPr>
          <w:p>
            <w:pPr>
              <w:spacing w:after="0"/>
              <w:rPr>
                <w:sz w:val="21"/>
                <w:szCs w:val="21"/>
                <w:color w:val="auto"/>
              </w:rPr>
            </w:pPr>
          </w:p>
        </w:tc>
        <w:tc>
          <w:tcPr>
            <w:tcW w:w="240" w:type="dxa"/>
            <w:vAlign w:val="bottom"/>
            <w:tcBorders>
              <w:top w:val="single" w:sz="8" w:color="D5DCE4"/>
              <w:right w:val="single" w:sz="8" w:color="D5DCE4"/>
            </w:tcBorders>
            <w:shd w:val="clear" w:color="auto" w:fill="D5DCE4"/>
          </w:tcPr>
          <w:p>
            <w:pPr>
              <w:spacing w:after="0"/>
              <w:rPr>
                <w:sz w:val="21"/>
                <w:szCs w:val="21"/>
                <w:color w:val="auto"/>
              </w:rPr>
            </w:pPr>
          </w:p>
        </w:tc>
        <w:tc>
          <w:tcPr>
            <w:tcW w:w="3120" w:type="dxa"/>
            <w:vAlign w:val="bottom"/>
            <w:tcBorders>
              <w:top w:val="single" w:sz="8" w:color="D5DCE4"/>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bottom w:val="single" w:sz="8" w:color="auto"/>
            </w:tcBorders>
            <w:shd w:val="clear" w:color="auto" w:fill="D5DCE4"/>
          </w:tcPr>
          <w:p>
            <w:pPr>
              <w:spacing w:after="0"/>
              <w:rPr>
                <w:sz w:val="21"/>
                <w:szCs w:val="21"/>
                <w:color w:val="auto"/>
              </w:rPr>
            </w:pPr>
          </w:p>
        </w:tc>
        <w:tc>
          <w:tcPr>
            <w:tcW w:w="98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23,558</w:t>
            </w:r>
          </w:p>
        </w:tc>
        <w:tc>
          <w:tcPr>
            <w:tcW w:w="420" w:type="dxa"/>
            <w:vAlign w:val="bottom"/>
            <w:tcBorders>
              <w:top w:val="single" w:sz="8" w:color="auto"/>
              <w:bottom w:val="single" w:sz="8" w:color="auto"/>
            </w:tcBorders>
            <w:shd w:val="clear" w:color="auto" w:fill="D5DCE4"/>
          </w:tcPr>
          <w:p>
            <w:pPr>
              <w:spacing w:after="0"/>
              <w:rPr>
                <w:sz w:val="21"/>
                <w:szCs w:val="21"/>
                <w:color w:val="auto"/>
              </w:rPr>
            </w:pPr>
          </w:p>
        </w:tc>
        <w:tc>
          <w:tcPr>
            <w:tcW w:w="10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1,507,705</w:t>
            </w:r>
          </w:p>
        </w:tc>
        <w:tc>
          <w:tcPr>
            <w:tcW w:w="100" w:type="dxa"/>
            <w:vAlign w:val="bottom"/>
            <w:tcBorders>
              <w:top w:val="single" w:sz="8" w:color="D5DCE4"/>
              <w:right w:val="single" w:sz="8" w:color="D5DCE4"/>
            </w:tcBorders>
            <w:shd w:val="clear" w:color="auto" w:fill="D5DCE4"/>
          </w:tcPr>
          <w:p>
            <w:pPr>
              <w:spacing w:after="0"/>
              <w:rPr>
                <w:sz w:val="21"/>
                <w:szCs w:val="21"/>
                <w:color w:val="auto"/>
              </w:rPr>
            </w:pPr>
          </w:p>
        </w:tc>
        <w:tc>
          <w:tcPr>
            <w:tcW w:w="260" w:type="dxa"/>
            <w:vAlign w:val="bottom"/>
            <w:tcBorders>
              <w:top w:val="single" w:sz="8" w:color="auto"/>
              <w:bottom w:val="single" w:sz="8" w:color="auto"/>
            </w:tcBorders>
            <w:shd w:val="clear" w:color="auto" w:fill="D5DCE4"/>
          </w:tcPr>
          <w:p>
            <w:pPr>
              <w:spacing w:after="0"/>
              <w:rPr>
                <w:sz w:val="21"/>
                <w:szCs w:val="21"/>
                <w:color w:val="auto"/>
              </w:rPr>
            </w:pPr>
          </w:p>
        </w:tc>
        <w:tc>
          <w:tcPr>
            <w:tcW w:w="100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23,527</w:t>
            </w:r>
          </w:p>
        </w:tc>
        <w:tc>
          <w:tcPr>
            <w:tcW w:w="420" w:type="dxa"/>
            <w:vAlign w:val="bottom"/>
            <w:tcBorders>
              <w:top w:val="single" w:sz="8" w:color="auto"/>
              <w:bottom w:val="single" w:sz="8" w:color="auto"/>
            </w:tcBorders>
            <w:shd w:val="clear" w:color="auto" w:fill="D5DCE4"/>
          </w:tcPr>
          <w:p>
            <w:pPr>
              <w:spacing w:after="0"/>
              <w:rPr>
                <w:sz w:val="21"/>
                <w:szCs w:val="21"/>
                <w:color w:val="auto"/>
              </w:rPr>
            </w:pPr>
          </w:p>
        </w:tc>
        <w:tc>
          <w:tcPr>
            <w:tcW w:w="100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1,482,230</w:t>
            </w:r>
          </w:p>
        </w:tc>
        <w:tc>
          <w:tcPr>
            <w:tcW w:w="100" w:type="dxa"/>
            <w:vAlign w:val="bottom"/>
            <w:tcBorders>
              <w:top w:val="single" w:sz="8" w:color="D5DCE4"/>
              <w:right w:val="single" w:sz="8" w:color="D5DCE4"/>
            </w:tcBorders>
            <w:shd w:val="clear" w:color="auto" w:fill="D5DCE4"/>
          </w:tcPr>
          <w:p>
            <w:pPr>
              <w:spacing w:after="0"/>
              <w:rPr>
                <w:sz w:val="21"/>
                <w:szCs w:val="21"/>
                <w:color w:val="auto"/>
              </w:rPr>
            </w:pPr>
          </w:p>
        </w:tc>
        <w:tc>
          <w:tcPr>
            <w:tcW w:w="136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0.13 %</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Money</w:t>
            </w:r>
          </w:p>
        </w:tc>
        <w:tc>
          <w:tcPr>
            <w:tcW w:w="240" w:type="dxa"/>
            <w:vAlign w:val="bottom"/>
          </w:tcPr>
          <w:p>
            <w:pPr>
              <w:spacing w:after="0"/>
              <w:rPr>
                <w:sz w:val="15"/>
                <w:szCs w:val="15"/>
                <w:color w:val="auto"/>
              </w:rPr>
            </w:pPr>
          </w:p>
        </w:tc>
        <w:tc>
          <w:tcPr>
            <w:tcW w:w="31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260" w:type="dxa"/>
            <w:vAlign w:val="bottom"/>
          </w:tcPr>
          <w:p>
            <w:pPr>
              <w:spacing w:after="0"/>
              <w:rPr>
                <w:sz w:val="15"/>
                <w:szCs w:val="15"/>
                <w:color w:val="auto"/>
              </w:rPr>
            </w:pP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988,081</w:t>
            </w:r>
          </w:p>
        </w:tc>
        <w:tc>
          <w:tcPr>
            <w:tcW w:w="4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69,906,820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541,367</w:t>
            </w:r>
          </w:p>
        </w:tc>
        <w:tc>
          <w:tcPr>
            <w:tcW w:w="4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33,641,259</w:t>
            </w:r>
          </w:p>
        </w:tc>
        <w:tc>
          <w:tcPr>
            <w:tcW w:w="1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82.52 %</w:t>
            </w:r>
          </w:p>
        </w:tc>
        <w:tc>
          <w:tcPr>
            <w:tcW w:w="0" w:type="dxa"/>
            <w:vAlign w:val="bottom"/>
          </w:tcPr>
          <w:p>
            <w:pPr>
              <w:spacing w:after="0"/>
              <w:rPr>
                <w:sz w:val="1"/>
                <w:szCs w:val="1"/>
                <w:color w:val="auto"/>
              </w:rPr>
            </w:pPr>
          </w:p>
        </w:tc>
      </w:tr>
      <w:tr>
        <w:trPr>
          <w:trHeight w:val="142"/>
        </w:trPr>
        <w:tc>
          <w:tcPr>
            <w:tcW w:w="9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240" w:type="dxa"/>
            <w:vAlign w:val="bottom"/>
          </w:tcPr>
          <w:p>
            <w:pPr>
              <w:spacing w:after="0"/>
              <w:rPr>
                <w:sz w:val="12"/>
                <w:szCs w:val="12"/>
                <w:color w:val="auto"/>
              </w:rPr>
            </w:pPr>
          </w:p>
        </w:tc>
        <w:tc>
          <w:tcPr>
            <w:tcW w:w="3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Repurchase Agreements (Repo)</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687,695</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42,873,437</w:t>
            </w:r>
          </w:p>
        </w:tc>
        <w:tc>
          <w:tcPr>
            <w:tcW w:w="100" w:type="dxa"/>
            <w:vAlign w:val="bottom"/>
            <w:tcBorders>
              <w:right w:val="single" w:sz="8" w:color="D5DCE4"/>
            </w:tcBorders>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00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524,267</w:t>
            </w:r>
          </w:p>
        </w:tc>
        <w:tc>
          <w:tcPr>
            <w:tcW w:w="42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32,578,498</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31.17 %</w:t>
            </w: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Other Money Markets</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300,386</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27,033,383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17,100</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1,062,761</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1656.68 %</w:t>
            </w:r>
          </w:p>
        </w:tc>
        <w:tc>
          <w:tcPr>
            <w:tcW w:w="0" w:type="dxa"/>
            <w:vAlign w:val="bottom"/>
          </w:tcPr>
          <w:p>
            <w:pPr>
              <w:spacing w:after="0"/>
              <w:rPr>
                <w:sz w:val="1"/>
                <w:szCs w:val="1"/>
                <w:color w:val="auto"/>
              </w:rPr>
            </w:pPr>
          </w:p>
        </w:tc>
      </w:tr>
      <w:tr>
        <w:trPr>
          <w:trHeight w:val="239"/>
        </w:trPr>
        <w:tc>
          <w:tcPr>
            <w:tcW w:w="980" w:type="dxa"/>
            <w:vAlign w:val="bottom"/>
            <w:tcBorders>
              <w:top w:val="single" w:sz="8" w:color="D5DCE4"/>
            </w:tcBorders>
            <w:shd w:val="clear" w:color="auto" w:fill="D5DCE4"/>
          </w:tcPr>
          <w:p>
            <w:pPr>
              <w:spacing w:after="0"/>
              <w:rPr>
                <w:sz w:val="20"/>
                <w:szCs w:val="20"/>
                <w:color w:val="auto"/>
              </w:rPr>
            </w:pPr>
          </w:p>
        </w:tc>
        <w:tc>
          <w:tcPr>
            <w:tcW w:w="240" w:type="dxa"/>
            <w:vAlign w:val="bottom"/>
            <w:tcBorders>
              <w:top w:val="single" w:sz="8" w:color="D5DCE4"/>
              <w:right w:val="single" w:sz="8" w:color="D5DCE4"/>
            </w:tcBorders>
            <w:shd w:val="clear" w:color="auto" w:fill="D5DCE4"/>
          </w:tcPr>
          <w:p>
            <w:pPr>
              <w:spacing w:after="0"/>
              <w:rPr>
                <w:sz w:val="20"/>
                <w:szCs w:val="20"/>
                <w:color w:val="auto"/>
              </w:rPr>
            </w:pPr>
          </w:p>
        </w:tc>
        <w:tc>
          <w:tcPr>
            <w:tcW w:w="3120" w:type="dxa"/>
            <w:vAlign w:val="bottom"/>
            <w:tcBorders>
              <w:top w:val="single" w:sz="8" w:color="D5DCE4"/>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bottom w:val="single" w:sz="8" w:color="auto"/>
            </w:tcBorders>
            <w:shd w:val="clear" w:color="auto" w:fill="D5DCE4"/>
          </w:tcPr>
          <w:p>
            <w:pPr>
              <w:spacing w:after="0"/>
              <w:rPr>
                <w:sz w:val="20"/>
                <w:szCs w:val="20"/>
                <w:color w:val="auto"/>
              </w:rPr>
            </w:pPr>
          </w:p>
        </w:tc>
        <w:tc>
          <w:tcPr>
            <w:tcW w:w="98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988,081</w:t>
            </w:r>
          </w:p>
        </w:tc>
        <w:tc>
          <w:tcPr>
            <w:tcW w:w="420" w:type="dxa"/>
            <w:vAlign w:val="bottom"/>
            <w:tcBorders>
              <w:top w:val="single" w:sz="8" w:color="auto"/>
              <w:bottom w:val="single" w:sz="8" w:color="auto"/>
            </w:tcBorders>
            <w:shd w:val="clear" w:color="auto" w:fill="D5DCE4"/>
          </w:tcPr>
          <w:p>
            <w:pPr>
              <w:spacing w:after="0"/>
              <w:rPr>
                <w:sz w:val="20"/>
                <w:szCs w:val="20"/>
                <w:color w:val="auto"/>
              </w:rPr>
            </w:pPr>
          </w:p>
        </w:tc>
        <w:tc>
          <w:tcPr>
            <w:tcW w:w="10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69,906,820</w:t>
            </w:r>
          </w:p>
        </w:tc>
        <w:tc>
          <w:tcPr>
            <w:tcW w:w="100" w:type="dxa"/>
            <w:vAlign w:val="bottom"/>
            <w:tcBorders>
              <w:top w:val="single" w:sz="8" w:color="D5DCE4"/>
              <w:right w:val="single" w:sz="8" w:color="D5DCE4"/>
            </w:tcBorders>
            <w:shd w:val="clear" w:color="auto" w:fill="D5DCE4"/>
          </w:tcPr>
          <w:p>
            <w:pPr>
              <w:spacing w:after="0"/>
              <w:rPr>
                <w:sz w:val="20"/>
                <w:szCs w:val="20"/>
                <w:color w:val="auto"/>
              </w:rPr>
            </w:pPr>
          </w:p>
        </w:tc>
        <w:tc>
          <w:tcPr>
            <w:tcW w:w="260" w:type="dxa"/>
            <w:vAlign w:val="bottom"/>
            <w:tcBorders>
              <w:top w:val="single" w:sz="8" w:color="auto"/>
              <w:bottom w:val="single" w:sz="8" w:color="auto"/>
            </w:tcBorders>
            <w:shd w:val="clear" w:color="auto" w:fill="D5DCE4"/>
          </w:tcPr>
          <w:p>
            <w:pPr>
              <w:spacing w:after="0"/>
              <w:rPr>
                <w:sz w:val="20"/>
                <w:szCs w:val="20"/>
                <w:color w:val="auto"/>
              </w:rPr>
            </w:pPr>
          </w:p>
        </w:tc>
        <w:tc>
          <w:tcPr>
            <w:tcW w:w="100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541,367</w:t>
            </w:r>
          </w:p>
        </w:tc>
        <w:tc>
          <w:tcPr>
            <w:tcW w:w="420" w:type="dxa"/>
            <w:vAlign w:val="bottom"/>
            <w:tcBorders>
              <w:top w:val="single" w:sz="8" w:color="auto"/>
              <w:bottom w:val="single" w:sz="8" w:color="auto"/>
            </w:tcBorders>
            <w:shd w:val="clear" w:color="auto" w:fill="D5DCE4"/>
          </w:tcPr>
          <w:p>
            <w:pPr>
              <w:spacing w:after="0"/>
              <w:rPr>
                <w:sz w:val="20"/>
                <w:szCs w:val="20"/>
                <w:color w:val="auto"/>
              </w:rPr>
            </w:pPr>
          </w:p>
        </w:tc>
        <w:tc>
          <w:tcPr>
            <w:tcW w:w="100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33,641,259</w:t>
            </w:r>
          </w:p>
        </w:tc>
        <w:tc>
          <w:tcPr>
            <w:tcW w:w="100" w:type="dxa"/>
            <w:vAlign w:val="bottom"/>
            <w:tcBorders>
              <w:top w:val="single" w:sz="8" w:color="D5DCE4"/>
              <w:right w:val="single" w:sz="8" w:color="D5DCE4"/>
            </w:tcBorders>
            <w:shd w:val="clear" w:color="auto" w:fill="D5DCE4"/>
          </w:tcPr>
          <w:p>
            <w:pPr>
              <w:spacing w:after="0"/>
              <w:rPr>
                <w:sz w:val="20"/>
                <w:szCs w:val="20"/>
                <w:color w:val="auto"/>
              </w:rPr>
            </w:pPr>
          </w:p>
        </w:tc>
        <w:tc>
          <w:tcPr>
            <w:tcW w:w="136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82.52 %</w:t>
            </w:r>
          </w:p>
        </w:tc>
        <w:tc>
          <w:tcPr>
            <w:tcW w:w="0" w:type="dxa"/>
            <w:vAlign w:val="bottom"/>
          </w:tcPr>
          <w:p>
            <w:pPr>
              <w:spacing w:after="0"/>
              <w:rPr>
                <w:sz w:val="1"/>
                <w:szCs w:val="1"/>
                <w:color w:val="auto"/>
              </w:rPr>
            </w:pPr>
          </w:p>
        </w:tc>
      </w:tr>
      <w:tr>
        <w:trPr>
          <w:trHeight w:val="200"/>
        </w:trPr>
        <w:tc>
          <w:tcPr>
            <w:tcW w:w="980" w:type="dxa"/>
            <w:vAlign w:val="bottom"/>
            <w:tcBorders>
              <w:bottom w:val="single" w:sz="8" w:color="D5DCE4"/>
            </w:tcBorders>
          </w:tcPr>
          <w:p>
            <w:pPr>
              <w:spacing w:after="0"/>
              <w:rPr>
                <w:sz w:val="17"/>
                <w:szCs w:val="17"/>
                <w:color w:val="auto"/>
              </w:rPr>
            </w:pPr>
          </w:p>
        </w:tc>
        <w:tc>
          <w:tcPr>
            <w:tcW w:w="240" w:type="dxa"/>
            <w:vAlign w:val="bottom"/>
            <w:tcBorders>
              <w:bottom w:val="single" w:sz="8" w:color="D5DCE4"/>
            </w:tcBorders>
          </w:tcPr>
          <w:p>
            <w:pPr>
              <w:spacing w:after="0"/>
              <w:rPr>
                <w:sz w:val="17"/>
                <w:szCs w:val="17"/>
                <w:color w:val="auto"/>
              </w:rPr>
            </w:pPr>
          </w:p>
        </w:tc>
        <w:tc>
          <w:tcPr>
            <w:tcW w:w="3000" w:type="dxa"/>
            <w:vAlign w:val="bottom"/>
            <w:tcBorders>
              <w:bottom w:val="single" w:sz="8" w:color="D5DCE4"/>
            </w:tcBorders>
          </w:tcPr>
          <w:p>
            <w:pPr>
              <w:spacing w:after="0"/>
              <w:rPr>
                <w:sz w:val="17"/>
                <w:szCs w:val="17"/>
                <w:color w:val="auto"/>
              </w:rPr>
            </w:pPr>
          </w:p>
        </w:tc>
        <w:tc>
          <w:tcPr>
            <w:tcW w:w="120" w:type="dxa"/>
            <w:vAlign w:val="bottom"/>
            <w:tcBorders>
              <w:bottom w:val="single" w:sz="8" w:color="D5DCE4"/>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80" w:type="dxa"/>
            <w:vAlign w:val="bottom"/>
            <w:shd w:val="clear" w:color="auto" w:fill="D5DCE4"/>
          </w:tcPr>
          <w:p>
            <w:pPr>
              <w:spacing w:after="0"/>
              <w:rPr>
                <w:sz w:val="20"/>
                <w:szCs w:val="20"/>
                <w:color w:val="auto"/>
              </w:rPr>
            </w:pPr>
          </w:p>
        </w:tc>
        <w:tc>
          <w:tcPr>
            <w:tcW w:w="240" w:type="dxa"/>
            <w:vAlign w:val="bottom"/>
            <w:tcBorders>
              <w:right w:val="single" w:sz="8" w:color="D5DCE4"/>
            </w:tcBorders>
            <w:shd w:val="clear" w:color="auto" w:fill="D5DCE4"/>
          </w:tcPr>
          <w:p>
            <w:pPr>
              <w:spacing w:after="0"/>
              <w:rPr>
                <w:sz w:val="20"/>
                <w:szCs w:val="20"/>
                <w:color w:val="auto"/>
              </w:rPr>
            </w:pPr>
          </w:p>
        </w:tc>
        <w:tc>
          <w:tcPr>
            <w:tcW w:w="3000" w:type="dxa"/>
            <w:vAlign w:val="bottom"/>
            <w:tcBorders>
              <w:bottom w:val="single" w:sz="8" w:color="auto"/>
            </w:tcBorders>
            <w:shd w:val="clear" w:color="auto" w:fill="D5DCE4"/>
          </w:tcPr>
          <w:p>
            <w:pPr>
              <w:spacing w:after="0"/>
              <w:rPr>
                <w:sz w:val="20"/>
                <w:szCs w:val="20"/>
                <w:color w:val="auto"/>
              </w:rPr>
            </w:pPr>
          </w:p>
        </w:tc>
        <w:tc>
          <w:tcPr>
            <w:tcW w:w="120" w:type="dxa"/>
            <w:vAlign w:val="bottom"/>
            <w:tcBorders>
              <w:bottom w:val="single" w:sz="8" w:color="auto"/>
              <w:right w:val="single" w:sz="8" w:color="auto"/>
            </w:tcBorders>
            <w:shd w:val="clear" w:color="auto" w:fill="D5DCE4"/>
          </w:tcPr>
          <w:p>
            <w:pPr>
              <w:spacing w:after="0"/>
              <w:rPr>
                <w:sz w:val="20"/>
                <w:szCs w:val="20"/>
                <w:color w:val="auto"/>
              </w:rPr>
            </w:pPr>
          </w:p>
        </w:tc>
        <w:tc>
          <w:tcPr>
            <w:tcW w:w="1240" w:type="dxa"/>
            <w:vAlign w:val="bottom"/>
            <w:tcBorders>
              <w:bottom w:val="single" w:sz="8" w:color="auto"/>
              <w:right w:val="single" w:sz="8" w:color="auto"/>
            </w:tcBorders>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ADV (USD mm)</w:t>
            </w:r>
          </w:p>
        </w:tc>
        <w:tc>
          <w:tcPr>
            <w:tcW w:w="154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260" w:type="dxa"/>
            <w:vAlign w:val="bottom"/>
            <w:tcBorders>
              <w:bottom w:val="single" w:sz="8" w:color="auto"/>
              <w:right w:val="single" w:sz="8" w:color="auto"/>
            </w:tcBorders>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ADV (USD mm)</w:t>
            </w:r>
          </w:p>
        </w:tc>
        <w:tc>
          <w:tcPr>
            <w:tcW w:w="1520" w:type="dxa"/>
            <w:vAlign w:val="bottom"/>
            <w:tcBorders>
              <w:bottom w:val="single" w:sz="8" w:color="auto"/>
              <w:right w:val="single" w:sz="8" w:color="auto"/>
            </w:tcBorders>
            <w:gridSpan w:val="3"/>
            <w:shd w:val="clear" w:color="auto" w:fill="D5DCE4"/>
          </w:tcPr>
          <w:p>
            <w:pPr>
              <w:spacing w:after="0"/>
              <w:rPr>
                <w:sz w:val="20"/>
                <w:szCs w:val="20"/>
                <w:color w:val="auto"/>
              </w:rPr>
            </w:pPr>
            <w:r>
              <w:rPr>
                <w:rFonts w:ascii="Arial" w:cs="Arial" w:eastAsia="Arial" w:hAnsi="Arial"/>
                <w:sz w:val="16"/>
                <w:szCs w:val="16"/>
                <w:b w:val="1"/>
                <w:bCs w:val="1"/>
                <w:color w:val="auto"/>
              </w:rPr>
              <w:t>Volume (USD mm)</w:t>
            </w:r>
          </w:p>
        </w:tc>
        <w:tc>
          <w:tcPr>
            <w:tcW w:w="1360" w:type="dxa"/>
            <w:vAlign w:val="bottom"/>
            <w:tcBorders>
              <w:bottom w:val="single" w:sz="8" w:color="auto"/>
              <w:right w:val="single" w:sz="8" w:color="auto"/>
            </w:tcBorders>
            <w:shd w:val="clear" w:color="auto" w:fill="D5DCE4"/>
          </w:tcPr>
          <w:p>
            <w:pPr>
              <w:ind w:left="52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2,292,055</w:t>
            </w:r>
          </w:p>
        </w:tc>
        <w:tc>
          <w:tcPr>
            <w:tcW w:w="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151,698,287</w:t>
            </w:r>
          </w:p>
        </w:tc>
        <w:tc>
          <w:tcPr>
            <w:tcW w:w="1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1,676,537</w:t>
            </w:r>
          </w:p>
        </w:tc>
        <w:tc>
          <w:tcPr>
            <w:tcW w:w="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104,368,131</w:t>
            </w:r>
          </w:p>
        </w:tc>
        <w:tc>
          <w:tcPr>
            <w:tcW w:w="1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36.70 %</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40" w:right="140" w:hanging="414"/>
        <w:spacing w:after="0" w:line="294" w:lineRule="auto"/>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acquired Yieldbroker, r8fin and ICD on August 31, 2023, January 19, 2024 and August 1, 2024, respectively. Total volume reported includes volumes from each acquired business subsequent to the closing date of the applicable acquisition.</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55FC1"/>
        </w:rPr>
        <w:t>https://www.tradeweb.com/newsroom/monthly-activity-reports/</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32" w:lineRule="exact"/>
        <w:rPr>
          <w:sz w:val="20"/>
          <w:szCs w:val="20"/>
          <w:color w:val="auto"/>
        </w:rPr>
      </w:pPr>
    </w:p>
    <w:p>
      <w:pPr>
        <w:ind w:left="10480"/>
        <w:spacing w:after="0"/>
        <w:rPr>
          <w:sz w:val="20"/>
          <w:szCs w:val="20"/>
          <w:color w:val="auto"/>
        </w:rPr>
      </w:pPr>
      <w:r>
        <w:rPr>
          <w:rFonts w:ascii="Arial" w:cs="Arial" w:eastAsia="Arial" w:hAnsi="Arial"/>
          <w:sz w:val="18"/>
          <w:szCs w:val="18"/>
          <w:color w:val="auto"/>
        </w:rPr>
        <w:t>Page | 10</w:t>
      </w:r>
    </w:p>
    <w:p>
      <w:pPr>
        <w:sectPr>
          <w:pgSz w:w="11900" w:h="16838" w:orient="portrait"/>
          <w:cols w:equalWidth="0" w:num="1">
            <w:col w:w="11260"/>
          </w:cols>
          <w:pgMar w:left="320" w:top="773" w:right="31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083566"/>
        </w:rPr>
        <w:t>BASIS OF PRESENTATION</w:t>
      </w:r>
    </w:p>
    <w:p>
      <w:pPr>
        <w:spacing w:after="0" w:line="113"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principal assets consist of its direct and indirect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201"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Numerical figures included in this release have been subject to rounding adjustments and as a result totals may not be the arithmetic aggregation of the amounts that precede them and figures expressed as percentages may not total 100%.</w:t>
      </w:r>
    </w:p>
    <w:p>
      <w:pPr>
        <w:spacing w:after="0" w:line="16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Please refer to the Company's previously filed Quarterly Reports on Form 10-Q and Annual Report on Form 10-K for capitalized terms not otherwise defined herein.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 INTERIM AND FULL YEAR RESULTS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interim and full year financial results presented herein for the three months and the year ended December 31, 2024 and 2023 are unaudited.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FORWARD-LOOKING STATEMENTS</w:t>
      </w:r>
    </w:p>
    <w:p>
      <w:pPr>
        <w:spacing w:after="0" w:line="11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2025 guidance and full-year 2025 revenue guidance related to the LSEG market data license agreement, pending and completed acquisitions, future performance, the industry and markets in which we operate, our expectations, beliefs, plans, strategies, objectives, prospects and assumptions and future events are forward-looking statements.</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the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events or performance and future events, our actual results of operations, financial condition or liquidity, and the development of the industry and markets in which we operate, may differ materially from the forward-looking statements contained in this release. In addition, even if future events, our results of operations, financial condition, or liquidity, and events in the industry and markets in which we operate, are consistent with the forward-looking statements contained in this release, they may not be predictive of events,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NON-GAAP FINANCIAL MEASURES</w:t>
      </w:r>
    </w:p>
    <w:p>
      <w:pPr>
        <w:spacing w:after="0" w:line="23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Net Income per diluted share ("Adjusted Diluted EPS"), Adjusted Expenses, Free Cash Flow and constant currency change, which are supplemental financial measures that are not calculated and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7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86"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173"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10480"/>
        <w:spacing w:after="0"/>
        <w:rPr>
          <w:sz w:val="20"/>
          <w:szCs w:val="20"/>
          <w:color w:val="auto"/>
        </w:rPr>
      </w:pPr>
      <w:r>
        <w:rPr>
          <w:rFonts w:ascii="Arial" w:cs="Arial" w:eastAsia="Arial" w:hAnsi="Arial"/>
          <w:sz w:val="17"/>
          <w:szCs w:val="17"/>
          <w:color w:val="auto"/>
        </w:rPr>
        <w:t>Page | 11</w:t>
      </w:r>
    </w:p>
    <w:p>
      <w:pPr>
        <w:sectPr>
          <w:pgSz w:w="11900" w:h="16838" w:orient="portrait"/>
          <w:cols w:equalWidth="0" w:num="1">
            <w:col w:w="11240"/>
          </w:cols>
          <w:pgMar w:left="320" w:top="989" w:right="339" w:bottom="1440" w:gutter="0" w:footer="0" w:header="0"/>
          <w:type w:val="continuous"/>
        </w:sectPr>
      </w:pPr>
    </w:p>
    <w:bookmarkStart w:id="14" w:name="page15"/>
    <w:bookmarkEnd w:id="14"/>
    <w:p>
      <w:pPr>
        <w:ind w:right="160"/>
        <w:spacing w:after="0" w:line="286"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present certain changes on a “constant currency” basis. Since our consolidated financial statements are presented in U.S. dollars, we must translate non-U.S. dollar revenues and expenses into U.S. dollars. Constant currency change, which is a non-GAAP financial measure, is defined as change excluding the effects of foreign currency fluctuations. Constant currency information is calculated by translating the current period and prior period’s results using the annual average exchange rates for the prior period. We use constant currency change as a supplemental metric to evaluate our underlying performance between periods by removing the impact of foreign currency fluctuations. We present certain constant currency change information because we believe it provides investors and analysts a useful comparison of our results and trends between periods. This information should be considered in addition to, not as a substitute for, results reported in accordance with GAAP.</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net income margin, earnings per share, operating income, operating expenses, cash flow from operating activities or any other financial measure prepared or derived in accordance with GAAP. You are encouraged to evaluate each adjustment included in the reconciliations. In addition, in evaluating Adjusted EBITDA, Adjusted EBITDA margin, Adjusted EBIT, Adjusted EBIT margin, Adjusted EBT, Adjusted Net Income, Adjusted Diluted EPS, Adjusted Expenses and Free Cash Flow, you should be aware that in the future, we may incur expenses similar to the adjustments in the presentation of these non-GAAP financial measures.</w:t>
      </w:r>
    </w:p>
    <w:p>
      <w:pPr>
        <w:spacing w:after="0" w:line="176"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MARKET AND INDUSTRY DATA</w:t>
      </w:r>
    </w:p>
    <w:p>
      <w:pPr>
        <w:spacing w:after="0" w:line="22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This release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23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Investors and others should note that Tradeweb announces material financial and operational information using its investor relations website, press releases, SEC filings and public conference calls and webcasts. Information about Tradeweb, its business and its results of operations may also be announced by posts on the Company’s accounts on the following social media channels: Instagram, LinkedIn and X.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12</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2025-02-06T05:11:15Z</dcterms:created>
  <dcterms:modified xsi:type="dcterms:W3CDTF">2025-02-06T05:11:15Z</dcterms:modified>
</cp:coreProperties>
</file>