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626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626735"/>
                    </a:xfrm>
                    <a:prstGeom prst="rect">
                      <a:avLst/>
                    </a:prstGeom>
                    <a:noFill/>
                  </pic:spPr>
                </pic:pic>
              </a:graphicData>
            </a:graphic>
          </wp:anchor>
        </w:drawing>
      </w:r>
    </w:p>
    <w:p>
      <w:pPr>
        <w:spacing w:after="0" w:line="1285" w:lineRule="exact"/>
        <w:rPr>
          <w:sz w:val="24"/>
          <w:szCs w:val="24"/>
          <w:color w:val="auto"/>
        </w:rPr>
      </w:pPr>
    </w:p>
    <w:p>
      <w:pPr>
        <w:sectPr>
          <w:pgSz w:w="11900" w:h="16861"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Bruni Enrico</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245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Tradeweb Markets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01/01/2026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425"/>
        <w:spacing w:after="0"/>
        <w:rPr>
          <w:sz w:val="20"/>
          <w:szCs w:val="20"/>
          <w:color w:val="auto"/>
        </w:rPr>
      </w:pPr>
      <w:r>
        <w:rPr>
          <w:rFonts w:ascii="Times New Roman" w:cs="Times New Roman" w:eastAsia="Times New Roman" w:hAnsi="Times New Roman"/>
          <w:sz w:val="17"/>
          <w:szCs w:val="17"/>
          <w:color w:val="0000FF"/>
        </w:rPr>
        <w:t>MD, Co-Head of Global Markets</w:t>
      </w:r>
    </w:p>
    <w:p>
      <w:pPr>
        <w:spacing w:after="0" w:line="422" w:lineRule="exact"/>
        <w:rPr>
          <w:sz w:val="24"/>
          <w:szCs w:val="24"/>
          <w:color w:val="auto"/>
        </w:rPr>
      </w:pPr>
    </w:p>
    <w:p>
      <w:pPr>
        <w:sectPr>
          <w:pgSz w:w="11900" w:h="16861" w:orient="portrait"/>
          <w:cols w:equalWidth="0" w:num="3">
            <w:col w:w="3200" w:space="720"/>
            <w:col w:w="3095" w:space="720"/>
            <w:col w:w="3345"/>
          </w:cols>
          <w:pgMar w:left="460" w:top="219" w:right="359" w:bottom="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4"/>
                <w:szCs w:val="14"/>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10167</w:t>
            </w: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jc w:val="center"/>
              <w:ind w:left="665"/>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jc w:val="center"/>
              <w:ind w:left="645"/>
              <w:spacing w:after="0"/>
              <w:rPr>
                <w:sz w:val="20"/>
                <w:szCs w:val="20"/>
                <w:color w:val="auto"/>
              </w:rPr>
            </w:pPr>
            <w:r>
              <w:rPr>
                <w:rFonts w:ascii="Times New Roman" w:cs="Times New Roman" w:eastAsia="Times New Roman" w:hAnsi="Times New Roman"/>
                <w:sz w:val="17"/>
                <w:szCs w:val="17"/>
                <w:color w:val="0000FF"/>
              </w:rPr>
              <w:t>01/01/2026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ind w:left="28"/>
              <w:spacing w:after="0"/>
              <w:rPr>
                <w:sz w:val="20"/>
                <w:szCs w:val="20"/>
                <w:color w:val="auto"/>
              </w:rPr>
            </w:pPr>
            <w:r>
              <w:rPr>
                <w:rFonts w:ascii="Times New Roman" w:cs="Times New Roman" w:eastAsia="Times New Roman" w:hAnsi="Times New Roman"/>
                <w:sz w:val="17"/>
                <w:szCs w:val="17"/>
                <w:color w:val="0000FF"/>
                <w:w w:val="98"/>
              </w:rPr>
              <w:t>90,932</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left="42"/>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176,861</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jc w:val="center"/>
              <w:ind w:left="645"/>
              <w:spacing w:after="0"/>
              <w:rPr>
                <w:sz w:val="20"/>
                <w:szCs w:val="20"/>
                <w:color w:val="auto"/>
              </w:rPr>
            </w:pPr>
            <w:r>
              <w:rPr>
                <w:rFonts w:ascii="Times New Roman" w:cs="Times New Roman" w:eastAsia="Times New Roman" w:hAnsi="Times New Roman"/>
                <w:sz w:val="17"/>
                <w:szCs w:val="17"/>
                <w:color w:val="0000FF"/>
              </w:rPr>
              <w:t>01/01/2026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(3)</w:t>
            </w:r>
          </w:p>
        </w:tc>
        <w:tc>
          <w:tcPr>
            <w:tcW w:w="720" w:type="dxa"/>
            <w:vAlign w:val="bottom"/>
            <w:tcBorders>
              <w:bottom w:val="single" w:sz="8" w:color="2C2C2C"/>
            </w:tcBorders>
          </w:tcPr>
          <w:p>
            <w:pPr>
              <w:jc w:val="center"/>
              <w:ind w:left="28"/>
              <w:spacing w:after="0"/>
              <w:rPr>
                <w:sz w:val="20"/>
                <w:szCs w:val="20"/>
                <w:color w:val="auto"/>
              </w:rPr>
            </w:pPr>
            <w:r>
              <w:rPr>
                <w:rFonts w:ascii="Times New Roman" w:cs="Times New Roman" w:eastAsia="Times New Roman" w:hAnsi="Times New Roman"/>
                <w:sz w:val="17"/>
                <w:szCs w:val="17"/>
                <w:color w:val="0000FF"/>
                <w:w w:val="98"/>
              </w:rPr>
              <w:t>42,739</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106.2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134,122</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jc w:val="center"/>
              <w:ind w:left="645"/>
              <w:spacing w:after="0"/>
              <w:rPr>
                <w:sz w:val="20"/>
                <w:szCs w:val="20"/>
                <w:color w:val="auto"/>
              </w:rPr>
            </w:pPr>
            <w:r>
              <w:rPr>
                <w:rFonts w:ascii="Times New Roman" w:cs="Times New Roman" w:eastAsia="Times New Roman" w:hAnsi="Times New Roman"/>
                <w:sz w:val="17"/>
                <w:szCs w:val="17"/>
                <w:color w:val="0000FF"/>
              </w:rPr>
              <w:t>01/01/2026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(4)</w:t>
            </w:r>
          </w:p>
        </w:tc>
        <w:tc>
          <w:tcPr>
            <w:tcW w:w="720" w:type="dxa"/>
            <w:vAlign w:val="bottom"/>
            <w:tcBorders>
              <w:bottom w:val="single" w:sz="8" w:color="2C2C2C"/>
            </w:tcBorders>
          </w:tcPr>
          <w:p>
            <w:pPr>
              <w:jc w:val="center"/>
              <w:ind w:left="28"/>
              <w:spacing w:after="0"/>
              <w:rPr>
                <w:sz w:val="20"/>
                <w:szCs w:val="20"/>
                <w:color w:val="auto"/>
              </w:rPr>
            </w:pPr>
            <w:r>
              <w:rPr>
                <w:rFonts w:ascii="Times New Roman" w:cs="Times New Roman" w:eastAsia="Times New Roman" w:hAnsi="Times New Roman"/>
                <w:sz w:val="17"/>
                <w:szCs w:val="17"/>
                <w:color w:val="0000FF"/>
              </w:rPr>
              <w:t>562</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left="42"/>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134,684</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jc w:val="center"/>
              <w:ind w:left="645"/>
              <w:spacing w:after="0"/>
              <w:rPr>
                <w:sz w:val="20"/>
                <w:szCs w:val="20"/>
                <w:color w:val="auto"/>
              </w:rPr>
            </w:pPr>
            <w:r>
              <w:rPr>
                <w:rFonts w:ascii="Times New Roman" w:cs="Times New Roman" w:eastAsia="Times New Roman" w:hAnsi="Times New Roman"/>
                <w:sz w:val="17"/>
                <w:szCs w:val="17"/>
                <w:color w:val="0000FF"/>
              </w:rPr>
              <w:t>01/01/2026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(5)</w:t>
            </w:r>
          </w:p>
        </w:tc>
        <w:tc>
          <w:tcPr>
            <w:tcW w:w="720" w:type="dxa"/>
            <w:vAlign w:val="bottom"/>
            <w:tcBorders>
              <w:bottom w:val="single" w:sz="8" w:color="2C2C2C"/>
            </w:tcBorders>
          </w:tcPr>
          <w:p>
            <w:pPr>
              <w:jc w:val="center"/>
              <w:ind w:left="28"/>
              <w:spacing w:after="0"/>
              <w:rPr>
                <w:sz w:val="20"/>
                <w:szCs w:val="20"/>
                <w:color w:val="auto"/>
              </w:rPr>
            </w:pPr>
            <w:r>
              <w:rPr>
                <w:rFonts w:ascii="Times New Roman" w:cs="Times New Roman" w:eastAsia="Times New Roman" w:hAnsi="Times New Roman"/>
                <w:sz w:val="17"/>
                <w:szCs w:val="17"/>
                <w:color w:val="0000FF"/>
                <w:w w:val="98"/>
              </w:rPr>
              <w:t>15,184</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106.2</w:t>
            </w:r>
          </w:p>
        </w:tc>
        <w:tc>
          <w:tcPr>
            <w:tcW w:w="120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119,500</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jc w:val="center"/>
              <w:ind w:left="645"/>
              <w:spacing w:after="0"/>
              <w:rPr>
                <w:sz w:val="20"/>
                <w:szCs w:val="20"/>
                <w:color w:val="auto"/>
              </w:rPr>
            </w:pPr>
            <w:r>
              <w:rPr>
                <w:rFonts w:ascii="Times New Roman" w:cs="Times New Roman" w:eastAsia="Times New Roman" w:hAnsi="Times New Roman"/>
                <w:sz w:val="17"/>
                <w:szCs w:val="17"/>
                <w:color w:val="0000FF"/>
              </w:rPr>
              <w:t>01/01/2026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(6)</w:t>
            </w:r>
          </w:p>
        </w:tc>
        <w:tc>
          <w:tcPr>
            <w:tcW w:w="720" w:type="dxa"/>
            <w:vAlign w:val="bottom"/>
            <w:tcBorders>
              <w:bottom w:val="single" w:sz="8" w:color="2C2C2C"/>
            </w:tcBorders>
          </w:tcPr>
          <w:p>
            <w:pPr>
              <w:jc w:val="center"/>
              <w:ind w:left="28"/>
              <w:spacing w:after="0"/>
              <w:rPr>
                <w:sz w:val="20"/>
                <w:szCs w:val="20"/>
                <w:color w:val="auto"/>
              </w:rPr>
            </w:pPr>
            <w:r>
              <w:rPr>
                <w:rFonts w:ascii="Times New Roman" w:cs="Times New Roman" w:eastAsia="Times New Roman" w:hAnsi="Times New Roman"/>
                <w:sz w:val="17"/>
                <w:szCs w:val="17"/>
                <w:color w:val="0000FF"/>
              </w:rPr>
              <w:t>199</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left="42"/>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119,699</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 reflects the acquisition of performance stock units ("PSUs") in respect of the issuer's Class A common stock ("Class A Common Stock") that were granted to the reporting person on March 15, 2023, subject to the achievement of certain performance goals in respect of calendar years 2023 through 2025. The level of achievement of those performance goals was determined on January 1, 2026.</w:t>
      </w:r>
    </w:p>
    <w:p>
      <w:pPr>
        <w:spacing w:after="0" w:line="20" w:lineRule="exact"/>
        <w:rPr>
          <w:rFonts w:ascii="Times New Roman" w:cs="Times New Roman" w:eastAsia="Times New Roman" w:hAnsi="Times New Roman"/>
          <w:sz w:val="13"/>
          <w:szCs w:val="13"/>
          <w:color w:val="008000"/>
        </w:rPr>
      </w:pPr>
    </w:p>
    <w:p>
      <w:pPr>
        <w:ind w:left="40" w:right="24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5,940 unvested restricted stock units ("RSUs") in respect of the issuer's Class A Common Stock that are scheduled to vest on March 15, 2026, (ii) 6,741 unvested RSUs in respect of Class A Common Stock that are scheduled to vest in equal installments on March 15, 2026 and March 15, 2027, and (iii) 9,638 unvested RSUs in respect of Class A Common Stock that are scheduled to vest in equal installments on March 17, 2026, March 17, 2027 and March 17, 2028, in each case, subject to the reporting person's continued employment through the applicable vesting date. This amount also includes the vested PSUs described in footnote #1 above, which will settle in shares of Class A Common Stock within 15 days of the vesting date.</w:t>
      </w:r>
    </w:p>
    <w:p>
      <w:pPr>
        <w:spacing w:after="0" w:line="24"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issuer to satisfy the tax withholding obligation associated with the settlement of the PSUs in respect of the Class A Common Stock held by the reporting person.</w:t>
      </w:r>
    </w:p>
    <w:p>
      <w:pPr>
        <w:spacing w:after="0" w:line="50" w:lineRule="exact"/>
        <w:rPr>
          <w:rFonts w:ascii="Times New Roman" w:cs="Times New Roman" w:eastAsia="Times New Roman" w:hAnsi="Times New Roman"/>
          <w:sz w:val="13"/>
          <w:szCs w:val="13"/>
          <w:color w:val="008000"/>
        </w:rPr>
      </w:pPr>
    </w:p>
    <w:p>
      <w:pPr>
        <w:ind w:left="40" w:right="5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A Common Stock acquired in connection with the settlement of certain dividend equivalent rights (the "DERs"). The DERs were granted in connection with previously awarded PSUs, and settled in shares of Class A Common Stock in connection with the settlement of the PSUs to which they relate.</w:t>
      </w:r>
    </w:p>
    <w:p>
      <w:pPr>
        <w:spacing w:after="0" w:line="7"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issuer to satisfy the tax withholding obligation associated with the settlement of performance-based restricted stock units ("PRSUs") in respect of the issuer's Class A Common Stock held by the reporting person.</w:t>
      </w:r>
    </w:p>
    <w:p>
      <w:pPr>
        <w:spacing w:after="0" w:line="7"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A Common Stock acquired in connection with the settlement of certain DERs. The DERs were granted in connection with previously awarded PRSUs, and settled in shares of Class A Common Stock in connection with the settlement of the PRSUs to which they relate.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Douglas Friedman,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747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7472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Enrico</w:t>
      </w:r>
      <w:r>
        <w:rPr>
          <w:sz w:val="20"/>
          <w:szCs w:val="20"/>
          <w:color w:val="auto"/>
        </w:rPr>
        <w:tab/>
      </w:r>
      <w:r>
        <w:rPr>
          <w:rFonts w:ascii="Times New Roman" w:cs="Times New Roman" w:eastAsia="Times New Roman" w:hAnsi="Times New Roman"/>
          <w:sz w:val="17"/>
          <w:szCs w:val="17"/>
          <w:color w:val="0000FF"/>
        </w:rPr>
        <w:t>01/05/2026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Bruni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508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5082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61"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ectPr>
          <w:pgSz w:w="11900" w:h="16861"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71187"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2026-01-05T20:00:52Z</dcterms:created>
  <dcterms:modified xsi:type="dcterms:W3CDTF">2026-01-05T20:00:52Z</dcterms:modified>
</cp:coreProperties>
</file>