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Maisey Simon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06/10/2021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Managing Director, Corp. Dev.</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06/10/2021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750</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83.08</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85,167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15, 2020.</w:t>
      </w:r>
    </w:p>
    <w:p>
      <w:pPr>
        <w:spacing w:after="0" w:line="50" w:lineRule="exact"/>
        <w:rPr>
          <w:rFonts w:ascii="Arial" w:cs="Arial" w:eastAsia="Arial" w:hAnsi="Arial"/>
          <w:sz w:val="13"/>
          <w:szCs w:val="13"/>
          <w:color w:val="008000"/>
        </w:rPr>
      </w:pPr>
    </w:p>
    <w:p>
      <w:pPr>
        <w:ind w:left="40" w:right="24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39,604 unvested restricted stock units ("RSUs") in respect of the issuer's Class A common stock ("Class A Common Stock") which are scheduled to vest on January 1, 2022, (ii) 6,860 unvested RSUs in respect of Class A Common Stock which are scheduled to vest in equal installments on each of March 17, 2022 and March 17, 2023, (iii) 20,580 unvested RSUs in respect of Class A Common Stock which are scheduled to vest on January 1, 2023, and (iv) 5,825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06/11/2021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Simon Maisey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40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2021-06-11T17:22:29Z</dcterms:created>
  <dcterms:modified xsi:type="dcterms:W3CDTF">2021-06-11T17:22:29Z</dcterms:modified>
</cp:coreProperties>
</file>