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2587486.xml.htm"/>
      <w:bookmarkStart w:id="1" w:name="kswkform4_17425874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Zucker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Risk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4"/>
        <w:gridCol w:w="801"/>
        <w:gridCol w:w="620"/>
        <w:gridCol w:w="348"/>
        <w:gridCol w:w="833"/>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141.4791</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21,033</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$139.77 to $142.33,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1,941 unvested restricted stock units ("RSUs") in respect of the issuer's Class A common stock (the "Class A Common Stock") that are scheduled to vest on March 15, 2026, (ii) 10,555 unvested RSUs in respect of Class A Common Stock that are scheduled to vest on January 1, 2026, (iii) 2,579 unvested RSUs in respect of Class A Common Stock that are scheduled to vest in equal installments on March 15, 2026 and March 15, 2027, and (iv) 2,708 unvested RSUs in respect of Class A Common Stock that are scheduled to vest in equal installments on March 17, 2026, March 17, 2027 and March 17,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Scott Zucker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119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790</Words>
  <Characters>4185</Characters>
  <CharactersWithSpaces>4914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