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942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4220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 Scott</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38"/>
        <w:spacing w:after="0"/>
        <w:rPr>
          <w:sz w:val="20"/>
          <w:szCs w:val="20"/>
          <w:color w:val="auto"/>
        </w:rPr>
      </w:pPr>
      <w:r>
        <w:rPr>
          <w:rFonts w:ascii="Arial" w:cs="Arial" w:eastAsia="Arial" w:hAnsi="Arial"/>
          <w:sz w:val="17"/>
          <w:szCs w:val="17"/>
          <w:color w:val="0000FF"/>
        </w:rPr>
        <w:t>Chief Administrative Officer</w:t>
      </w:r>
    </w:p>
    <w:p>
      <w:pPr>
        <w:spacing w:after="0" w:line="402"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80" w:type="dxa"/>
            <w:vAlign w:val="bottom"/>
            <w:gridSpan w:val="7"/>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02/21/2020</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2"/>
              </w:rPr>
              <w:t>26,404</w:t>
            </w:r>
            <w:r>
              <w:rPr>
                <w:rFonts w:ascii="Arial" w:cs="Arial" w:eastAsia="Arial" w:hAnsi="Arial"/>
                <w:sz w:val="22"/>
                <w:szCs w:val="22"/>
                <w:color w:val="008000"/>
                <w:w w:val="82"/>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53,271</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vMerge w:val="restart"/>
          </w:tcPr>
          <w:p>
            <w:pPr>
              <w:ind w:left="140"/>
              <w:spacing w:after="0" w:line="212" w:lineRule="exact"/>
              <w:rPr>
                <w:sz w:val="20"/>
                <w:szCs w:val="20"/>
                <w:color w:val="auto"/>
              </w:rPr>
            </w:pPr>
            <w:r>
              <w:rPr>
                <w:rFonts w:ascii="Arial" w:cs="Arial" w:eastAsia="Arial" w:hAnsi="Arial"/>
                <w:sz w:val="13"/>
                <w:szCs w:val="13"/>
                <w:color w:val="0000FF"/>
              </w:rPr>
              <w:t>33,212</w:t>
            </w:r>
            <w:r>
              <w:rPr>
                <w:rFonts w:ascii="Arial" w:cs="Arial" w:eastAsia="Arial" w:hAnsi="Arial"/>
                <w:sz w:val="22"/>
                <w:szCs w:val="22"/>
                <w:color w:val="008000"/>
                <w:vertAlign w:val="superscript"/>
              </w:rPr>
              <w:t>(3)</w:t>
            </w:r>
          </w:p>
        </w:tc>
        <w:tc>
          <w:tcPr>
            <w:tcW w:w="300" w:type="dxa"/>
            <w:vAlign w:val="bottom"/>
          </w:tcPr>
          <w:p>
            <w:pPr>
              <w:spacing w:after="0"/>
              <w:rPr>
                <w:sz w:val="5"/>
                <w:szCs w:val="5"/>
                <w:color w:val="auto"/>
              </w:rPr>
            </w:pPr>
          </w:p>
        </w:tc>
        <w:tc>
          <w:tcPr>
            <w:tcW w:w="82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33,212</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140"/>
              <w:spacing w:after="0" w:line="212" w:lineRule="exact"/>
              <w:rPr>
                <w:sz w:val="20"/>
                <w:szCs w:val="20"/>
                <w:color w:val="auto"/>
              </w:rPr>
            </w:pPr>
            <w:r>
              <w:rPr>
                <w:rFonts w:ascii="Arial" w:cs="Arial" w:eastAsia="Arial" w:hAnsi="Arial"/>
                <w:sz w:val="13"/>
                <w:szCs w:val="13"/>
                <w:color w:val="0000FF"/>
              </w:rPr>
              <w:t>169,274</w:t>
            </w:r>
            <w:r>
              <w:rPr>
                <w:rFonts w:ascii="Arial" w:cs="Arial" w:eastAsia="Arial" w:hAnsi="Arial"/>
                <w:sz w:val="22"/>
                <w:szCs w:val="22"/>
                <w:color w:val="008000"/>
                <w:vertAlign w:val="superscript"/>
              </w:rPr>
              <w:t>(5)</w:t>
            </w: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6"/>
                <w:szCs w:val="6"/>
                <w:color w:val="auto"/>
              </w:rPr>
            </w:pPr>
          </w:p>
        </w:tc>
        <w:tc>
          <w:tcPr>
            <w:tcW w:w="108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02/21/2020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10/26/2028</w:t>
            </w:r>
          </w:p>
        </w:tc>
        <w:tc>
          <w:tcPr>
            <w:tcW w:w="62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6"/>
                <w:szCs w:val="6"/>
                <w:color w:val="auto"/>
              </w:rPr>
            </w:pPr>
          </w:p>
        </w:tc>
        <w:tc>
          <w:tcPr>
            <w:tcW w:w="68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6"/>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February 13, 2019, subject to the achievement of certain performance goals in respect of calendar year 2019. Those performance goals were deemed achieved at the maximum performance level on February 21, 2020. These RSUs remain unvested and are scheduled to vest on January 1, 2022, subject to the reporting person's continued employment through such date.</w:t>
      </w:r>
    </w:p>
    <w:p>
      <w:pPr>
        <w:spacing w:after="0" w:line="7" w:lineRule="exact"/>
        <w:rPr>
          <w:rFonts w:ascii="Arial" w:cs="Arial" w:eastAsia="Arial" w:hAnsi="Arial"/>
          <w:sz w:val="12"/>
          <w:szCs w:val="12"/>
          <w:color w:val="008000"/>
        </w:rPr>
      </w:pPr>
    </w:p>
    <w:p>
      <w:pPr>
        <w:ind w:left="40" w:right="2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RSUs in respect of Class A Common Stock which are scheduled to vest on January 1, 2021, subject to the reporting person's continued employment through such date, and (ii) 26,404 unvested RSUs in respect of Class A Common Stock which are scheduled to vest on January 1, 2022, subject to the reporting person's continued employment through such date.</w:t>
      </w: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2019 which were deemed achieved on February 21, 2020.</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0"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136,062 options that were granted on October 26, 2018 and previously reported by the reporting person, all of which are currently vested and exercisable.</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Scott Zucker</w:t>
            </w:r>
          </w:p>
        </w:tc>
        <w:tc>
          <w:tcPr>
            <w:tcW w:w="1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02/25/2020</w:t>
            </w:r>
          </w:p>
        </w:tc>
      </w:tr>
      <w:tr>
        <w:trPr>
          <w:trHeight w:val="233"/>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2020-02-25T17:53:24Z</dcterms:created>
  <dcterms:modified xsi:type="dcterms:W3CDTF">2020-02-25T17:53:24Z</dcterms:modified>
</cp:coreProperties>
</file>