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6269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2699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99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06/03/2021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991"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99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06/03/2021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84,845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485,703</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06/03/2021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84,645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82.1293</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401,058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06/03/2021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82.61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06/04/2021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15,155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416,013</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06/04/2021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15,155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81.9323</w:t>
            </w:r>
            <w:r>
              <w:rPr>
                <w:rFonts w:ascii="Arial" w:cs="Arial" w:eastAsia="Arial" w:hAnsi="Arial"/>
                <w:sz w:val="21"/>
                <w:szCs w:val="21"/>
                <w:color w:val="008000"/>
                <w:w w:val="88"/>
                <w:vertAlign w:val="superscript"/>
              </w:rPr>
              <w:t>(4)</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84,845</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06/03/2021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84,845</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427,943</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15,155</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06/04/2021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15,155</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412,788</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-2550795</wp:posOffset>
            </wp:positionV>
            <wp:extent cx="29210" cy="255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8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3, 2021.</w:t>
      </w:r>
    </w:p>
    <w:p>
      <w:pPr>
        <w:spacing w:after="0" w:line="44" w:lineRule="exact"/>
        <w:rPr>
          <w:rFonts w:ascii="Arial" w:cs="Arial" w:eastAsia="Arial" w:hAnsi="Arial"/>
          <w:sz w:val="13"/>
          <w:szCs w:val="13"/>
          <w:color w:val="008000"/>
        </w:rPr>
      </w:pPr>
    </w:p>
    <w:p>
      <w:pPr>
        <w:ind w:left="40" w:right="20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249,102 unvested restricted stock units ("RSUs") in respect of issuer's Class A common stock ("Class A Common Stock") which are scheduled to vest on January 1, 2022, (ii) 28,728 unvested RSUs in respect of Class A Common Stock which are scheduled to vest in equal installments on each of March 17, 2022 and March 17, 2023, (iii) 86,184 unvested RSUs in respect of Class A Common Stock which are scheduled to vest on January 1, 2023, and (iv) 24,844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$81.61 to $82.58,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$81.63 to $82.43,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06/07/2021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9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2021-06-07T16:34:07Z</dcterms:created>
  <dcterms:modified xsi:type="dcterms:W3CDTF">2021-06-07T16:34:07Z</dcterms:modified>
</cp:coreProperties>
</file>