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Tradeweb Markets Inc.</w:t>
      </w:r>
    </w:p>
    <w:p>
      <w:pPr>
        <w:spacing w:after="0" w:line="39" w:lineRule="exact"/>
        <w:rPr>
          <w:sz w:val="24"/>
          <w:szCs w:val="24"/>
          <w:color w:val="auto"/>
        </w:rPr>
      </w:pPr>
    </w:p>
    <w:tbl>
      <w:tblPr>
        <w:tblLayout w:type="fixed"/>
        <w:tblInd w:w="880" w:type="dxa"/>
        <w:tblCellMar>
          <w:top w:w="0" w:type="dxa"/>
          <w:left w:w="0" w:type="dxa"/>
          <w:bottom w:w="0" w:type="dxa"/>
          <w:right w:w="0" w:type="dxa"/>
        </w:tblCellMar>
      </w:tblPr>
      <w:tr>
        <w:trPr>
          <w:trHeight w:val="230"/>
        </w:trPr>
        <w:tc>
          <w:tcPr>
            <w:tcW w:w="6820" w:type="dxa"/>
            <w:vAlign w:val="bottom"/>
            <w:gridSpan w:val="4"/>
          </w:tcPr>
          <w:p>
            <w:pPr>
              <w:jc w:val="center"/>
              <w:ind w:left="2590"/>
              <w:spacing w:after="0"/>
              <w:rPr>
                <w:sz w:val="20"/>
                <w:szCs w:val="20"/>
                <w:color w:val="auto"/>
              </w:rPr>
            </w:pPr>
            <w:r>
              <w:rPr>
                <w:rFonts w:ascii="Arial" w:cs="Arial" w:eastAsia="Arial" w:hAnsi="Arial"/>
                <w:sz w:val="18"/>
                <w:szCs w:val="18"/>
                <w:color w:val="auto"/>
                <w:w w:val="90"/>
              </w:rPr>
              <w:t>(Exact name of registrant as specified in charter)</w:t>
            </w:r>
          </w:p>
        </w:tc>
        <w:tc>
          <w:tcPr>
            <w:tcW w:w="2360" w:type="dxa"/>
            <w:vAlign w:val="bottom"/>
          </w:tcPr>
          <w:p>
            <w:pPr>
              <w:spacing w:after="0"/>
              <w:rPr>
                <w:sz w:val="20"/>
                <w:szCs w:val="20"/>
                <w:color w:val="auto"/>
              </w:rPr>
            </w:pPr>
          </w:p>
        </w:tc>
      </w:tr>
      <w:tr>
        <w:trPr>
          <w:trHeight w:val="38"/>
        </w:trPr>
        <w:tc>
          <w:tcPr>
            <w:tcW w:w="33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2360" w:type="dxa"/>
            <w:vAlign w:val="bottom"/>
          </w:tcPr>
          <w:p>
            <w:pPr>
              <w:spacing w:after="0"/>
              <w:rPr>
                <w:sz w:val="3"/>
                <w:szCs w:val="3"/>
                <w:color w:val="auto"/>
              </w:rPr>
            </w:pPr>
          </w:p>
        </w:tc>
      </w:tr>
      <w:tr>
        <w:trPr>
          <w:trHeight w:val="479"/>
        </w:trPr>
        <w:tc>
          <w:tcPr>
            <w:tcW w:w="384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001-38860</w:t>
            </w:r>
          </w:p>
        </w:tc>
        <w:tc>
          <w:tcPr>
            <w:tcW w:w="680" w:type="dxa"/>
            <w:vAlign w:val="bottom"/>
          </w:tcPr>
          <w:p>
            <w:pPr>
              <w:spacing w:after="0"/>
              <w:rPr>
                <w:sz w:val="24"/>
                <w:szCs w:val="24"/>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89"/>
              </w:rPr>
              <w:t>83-2456358</w:t>
            </w:r>
          </w:p>
        </w:tc>
      </w:tr>
      <w:tr>
        <w:trPr>
          <w:trHeight w:val="216"/>
        </w:trPr>
        <w:tc>
          <w:tcPr>
            <w:tcW w:w="3840" w:type="dxa"/>
            <w:vAlign w:val="bottom"/>
            <w:gridSpan w:val="2"/>
          </w:tcPr>
          <w:p>
            <w:pPr>
              <w:jc w:val="center"/>
              <w:ind w:right="1880"/>
              <w:spacing w:after="0"/>
              <w:rPr>
                <w:sz w:val="20"/>
                <w:szCs w:val="20"/>
                <w:color w:val="auto"/>
              </w:rPr>
            </w:pPr>
            <w:r>
              <w:rPr>
                <w:rFonts w:ascii="Arial" w:cs="Arial" w:eastAsia="Arial" w:hAnsi="Arial"/>
                <w:sz w:val="18"/>
                <w:szCs w:val="18"/>
                <w:color w:val="auto"/>
                <w:w w:val="91"/>
              </w:rPr>
              <w:t>(State or Other Jurisdiction</w:t>
            </w:r>
          </w:p>
        </w:tc>
        <w:tc>
          <w:tcPr>
            <w:tcW w:w="2980" w:type="dxa"/>
            <w:vAlign w:val="bottom"/>
            <w:gridSpan w:val="2"/>
          </w:tcPr>
          <w:p>
            <w:pPr>
              <w:jc w:val="center"/>
              <w:ind w:right="1160"/>
              <w:spacing w:after="0"/>
              <w:rPr>
                <w:sz w:val="20"/>
                <w:szCs w:val="20"/>
                <w:color w:val="auto"/>
              </w:rPr>
            </w:pPr>
            <w:r>
              <w:rPr>
                <w:rFonts w:ascii="Arial" w:cs="Arial" w:eastAsia="Arial" w:hAnsi="Arial"/>
                <w:sz w:val="18"/>
                <w:szCs w:val="18"/>
                <w:color w:val="auto"/>
                <w:w w:val="93"/>
              </w:rPr>
              <w:t>(Commission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gridSpan w:val="2"/>
          </w:tcPr>
          <w:p>
            <w:pPr>
              <w:jc w:val="center"/>
              <w:ind w:right="1880"/>
              <w:spacing w:after="0"/>
              <w:rPr>
                <w:sz w:val="20"/>
                <w:szCs w:val="20"/>
                <w:color w:val="auto"/>
              </w:rPr>
            </w:pPr>
            <w:r>
              <w:rPr>
                <w:rFonts w:ascii="Arial" w:cs="Arial" w:eastAsia="Arial" w:hAnsi="Arial"/>
                <w:sz w:val="18"/>
                <w:szCs w:val="18"/>
                <w:color w:val="auto"/>
                <w:w w:val="94"/>
              </w:rPr>
              <w:t>of Incorporation)</w:t>
            </w:r>
          </w:p>
        </w:tc>
        <w:tc>
          <w:tcPr>
            <w:tcW w:w="2980" w:type="dxa"/>
            <w:vAlign w:val="bottom"/>
            <w:gridSpan w:val="2"/>
          </w:tcPr>
          <w:p>
            <w:pPr>
              <w:jc w:val="center"/>
              <w:ind w:right="1160"/>
              <w:spacing w:after="0"/>
              <w:rPr>
                <w:sz w:val="20"/>
                <w:szCs w:val="20"/>
                <w:color w:val="auto"/>
              </w:rPr>
            </w:pPr>
            <w:r>
              <w:rPr>
                <w:rFonts w:ascii="Arial" w:cs="Arial" w:eastAsia="Arial" w:hAnsi="Arial"/>
                <w:sz w:val="18"/>
                <w:szCs w:val="18"/>
                <w:color w:val="auto"/>
                <w:w w:val="94"/>
              </w:rPr>
              <w:t>File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2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60" w:type="dxa"/>
            <w:vAlign w:val="bottom"/>
          </w:tcPr>
          <w:p>
            <w:pPr>
              <w:jc w:val="right"/>
              <w:ind w:right="1310"/>
              <w:spacing w:after="0"/>
              <w:rPr>
                <w:sz w:val="20"/>
                <w:szCs w:val="20"/>
                <w:color w:val="auto"/>
              </w:rPr>
            </w:pPr>
            <w:r>
              <w:rPr>
                <w:rFonts w:ascii="Arial" w:cs="Arial" w:eastAsia="Arial" w:hAnsi="Arial"/>
                <w:sz w:val="18"/>
                <w:szCs w:val="18"/>
                <w:b w:val="1"/>
                <w:bCs w:val="1"/>
                <w:color w:val="auto"/>
              </w:rPr>
              <w:t>10036</w:t>
            </w:r>
          </w:p>
        </w:tc>
      </w:tr>
      <w:tr>
        <w:trPr>
          <w:trHeight w:val="230"/>
        </w:trPr>
        <w:tc>
          <w:tcPr>
            <w:tcW w:w="384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60" w:type="dxa"/>
            <w:vAlign w:val="bottom"/>
          </w:tcPr>
          <w:p>
            <w:pPr>
              <w:jc w:val="center"/>
              <w:ind w:right="8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Tradeweb Markets Inc. (the “Company”) has commenced today an underwritten primary offering of shares of its Class A common stock (the “Offering”). In connection with the Offering, the Company has filed with the Securities and Exchange Commission a Registration Statement on Form S-1 relating to the Offering (the “Registration Statement”). The Registration Statement contained the Company’s preliminary unaudited financial results as of and for the three months ended March 31, 2020. These preliminary financial results are based upon the Company’s current estimates and are subject to completion of financial and operating closing procedures as of and for the three months ended March 31, 2020, and therefore are subject to change. The preliminary financial results are furnished as Exhibit 99.1 hereto and incorporated herein by reference.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a filing.</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Offering, the Company also included certain other disclosures in the Registration Statement, including information relating to COVID-19, which are included in Exhibit 99.2 attached hereto and hereby incorporated by reference into this Item 8.01. The disclosures in this Item 8.01 should be read in conjunction with the information under “Forward-Looking Statements” included in Exhibit 99.2.</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280" w:type="dxa"/>
            <w:vAlign w:val="bottom"/>
          </w:tcPr>
          <w:p>
            <w:pPr>
              <w:spacing w:after="0"/>
              <w:rPr>
                <w:sz w:val="18"/>
                <w:szCs w:val="18"/>
                <w:color w:val="auto"/>
              </w:rPr>
            </w:pPr>
          </w:p>
        </w:tc>
      </w:t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80" w:type="dxa"/>
            <w:vAlign w:val="bottom"/>
          </w:tcPr>
          <w:p>
            <w:pPr>
              <w:spacing w:after="0"/>
              <w:rPr>
                <w:sz w:val="20"/>
                <w:szCs w:val="20"/>
                <w:color w:val="auto"/>
              </w:rPr>
            </w:pPr>
            <w:r>
              <w:rPr>
                <w:rFonts w:ascii="Arial" w:cs="Arial" w:eastAsia="Arial" w:hAnsi="Arial"/>
                <w:sz w:val="18"/>
                <w:szCs w:val="18"/>
                <w:b w:val="1"/>
                <w:bCs w:val="1"/>
                <w:color w:val="auto"/>
              </w:rPr>
              <w:t>Exhibit Description</w:t>
            </w:r>
          </w:p>
        </w:tc>
      </w:tr>
      <w:tr>
        <w:trPr>
          <w:trHeight w:val="263"/>
        </w:trPr>
        <w:tc>
          <w:tcPr>
            <w:tcW w:w="84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20" w:type="dxa"/>
            <w:vAlign w:val="bottom"/>
          </w:tcPr>
          <w:p>
            <w:pPr>
              <w:spacing w:after="0"/>
              <w:rPr>
                <w:sz w:val="22"/>
                <w:szCs w:val="22"/>
                <w:color w:val="auto"/>
              </w:rPr>
            </w:pPr>
          </w:p>
        </w:tc>
        <w:tc>
          <w:tcPr>
            <w:tcW w:w="1028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Preliminary financial results for the three months ended March 31, 2020.</w:t>
              </w:r>
            </w:hyperlink>
          </w:p>
        </w:tc>
      </w:tr>
      <w:tr>
        <w:trPr>
          <w:trHeight w:val="283"/>
        </w:trPr>
        <w:tc>
          <w:tcPr>
            <w:tcW w:w="84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99.2</w:t>
              </w:r>
            </w:hyperlink>
          </w:p>
        </w:tc>
        <w:tc>
          <w:tcPr>
            <w:tcW w:w="120" w:type="dxa"/>
            <w:vAlign w:val="bottom"/>
          </w:tcPr>
          <w:p>
            <w:pPr>
              <w:spacing w:after="0"/>
              <w:rPr>
                <w:sz w:val="24"/>
                <w:szCs w:val="24"/>
                <w:color w:val="auto"/>
              </w:rPr>
            </w:pPr>
          </w:p>
        </w:tc>
        <w:tc>
          <w:tcPr>
            <w:tcW w:w="102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Other recent developments.</w:t>
              </w:r>
            </w:hyperlink>
          </w:p>
        </w:tc>
      </w:tr>
      <w:tr>
        <w:trPr>
          <w:trHeight w:val="702"/>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Arial" w:cs="Arial" w:eastAsia="Arial" w:hAnsi="Arial"/>
                <w:sz w:val="18"/>
                <w:szCs w:val="18"/>
                <w:color w:val="auto"/>
              </w:rPr>
              <w:t>TRADEWEB MARKETS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April 20, 2020</w:t>
            </w:r>
          </w:p>
        </w:tc>
        <w:tc>
          <w:tcPr>
            <w:tcW w:w="7740" w:type="dxa"/>
            <w:vAlign w:val="bottom"/>
            <w:gridSpan w:val="2"/>
          </w:tcPr>
          <w:p>
            <w:pPr>
              <w:ind w:left="2020"/>
              <w:spacing w:after="0"/>
              <w:rPr>
                <w:sz w:val="20"/>
                <w:szCs w:val="20"/>
                <w:color w:val="auto"/>
              </w:rPr>
            </w:pPr>
            <w:r>
              <w:rPr>
                <w:rFonts w:ascii="Arial" w:cs="Arial" w:eastAsia="Arial" w:hAnsi="Arial"/>
                <w:sz w:val="18"/>
                <w:szCs w:val="18"/>
                <w:color w:val="auto"/>
              </w:rPr>
              <w:t>By: /s/ Douglas Friedman</w:t>
            </w:r>
          </w:p>
        </w:tc>
      </w:tr>
      <w:tr>
        <w:trPr>
          <w:trHeight w:val="195"/>
        </w:trPr>
        <w:tc>
          <w:tcPr>
            <w:tcW w:w="3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r>
      <w:tr>
        <w:trPr>
          <w:trHeight w:val="230"/>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General Counsel</w:t>
            </w:r>
          </w:p>
        </w:tc>
      </w:tr>
      <w:tr>
        <w:trPr>
          <w:trHeight w:val="675"/>
        </w:trPr>
        <w:tc>
          <w:tcPr>
            <w:tcW w:w="35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“We,” “us,” “our,” the “Company,” “Tradeweb” and similar references refer: (i) on or prior to the completion of a series of reorganization transactions that were completed (the “Reorganization Transactions”) in connection with Tradeweb Markets Inc.’s initial public offering (“IPO”), which was completed on April 8, 2019,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“Refinitiv” refers to Refinitiv Holdings Limited, which owns an indirect majority ownership interest in Tradeweb, and is controlled by certain investment funds affiliated with The Blackstone Group Inc. (f/k/a The Blackstone Group L.P.), an affiliate of Canada Pension Plan Investment Board, an affiliate of GIC Special Investments Pte. Ltd. and certain co-investors, which collectively hold indirectly a 55% ownership interest in Refinitiv. “Refinitiv Transaction” refers to the transaction pursuant to which Refinitiv indirectly acquired on October 1, 2018 substantially all of the financial and risk business of Thomson Reuters Corporation (“Thomson Reuters”) and Thomson Reuters indirectly acquired a 45% ownership interest in Refinitiv.</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The historical financial information and other disclosures contained herein relate to periods that ended both prior to and after the completion of the Reorganization Transactions and the IPO. As a result of the Reorganization Transactions completed in connection with the IPO, on April 4, 2019, Tradeweb Markets Inc. became a holding company whose principal asset consists of its equity interest in Tradeweb Markets LLC (“TWM LLC”).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herein relating to periods prior to, and including, March 31, 2019 pertain to TWM LLC, the predecessor of Tradeweb Markets Inc. for financial reporting purposes, and its subsidiaries. The historical financial information contained herein relating to periods beginning on April 1, 2019, and through and including March 31, 2020, pertain to Tradeweb Markets Inc. and its subsidiaries, including TWM LLC.</w:t>
      </w:r>
    </w:p>
    <w:p>
      <w:pPr>
        <w:spacing w:after="0" w:line="18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Unless otherwise indicated, revenue is presented on a gross revenue basis. For certain periods, our gross revenue is offset by contingent consideration, a contra-revenue adjustment related to the achievement of specific revenue earnout milestones for certain credit products. We believe that gross revenue is the key driver of our operating performance and therefore is the revenue measure we utilize to assess our business on a period by period basis.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Results for Three Months Ended March 31, 2020</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preliminary estimated unaudited financial results for the three months ended March 31, 2020 are set forth below. Our estimates of results are based solely on information available to us as of the date hereof and are inherently uncertain and subject to change due to a variety of business, economic and competitive risks and uncertainties, many of which are not within our control, and we undertake no obligation to update this information. Actual results remain subject to the completion of management’s final reviews and our other financial closing procedures, as well as the completion of our auditor’s review of our unaudited consolidated financial statements, as described below. During the course of the preparation of our actual unaudited consolidated financial statements and related notes, additional items that would require material adjustments to the preliminary estimated unaudited financial results presented below may be identified. See “Management's Discussion and Analysis of Financial Condition and Results of Operations — Critical Accounting Policies and Estimates — Use of Estimates,” “Risk Factors — Risks Relating to Our Business and Industry” included in our Annual Report on Form 10-K for the fiscal year ended December 31, 2019 (as amended, the “2019 Form 10-K”), “Risk Factors — Risks Related to Our Business and Our Industry” included in our preliminary prospectus dated the date hereof and “Cautionary Note Regarding Forward-Looking Statements” included herein.</w:t>
      </w:r>
    </w:p>
    <w:p>
      <w:pPr>
        <w:spacing w:after="0" w:line="1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preliminary financial data included herein have been prepared by and are the responsibility of our management. Our auditor, Deloitte &amp; Touche LLP, has not audited, reviewed, compiled or performed any procedures with respect to the preliminary financial data. Accordingly, Deloitte &amp; Touche LLP does not express an opinion or any other form of assurance with respect thereto. These estimates are not a comprehensive statement of our financial results as of and for the three months ended March 31, 2020, and should not be viewed as a substitute for full financial statements prepared in accordance with generally accepted accounting principles in the United States (“GAAP”). In addition, these preliminary estimates for the three months ended March 31, 2020 are not necessarily indicative of the results that may be achieved for a full fiscal year or any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both"/>
        <w:ind w:firstLine="324"/>
        <w:spacing w:after="0" w:line="296" w:lineRule="auto"/>
        <w:rPr>
          <w:sz w:val="20"/>
          <w:szCs w:val="20"/>
          <w:color w:val="auto"/>
        </w:rPr>
      </w:pPr>
      <w:r>
        <w:rPr>
          <w:rFonts w:ascii="Arial" w:cs="Arial" w:eastAsia="Arial" w:hAnsi="Arial"/>
          <w:sz w:val="16"/>
          <w:szCs w:val="16"/>
          <w:color w:val="auto"/>
        </w:rPr>
        <w:t>The table set forth below presents estimates for our expected gross revenue, total expenses, net income, net income attributable to Tradeweb Markets Inc., diluted earnings per share, Adjusted EBITDA, Adjusted EBITDA margin, Adjusted EBIT, Adjusted EBIT margin, Adjusted Net Income and Adjusted Diluted EPS for the three months ended March 31, 2020. As noted above, each of the line items presented below represents our preliminary estimated unaudited financial results which remain subject to the completion of management’s final reviews and our other financial closing procedures, as well as the completion of our auditor’s review of our unaudited consolidated financial statements for the three months ended March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294"/>
              <w:spacing w:after="0"/>
              <w:rPr>
                <w:sz w:val="20"/>
                <w:szCs w:val="20"/>
                <w:color w:val="auto"/>
              </w:rPr>
            </w:pPr>
            <w:r>
              <w:rPr>
                <w:rFonts w:ascii="Arial" w:cs="Arial" w:eastAsia="Arial" w:hAnsi="Arial"/>
                <w:sz w:val="18"/>
                <w:szCs w:val="18"/>
                <w:b w:val="1"/>
                <w:bCs w:val="1"/>
                <w:color w:val="auto"/>
                <w:w w:val="93"/>
              </w:rPr>
              <w:t>Three Months</w:t>
            </w:r>
          </w:p>
        </w:tc>
        <w:tc>
          <w:tcPr>
            <w:tcW w:w="200" w:type="dxa"/>
            <w:vAlign w:val="bottom"/>
          </w:tcPr>
          <w:p>
            <w:pPr>
              <w:spacing w:after="0"/>
              <w:rPr>
                <w:sz w:val="18"/>
                <w:szCs w:val="18"/>
                <w:color w:val="auto"/>
              </w:rPr>
            </w:pPr>
          </w:p>
        </w:tc>
        <w:tc>
          <w:tcPr>
            <w:tcW w:w="1640" w:type="dxa"/>
            <w:vAlign w:val="bottom"/>
            <w:gridSpan w:val="2"/>
          </w:tcPr>
          <w:p>
            <w:pPr>
              <w:jc w:val="center"/>
              <w:ind w:right="312"/>
              <w:spacing w:after="0"/>
              <w:rPr>
                <w:sz w:val="20"/>
                <w:szCs w:val="20"/>
                <w:color w:val="auto"/>
              </w:rPr>
            </w:pPr>
            <w:r>
              <w:rPr>
                <w:rFonts w:ascii="Arial" w:cs="Arial" w:eastAsia="Arial" w:hAnsi="Arial"/>
                <w:sz w:val="18"/>
                <w:szCs w:val="18"/>
                <w:b w:val="1"/>
                <w:bCs w:val="1"/>
                <w:color w:val="auto"/>
                <w:w w:val="91"/>
              </w:rPr>
              <w:t>Three Months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ind w:right="294"/>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9"/>
                <w:szCs w:val="19"/>
                <w:color w:val="auto"/>
              </w:rPr>
            </w:pPr>
          </w:p>
        </w:tc>
        <w:tc>
          <w:tcPr>
            <w:tcW w:w="1640" w:type="dxa"/>
            <w:vAlign w:val="bottom"/>
            <w:gridSpan w:val="2"/>
          </w:tcPr>
          <w:p>
            <w:pPr>
              <w:jc w:val="center"/>
              <w:ind w:right="292"/>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ind w:right="294"/>
              <w:spacing w:after="0"/>
              <w:rPr>
                <w:sz w:val="20"/>
                <w:szCs w:val="20"/>
                <w:color w:val="auto"/>
              </w:rPr>
            </w:pPr>
            <w:r>
              <w:rPr>
                <w:rFonts w:ascii="Arial" w:cs="Arial" w:eastAsia="Arial" w:hAnsi="Arial"/>
                <w:sz w:val="18"/>
                <w:szCs w:val="18"/>
                <w:b w:val="1"/>
                <w:bCs w:val="1"/>
                <w:color w:val="auto"/>
                <w:w w:val="92"/>
              </w:rPr>
              <w:t>March 31, 2020</w:t>
            </w:r>
          </w:p>
        </w:tc>
        <w:tc>
          <w:tcPr>
            <w:tcW w:w="200" w:type="dxa"/>
            <w:vAlign w:val="bottom"/>
          </w:tcPr>
          <w:p>
            <w:pPr>
              <w:spacing w:after="0"/>
              <w:rPr>
                <w:sz w:val="20"/>
                <w:szCs w:val="20"/>
                <w:color w:val="auto"/>
              </w:rPr>
            </w:pPr>
          </w:p>
        </w:tc>
        <w:tc>
          <w:tcPr>
            <w:tcW w:w="1640" w:type="dxa"/>
            <w:vAlign w:val="bottom"/>
            <w:gridSpan w:val="2"/>
          </w:tcPr>
          <w:p>
            <w:pPr>
              <w:jc w:val="center"/>
              <w:ind w:right="312"/>
              <w:spacing w:after="0"/>
              <w:rPr>
                <w:sz w:val="20"/>
                <w:szCs w:val="20"/>
                <w:color w:val="auto"/>
              </w:rPr>
            </w:pPr>
            <w:r>
              <w:rPr>
                <w:rFonts w:ascii="Arial" w:cs="Arial" w:eastAsia="Arial" w:hAnsi="Arial"/>
                <w:sz w:val="18"/>
                <w:szCs w:val="18"/>
                <w:b w:val="1"/>
                <w:bCs w:val="1"/>
                <w:color w:val="auto"/>
                <w:w w:val="93"/>
              </w:rPr>
              <w:t>March 31, 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 Change</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(dollars in thousands, except per share data)</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Rates</w:t>
            </w: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126,039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104,090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21,949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53,978</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39,435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14,543</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Equities</w:t>
            </w: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19,434</w:t>
            </w:r>
          </w:p>
        </w:tc>
        <w:tc>
          <w:tcPr>
            <w:tcW w:w="200" w:type="dxa"/>
            <w:vAlign w:val="bottom"/>
          </w:tcPr>
          <w:p>
            <w:pPr>
              <w:spacing w:after="0"/>
              <w:rPr>
                <w:sz w:val="18"/>
                <w:szCs w:val="18"/>
                <w:color w:val="auto"/>
              </w:rPr>
            </w:pP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11,798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7,636</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11,208</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9,562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Market Data</w:t>
            </w: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18,562</w:t>
            </w:r>
          </w:p>
        </w:tc>
        <w:tc>
          <w:tcPr>
            <w:tcW w:w="200" w:type="dxa"/>
            <w:vAlign w:val="bottom"/>
          </w:tcPr>
          <w:p>
            <w:pPr>
              <w:spacing w:after="0"/>
              <w:rPr>
                <w:sz w:val="18"/>
                <w:szCs w:val="18"/>
                <w:color w:val="auto"/>
              </w:rPr>
            </w:pP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16,903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5,385</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5,004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Gross Revenue</w:t>
            </w: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234,606</w:t>
            </w:r>
          </w:p>
        </w:tc>
        <w:tc>
          <w:tcPr>
            <w:tcW w:w="200" w:type="dxa"/>
            <w:vAlign w:val="bottom"/>
          </w:tcPr>
          <w:p>
            <w:pPr>
              <w:spacing w:after="0"/>
              <w:rPr>
                <w:sz w:val="18"/>
                <w:szCs w:val="18"/>
                <w:color w:val="auto"/>
              </w:rPr>
            </w:pP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186,792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47,814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156,991</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140,515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16,476</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62,485</w:t>
            </w:r>
          </w:p>
        </w:tc>
        <w:tc>
          <w:tcPr>
            <w:tcW w:w="200" w:type="dxa"/>
            <w:vAlign w:val="bottom"/>
          </w:tcPr>
          <w:p>
            <w:pPr>
              <w:spacing w:after="0"/>
              <w:rPr>
                <w:sz w:val="18"/>
                <w:szCs w:val="18"/>
                <w:color w:val="auto"/>
              </w:rPr>
            </w:pP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42,352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20,133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Tradeweb Markets Inc.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43,928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62"/>
        </w:trPr>
        <w:tc>
          <w:tcPr>
            <w:tcW w:w="1940" w:type="dxa"/>
            <w:vAlign w:val="bottom"/>
            <w:gridSpan w:val="2"/>
          </w:tcPr>
          <w:p>
            <w:pPr>
              <w:spacing w:after="0" w:line="162" w:lineRule="exact"/>
              <w:rPr>
                <w:sz w:val="20"/>
                <w:szCs w:val="20"/>
                <w:color w:val="auto"/>
              </w:rPr>
            </w:pPr>
            <w:r>
              <w:rPr>
                <w:rFonts w:ascii="Arial" w:cs="Arial" w:eastAsia="Arial" w:hAnsi="Arial"/>
                <w:sz w:val="18"/>
                <w:szCs w:val="18"/>
                <w:color w:val="auto"/>
                <w:w w:val="90"/>
              </w:rPr>
              <w:t>Diluted earnings per share</w:t>
            </w:r>
          </w:p>
        </w:tc>
        <w:tc>
          <w:tcPr>
            <w:tcW w:w="2660" w:type="dxa"/>
            <w:vAlign w:val="bottom"/>
          </w:tcPr>
          <w:p>
            <w:pPr>
              <w:jc w:val="right"/>
              <w:ind w:right="2405"/>
              <w:spacing w:after="0" w:line="162" w:lineRule="exact"/>
              <w:rPr>
                <w:sz w:val="20"/>
                <w:szCs w:val="20"/>
                <w:color w:val="auto"/>
              </w:rPr>
            </w:pPr>
            <w:r>
              <w:rPr>
                <w:rFonts w:ascii="Arial" w:cs="Arial" w:eastAsia="Arial" w:hAnsi="Arial"/>
                <w:sz w:val="15"/>
                <w:szCs w:val="15"/>
                <w:color w:val="auto"/>
                <w:w w:val="87"/>
              </w:rPr>
              <w:t>(1)</w:t>
            </w:r>
          </w:p>
        </w:tc>
        <w:tc>
          <w:tcPr>
            <w:tcW w:w="1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line="162" w:lineRule="exact"/>
              <w:rPr>
                <w:sz w:val="20"/>
                <w:szCs w:val="20"/>
                <w:color w:val="auto"/>
              </w:rPr>
            </w:pPr>
            <w:r>
              <w:rPr>
                <w:rFonts w:ascii="Arial" w:cs="Arial" w:eastAsia="Arial" w:hAnsi="Arial"/>
                <w:sz w:val="18"/>
                <w:szCs w:val="18"/>
                <w:color w:val="auto"/>
              </w:rPr>
              <w:t>0.25</w:t>
            </w:r>
          </w:p>
        </w:tc>
        <w:tc>
          <w:tcPr>
            <w:tcW w:w="20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72"/>
              <w:spacing w:after="0" w:line="162" w:lineRule="exact"/>
              <w:rPr>
                <w:sz w:val="20"/>
                <w:szCs w:val="20"/>
                <w:color w:val="auto"/>
              </w:rPr>
            </w:pPr>
            <w:r>
              <w:rPr>
                <w:rFonts w:ascii="Arial" w:cs="Arial" w:eastAsia="Arial" w:hAnsi="Arial"/>
                <w:sz w:val="18"/>
                <w:szCs w:val="18"/>
                <w:color w:val="auto"/>
              </w:rPr>
              <w:t>0.19</w:t>
            </w:r>
          </w:p>
        </w:tc>
        <w:tc>
          <w:tcPr>
            <w:tcW w:w="240" w:type="dxa"/>
            <w:vAlign w:val="bottom"/>
            <w:gridSpan w:val="2"/>
          </w:tcPr>
          <w:p>
            <w:pPr>
              <w:jc w:val="right"/>
              <w:ind w:right="80"/>
              <w:spacing w:after="0" w:line="16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0.06</w:t>
            </w:r>
          </w:p>
        </w:tc>
        <w:tc>
          <w:tcPr>
            <w:tcW w:w="146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31.6%</w:t>
            </w:r>
          </w:p>
        </w:tc>
      </w:tr>
      <w:tr>
        <w:trPr>
          <w:trHeight w:val="94"/>
        </w:trPr>
        <w:tc>
          <w:tcPr>
            <w:tcW w:w="1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tcPr>
          <w:p>
            <w:pPr>
              <w:jc w:val="right"/>
              <w:spacing w:after="0" w:line="95" w:lineRule="exact"/>
              <w:rPr>
                <w:sz w:val="20"/>
                <w:szCs w:val="20"/>
                <w:color w:val="auto"/>
              </w:rPr>
            </w:pPr>
            <w:r>
              <w:rPr>
                <w:rFonts w:ascii="Arial" w:cs="Arial" w:eastAsia="Arial" w:hAnsi="Arial"/>
                <w:sz w:val="10"/>
                <w:szCs w:val="10"/>
                <w:color w:val="auto"/>
              </w:rPr>
              <w:t>(a)</w:t>
            </w: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(b)</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1780" w:type="dxa"/>
            <w:vAlign w:val="bottom"/>
          </w:tcPr>
          <w:p>
            <w:pPr>
              <w:ind w:left="180"/>
              <w:spacing w:after="0" w:line="256" w:lineRule="exact"/>
              <w:rPr>
                <w:sz w:val="20"/>
                <w:szCs w:val="20"/>
                <w:color w:val="auto"/>
              </w:rPr>
            </w:pPr>
            <w:r>
              <w:rPr>
                <w:rFonts w:ascii="Arial" w:cs="Arial" w:eastAsia="Arial" w:hAnsi="Arial"/>
                <w:sz w:val="18"/>
                <w:szCs w:val="18"/>
                <w:color w:val="auto"/>
                <w:w w:val="93"/>
              </w:rPr>
              <w:t xml:space="preserve">Adjusted EBITDA </w:t>
            </w:r>
            <w:r>
              <w:rPr>
                <w:rFonts w:ascii="Arial" w:cs="Arial" w:eastAsia="Arial" w:hAnsi="Arial"/>
                <w:sz w:val="29"/>
                <w:szCs w:val="29"/>
                <w:color w:val="auto"/>
                <w:w w:val="93"/>
                <w:vertAlign w:val="superscript"/>
              </w:rPr>
              <w:t>(2)</w:t>
            </w:r>
          </w:p>
        </w:tc>
        <w:tc>
          <w:tcPr>
            <w:tcW w:w="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119,650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80,347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39,303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r>
      <w:tr>
        <w:trPr>
          <w:trHeight w:val="257"/>
        </w:trPr>
        <w:tc>
          <w:tcPr>
            <w:tcW w:w="4600" w:type="dxa"/>
            <w:vAlign w:val="bottom"/>
            <w:gridSpan w:val="3"/>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+799bps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178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Adjusted EBIT </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108,747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70,053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38,694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r>
      <w:tr>
        <w:trPr>
          <w:trHeight w:val="256"/>
        </w:trPr>
        <w:tc>
          <w:tcPr>
            <w:tcW w:w="4600" w:type="dxa"/>
            <w:vAlign w:val="bottom"/>
            <w:gridSpan w:val="3"/>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Adjusted EBIT margin </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+885bps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1940" w:type="dxa"/>
            <w:vAlign w:val="bottom"/>
            <w:gridSpan w:val="2"/>
          </w:tcPr>
          <w:p>
            <w:pPr>
              <w:ind w:left="180"/>
              <w:spacing w:after="0" w:line="256" w:lineRule="exact"/>
              <w:rPr>
                <w:sz w:val="20"/>
                <w:szCs w:val="20"/>
                <w:color w:val="auto"/>
              </w:rPr>
            </w:pPr>
            <w:r>
              <w:rPr>
                <w:rFonts w:ascii="Arial" w:cs="Arial" w:eastAsia="Arial" w:hAnsi="Arial"/>
                <w:sz w:val="18"/>
                <w:szCs w:val="18"/>
                <w:color w:val="auto"/>
                <w:w w:val="88"/>
              </w:rPr>
              <w:t xml:space="preserve">Adjusted Net Income </w:t>
            </w:r>
            <w:r>
              <w:rPr>
                <w:rFonts w:ascii="Arial" w:cs="Arial" w:eastAsia="Arial" w:hAnsi="Arial"/>
                <w:sz w:val="29"/>
                <w:szCs w:val="29"/>
                <w:color w:val="auto"/>
                <w:w w:val="88"/>
                <w:vertAlign w:val="superscript"/>
              </w:rPr>
              <w:t>(2)</w:t>
            </w:r>
          </w:p>
        </w:tc>
        <w:tc>
          <w:tcPr>
            <w:tcW w:w="26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85,368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52,190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33,178</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1"/>
              </w:rPr>
              <w:t>Adjusted Diluted EPS</w:t>
            </w:r>
          </w:p>
        </w:tc>
        <w:tc>
          <w:tcPr>
            <w:tcW w:w="2820" w:type="dxa"/>
            <w:vAlign w:val="bottom"/>
            <w:gridSpan w:val="2"/>
            <w:shd w:val="clear" w:color="auto" w:fill="CCEEFF"/>
          </w:tcPr>
          <w:p>
            <w:pPr>
              <w:jc w:val="right"/>
              <w:ind w:right="2205"/>
              <w:spacing w:after="0" w:line="162" w:lineRule="exact"/>
              <w:rPr>
                <w:sz w:val="20"/>
                <w:szCs w:val="20"/>
                <w:color w:val="auto"/>
              </w:rPr>
            </w:pPr>
            <w:r>
              <w:rPr>
                <w:rFonts w:ascii="Arial" w:cs="Arial" w:eastAsia="Arial" w:hAnsi="Arial"/>
                <w:sz w:val="15"/>
                <w:szCs w:val="15"/>
                <w:color w:val="auto"/>
                <w:w w:val="94"/>
              </w:rPr>
              <w:t>(1)(2)(3)</w:t>
            </w:r>
          </w:p>
        </w:tc>
        <w:tc>
          <w:tcPr>
            <w:tcW w:w="1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line="162" w:lineRule="exact"/>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72"/>
              <w:spacing w:after="0" w:line="162" w:lineRule="exact"/>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8"/>
                <w:szCs w:val="18"/>
                <w:color w:val="auto"/>
              </w:rPr>
              <w:t>0.14</w:t>
            </w:r>
          </w:p>
        </w:tc>
        <w:tc>
          <w:tcPr>
            <w:tcW w:w="14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8"/>
                <w:szCs w:val="18"/>
                <w:color w:val="auto"/>
              </w:rPr>
              <w:t>60.9%</w:t>
            </w:r>
          </w:p>
        </w:tc>
      </w:tr>
      <w:tr>
        <w:trPr>
          <w:trHeight w:val="95"/>
        </w:trPr>
        <w:tc>
          <w:tcPr>
            <w:tcW w:w="1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w:t>
            </w: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(b)</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bl>
    <w:p>
      <w:pPr>
        <w:spacing w:after="0" w:line="202"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result of the Reorganization Transactions and the IPO completed in April 2019, certain earnings information is being presented separately for Tradeweb Markets LLC and Tradeweb Markets Inc.</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“Basis of Presentation” above and “Note 18 — Earnings Per Share” to the audited consolidated financial statements of Tradeweb Markets Inc.</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appearing in the 2019 Form 10-K.</w:t>
      </w:r>
    </w:p>
    <w:p>
      <w:pPr>
        <w:spacing w:after="0" w:line="9" w:lineRule="exact"/>
        <w:rPr>
          <w:sz w:val="20"/>
          <w:szCs w:val="20"/>
          <w:color w:val="auto"/>
        </w:rPr>
      </w:pPr>
    </w:p>
    <w:p>
      <w:pPr>
        <w:ind w:left="660" w:right="2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definitions of Adjusted EBITDA, Adjusted EBITDA margin, Adjusted EBIT, Adjusted EBIT margin, Adjusted Net Income and Adjusted Diluted EPS and reconciliations to their most directly comparable financial measures presented in accordance with GAAP, see the tables below.</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Diluted EPS includes certain tax related adjustments to reflect an assumed effective tax rate for all periods presented and, for the three months ended March 31, 2020, assumes all LLC Interests are exchanged for shares of Class A or Class B common stock. As a result, we believe that Adjusted Diluted EPS for Tradeweb Markets Inc. and Tradeweb Markets LLC are comparable.</w:t>
      </w:r>
    </w:p>
    <w:p>
      <w:pPr>
        <w:spacing w:after="0" w:line="1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three months ended March 31, 2020 as compared to the three months ended March 31, 2019, our estimated results benefited from higher revenues related to increases in rates, credit, equities and money markets trading. Our expenses increased primarily due to higher employee compensation and benefits expense, including non-cash stock-based compensation expense related to options and payroll taxes associated with the exercise of stock options. Net income for the three months ended March 31, 2020 and 2019 was $62.5 million and $42.4 million, respectively, primarily due to the impact of higher gross revenue of $47.8 million, partially offset by higher employee compensation and benefits expense, including a $3.5 million increase in non-cash stock-based compensation expense related to options and associated payroll taxes. Net income attributable to Tradeweb Markets Inc. for the three months ended March 31, 2020 was $43.9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324"/>
        <w:spacing w:after="0" w:line="277" w:lineRule="auto"/>
        <w:rPr>
          <w:sz w:val="20"/>
          <w:szCs w:val="20"/>
          <w:color w:val="auto"/>
        </w:rPr>
      </w:pPr>
      <w:r>
        <w:rPr>
          <w:rFonts w:ascii="Arial" w:cs="Arial" w:eastAsia="Arial" w:hAnsi="Arial"/>
          <w:sz w:val="18"/>
          <w:szCs w:val="18"/>
          <w:color w:val="auto"/>
        </w:rPr>
        <w:t>Adjusted EBITDA, Adjusted EBITDA margin, Adjusted EBIT, Adjusted EBIT margin, Adjusted Net Income and Adjusted Diluted EPS increased for the three months ended March 31, 2020 as compared to the prior period, primarily due to gross revenue growth of 25.6%.</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March 31, 2020 and 2019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March 31, 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19"/>
                <w:szCs w:val="19"/>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ADV</w:t>
            </w:r>
          </w:p>
        </w:tc>
      </w:tr>
      <w:tr>
        <w:trPr>
          <w:trHeight w:val="223"/>
        </w:trPr>
        <w:tc>
          <w:tcPr>
            <w:tcW w:w="2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ADV</w:t>
            </w: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ADV</w:t>
            </w: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Volume</w:t>
            </w:r>
          </w:p>
        </w:tc>
        <w:tc>
          <w:tcPr>
            <w:tcW w:w="2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160" w:type="dxa"/>
            <w:vAlign w:val="bottom"/>
          </w:tcPr>
          <w:p>
            <w:pPr>
              <w:spacing w:after="0"/>
              <w:rPr>
                <w:sz w:val="19"/>
                <w:szCs w:val="19"/>
                <w:color w:val="auto"/>
              </w:rPr>
            </w:pPr>
          </w:p>
        </w:tc>
      </w:tr>
      <w:tr>
        <w:trPr>
          <w:trHeight w:val="209"/>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(dollars in millions)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17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590,773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36,867,838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429,226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26,357,344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Credit</w:t>
            </w:r>
          </w:p>
        </w:tc>
        <w:tc>
          <w:tcPr>
            <w:tcW w:w="17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32,997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2,070,811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16,386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1,010,037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7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1,111,272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479,937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r>
      <w:tr>
        <w:trPr>
          <w:trHeight w:val="229"/>
        </w:trPr>
        <w:tc>
          <w:tcPr>
            <w:tcW w:w="2620" w:type="dxa"/>
            <w:vAlign w:val="bottom"/>
          </w:tcPr>
          <w:p>
            <w:pPr>
              <w:spacing w:after="0"/>
              <w:rPr>
                <w:sz w:val="20"/>
                <w:szCs w:val="20"/>
                <w:color w:val="auto"/>
              </w:rPr>
            </w:pPr>
            <w:r>
              <w:rPr>
                <w:rFonts w:ascii="Arial" w:cs="Arial" w:eastAsia="Arial" w:hAnsi="Arial"/>
                <w:sz w:val="18"/>
                <w:szCs w:val="18"/>
                <w:color w:val="auto"/>
              </w:rPr>
              <w:t>Money Markets</w:t>
            </w:r>
          </w:p>
        </w:tc>
        <w:tc>
          <w:tcPr>
            <w:tcW w:w="17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256,193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15,948,560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192,264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11,771,636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23"/>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55,998,481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39,618,954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20"/>
        </w:trPr>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the increases in average daily volumes for our rates, credit, equities and money markets asset classes in the three months ended March 31, 2020 can be attributed to various factors, including further electronification of trading activities across our asset classes, increase in market share, new products, new clients and increased volatility. Rates ADV increased mainly due to higher trading activity in long and short-tenor interest rate swaps and swaptions, mortgages and U.S. treasuries. Credit ADV increased mainly due to higher trading activity in credit derivatives, U.S. high-grade and high-yield credit and European Credit. Equities ADV increased mainly due to higher trading activity in U.S. and European ETFs and derivatives. Money Markets ADV increased due to the continued growth of bilateral electronic trading in repurchase agreements.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months ended March 31, 2020 and 2019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31.0% for the three months ended March 31, 2020 while gross revenue for our Credit asset class increased 36.9% over the same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March 31, 2019</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Rates - excluding short-tenor swaps (less than 1 year)</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21.15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Total Fees per Million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Fees per Million - excluding short-tenor swaps (less than 1 year)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675"/>
        </w:trPr>
        <w:tc>
          <w:tcPr>
            <w:tcW w:w="5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ind w:firstLine="324"/>
        <w:spacing w:after="0" w:line="277"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months ended March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Three Months</w:t>
            </w:r>
          </w:p>
        </w:tc>
        <w:tc>
          <w:tcPr>
            <w:tcW w:w="6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Three Months</w:t>
            </w:r>
          </w:p>
        </w:tc>
        <w:tc>
          <w:tcPr>
            <w:tcW w:w="0" w:type="dxa"/>
            <w:vAlign w:val="bottom"/>
          </w:tcPr>
          <w:p>
            <w:pPr>
              <w:spacing w:after="0"/>
              <w:rPr>
                <w:sz w:val="1"/>
                <w:szCs w:val="1"/>
                <w:color w:val="auto"/>
              </w:rPr>
            </w:pPr>
          </w:p>
        </w:tc>
      </w:tr>
      <w:tr>
        <w:trPr>
          <w:trHeight w:val="229"/>
        </w:trPr>
        <w:tc>
          <w:tcPr>
            <w:tcW w:w="8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March 31, 2020</w:t>
            </w:r>
          </w:p>
        </w:tc>
        <w:tc>
          <w:tcPr>
            <w:tcW w:w="6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62,485</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42,352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37,176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33,503</w:t>
            </w:r>
          </w:p>
        </w:tc>
        <w:tc>
          <w:tcPr>
            <w:tcW w:w="0" w:type="dxa"/>
            <w:vAlign w:val="bottom"/>
          </w:tcPr>
          <w:p>
            <w:pPr>
              <w:spacing w:after="0"/>
              <w:rPr>
                <w:sz w:val="1"/>
                <w:szCs w:val="1"/>
                <w:color w:val="auto"/>
              </w:rPr>
            </w:pPr>
          </w:p>
        </w:tc>
      </w:tr>
      <w:tr>
        <w:trPr>
          <w:trHeight w:val="257"/>
        </w:trPr>
        <w:tc>
          <w:tcPr>
            <w:tcW w:w="8360" w:type="dxa"/>
            <w:vAlign w:val="bottom"/>
          </w:tcPr>
          <w:p>
            <w:pPr>
              <w:spacing w:after="0" w:line="25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3,497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15,829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Unrealized foreign exchange (gains) / losses</w:t>
            </w:r>
          </w:p>
        </w:tc>
        <w:tc>
          <w:tcPr>
            <w:tcW w:w="22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Loss from revaluation of foreign denominated cash</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119,650</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80,347</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Depreciation and amortization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(37,176)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line="270" w:lineRule="exact"/>
              <w:rPr>
                <w:sz w:val="20"/>
                <w:szCs w:val="20"/>
                <w:color w:val="auto"/>
              </w:rPr>
            </w:pPr>
            <w:r>
              <w:rPr>
                <w:rFonts w:ascii="Arial" w:cs="Arial" w:eastAsia="Arial" w:hAnsi="Arial"/>
                <w:sz w:val="18"/>
                <w:szCs w:val="18"/>
                <w:color w:val="auto"/>
              </w:rPr>
              <w:t>Add: Acquisition and Refinitiv Transaction related D&amp;A</w:t>
            </w:r>
            <w:r>
              <w:rPr>
                <w:rFonts w:ascii="Arial" w:cs="Arial" w:eastAsia="Arial" w:hAnsi="Arial"/>
                <w:sz w:val="29"/>
                <w:szCs w:val="29"/>
                <w:color w:val="auto"/>
                <w:vertAlign w:val="superscript"/>
              </w:rPr>
              <w:t>(3)</w:t>
            </w:r>
          </w:p>
        </w:tc>
        <w:tc>
          <w:tcPr>
            <w:tcW w:w="220" w:type="dxa"/>
            <w:vAlign w:val="bottom"/>
          </w:tcPr>
          <w:p>
            <w:pPr>
              <w:spacing w:after="0"/>
              <w:rPr>
                <w:sz w:val="23"/>
                <w:szCs w:val="23"/>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26,273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23,209</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277"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(4)</w:t>
            </w: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360" w:type="dxa"/>
            <w:vAlign w:val="bottom"/>
            <w:tcBorders>
              <w:bottom w:val="single" w:sz="8" w:color="CCEEFF"/>
            </w:tcBorders>
            <w:vMerge w:val="continue"/>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Adjusted EBIT margin</w:t>
            </w:r>
            <w:r>
              <w:rPr>
                <w:rFonts w:ascii="Arial" w:cs="Arial" w:eastAsia="Arial" w:hAnsi="Arial"/>
                <w:sz w:val="25"/>
                <w:szCs w:val="25"/>
                <w:color w:val="auto"/>
                <w:vertAlign w:val="superscript"/>
              </w:rPr>
              <w:t>(4)</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options awarded to management and other employees prior to the IPO (“Special Option Award”) discussed under “Management’s Discussion and Analysis of Financial Condition and Results of Operations — Critical Accounting Policies and Estimates — Stock-Based Compensation” in the 2019 Form 10-K, and post-IPO options awarded in 2019 and payroll taxes associated with exercises of such options during the applicable period.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foreign exchange gain or loss from the revaluation of cash denominated in a different currency than the entity’s functional currency.</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three months ended March 31, 2020 and 2019, Adjusted EBITDA margin increased compared to the prior year period by 799 basis points, or 678 basis points on a constant currency basis. For the three months ended March 31, 2020 and 2019, Adjusted EBIT margin increased compared to the prior year period by 885 basis points, or 767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69"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 Adjusted EBITDA is defined as net income before contingent consideration,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360"/>
        <w:spacing w:after="0" w:line="285" w:lineRule="auto"/>
        <w:rPr>
          <w:sz w:val="20"/>
          <w:szCs w:val="20"/>
          <w:color w:val="auto"/>
        </w:rPr>
      </w:pPr>
      <w:r>
        <w:rPr>
          <w:rFonts w:ascii="Arial" w:cs="Arial" w:eastAsia="Arial" w:hAnsi="Arial"/>
          <w:sz w:val="16"/>
          <w:szCs w:val="16"/>
          <w:color w:val="auto"/>
        </w:rPr>
        <w:t>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We also exclude non-cash stock-based compensation expense associated with the Special Option Award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because we believe it is useful to exclude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which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176"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 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common membership units of TWM LLC (“LLC Interests”) held by non-controlling interests are exchanged for shares of Class A or Class B common stock, we believe that Adjusted Net Income and Adjusted Diluted EPS for Tradeweb Markets Inc. and Tradeweb Markets LLC are comparable.</w:t>
      </w:r>
    </w:p>
    <w:p>
      <w:pPr>
        <w:spacing w:after="0" w:line="196"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6"/>
          <w:szCs w:val="16"/>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and payroll taxes associated with certain option exercises, tax receivable liability adjustments, acquisition and Refinitiv Transaction-related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 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360"/>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months ended March 31, 2020 and 2019:</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Earnings per diluted share</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6"/>
          <w:szCs w:val="16"/>
          <w:color w:val="auto"/>
        </w:rPr>
        <w:t xml:space="preserve">Pre-IPO net income attributable to Tradeweb Markets LLC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 xml:space="preserve">Net income attributable to Tradeweb Markets Inc. </w:t>
      </w:r>
      <w:r>
        <w:rPr>
          <w:rFonts w:ascii="Arial" w:cs="Arial" w:eastAsia="Arial" w:hAnsi="Arial"/>
          <w:sz w:val="29"/>
          <w:szCs w:val="29"/>
          <w:color w:val="auto"/>
          <w:vertAlign w:val="superscript"/>
        </w:rPr>
        <w:t>(1)</w:t>
      </w:r>
    </w:p>
    <w:p>
      <w:pPr>
        <w:spacing w:after="0" w:line="211" w:lineRule="auto"/>
        <w:rPr>
          <w:sz w:val="20"/>
          <w:szCs w:val="20"/>
          <w:color w:val="auto"/>
        </w:rPr>
      </w:pPr>
      <w:r>
        <w:rPr>
          <w:rFonts w:ascii="Arial" w:cs="Arial" w:eastAsia="Arial" w:hAnsi="Arial"/>
          <w:sz w:val="17"/>
          <w:szCs w:val="17"/>
          <w:color w:val="auto"/>
        </w:rPr>
        <w:t xml:space="preserve">Net income attributable to non-controlling interests </w:t>
      </w:r>
      <w:r>
        <w:rPr>
          <w:rFonts w:ascii="Arial" w:cs="Arial" w:eastAsia="Arial" w:hAnsi="Arial"/>
          <w:sz w:val="28"/>
          <w:szCs w:val="28"/>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2" w:lineRule="auto"/>
        <w:rPr>
          <w:sz w:val="20"/>
          <w:szCs w:val="20"/>
          <w:color w:val="auto"/>
        </w:rPr>
      </w:pPr>
      <w:r>
        <w:rPr>
          <w:rFonts w:ascii="Arial" w:cs="Arial" w:eastAsia="Arial" w:hAnsi="Arial"/>
          <w:sz w:val="18"/>
          <w:szCs w:val="18"/>
          <w:color w:val="auto"/>
        </w:rPr>
        <w:t>Acquisition and Refinitiv Transaction related D&amp;A</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Stock-based compensation expense</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Unrealized foreign exchange (gains) / losses</w:t>
      </w:r>
    </w:p>
    <w:p>
      <w:pPr>
        <w:spacing w:after="0" w:line="198" w:lineRule="auto"/>
        <w:rPr>
          <w:sz w:val="20"/>
          <w:szCs w:val="20"/>
          <w:color w:val="auto"/>
        </w:rPr>
      </w:pPr>
      <w:r>
        <w:rPr>
          <w:rFonts w:ascii="Arial" w:cs="Arial" w:eastAsia="Arial" w:hAnsi="Arial"/>
          <w:sz w:val="18"/>
          <w:szCs w:val="18"/>
          <w:color w:val="auto"/>
        </w:rPr>
        <w:t>Loss from revaluation of foreign denominated cash</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Three Months</w:t>
            </w: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9"/>
                <w:szCs w:val="19"/>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 2020</w:t>
            </w:r>
          </w:p>
        </w:tc>
        <w:tc>
          <w:tcPr>
            <w:tcW w:w="140" w:type="dxa"/>
            <w:vAlign w:val="bottom"/>
          </w:tcPr>
          <w:p>
            <w:pPr>
              <w:spacing w:after="0"/>
              <w:rPr>
                <w:sz w:val="20"/>
                <w:szCs w:val="20"/>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March 31, 2019</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(dollars in thousands, except per share data)</w:t>
            </w:r>
          </w:p>
        </w:tc>
        <w:tc>
          <w:tcPr>
            <w:tcW w:w="180" w:type="dxa"/>
            <w:vAlign w:val="bottom"/>
            <w:gridSpan w:val="2"/>
          </w:tcPr>
          <w:p>
            <w:pPr>
              <w:spacing w:after="0"/>
              <w:rPr>
                <w:sz w:val="18"/>
                <w:szCs w:val="18"/>
                <w:color w:val="auto"/>
              </w:rPr>
            </w:pPr>
          </w:p>
        </w:tc>
      </w:tr>
      <w:tr>
        <w:trPr>
          <w:trHeight w:val="263"/>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20"/>
              <w:spacing w:after="0" w:line="263" w:lineRule="exact"/>
              <w:rPr>
                <w:sz w:val="20"/>
                <w:szCs w:val="20"/>
                <w:color w:val="auto"/>
              </w:rPr>
            </w:pPr>
            <w:r>
              <w:rPr>
                <w:rFonts w:ascii="Arial" w:cs="Arial" w:eastAsia="Arial" w:hAnsi="Arial"/>
                <w:sz w:val="18"/>
                <w:szCs w:val="18"/>
                <w:color w:val="auto"/>
              </w:rPr>
              <w:t>0.25</w:t>
            </w:r>
            <w:r>
              <w:rPr>
                <w:rFonts w:ascii="Arial" w:cs="Arial" w:eastAsia="Arial" w:hAnsi="Arial"/>
                <w:sz w:val="29"/>
                <w:szCs w:val="29"/>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spacing w:after="0" w:line="263"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(b)</w:t>
            </w: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43,928</w:t>
            </w:r>
          </w:p>
        </w:tc>
        <w:tc>
          <w:tcPr>
            <w:tcW w:w="14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18,557</w:t>
            </w:r>
          </w:p>
        </w:tc>
        <w:tc>
          <w:tcPr>
            <w:tcW w:w="14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62,485</w:t>
            </w: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42,352</w:t>
            </w:r>
          </w:p>
        </w:tc>
        <w:tc>
          <w:tcPr>
            <w:tcW w:w="1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15,829</w:t>
            </w:r>
          </w:p>
        </w:tc>
        <w:tc>
          <w:tcPr>
            <w:tcW w:w="1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4,783</w:t>
            </w:r>
          </w:p>
        </w:tc>
        <w:tc>
          <w:tcPr>
            <w:tcW w:w="1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26,273</w:t>
            </w:r>
          </w:p>
        </w:tc>
        <w:tc>
          <w:tcPr>
            <w:tcW w:w="14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23,209</w:t>
            </w:r>
          </w:p>
        </w:tc>
        <w:tc>
          <w:tcPr>
            <w:tcW w:w="160" w:type="dxa"/>
            <w:vAlign w:val="bottom"/>
          </w:tcPr>
          <w:p>
            <w:pPr>
              <w:spacing w:after="0"/>
              <w:rPr>
                <w:sz w:val="22"/>
                <w:szCs w:val="22"/>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3,497</w:t>
            </w:r>
          </w:p>
        </w:tc>
        <w:tc>
          <w:tcPr>
            <w:tcW w:w="14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1,164</w:t>
            </w:r>
          </w:p>
        </w:tc>
        <w:tc>
          <w:tcPr>
            <w:tcW w:w="140" w:type="dxa"/>
            <w:vAlign w:val="bottom"/>
          </w:tcPr>
          <w:p>
            <w:pPr>
              <w:spacing w:after="0"/>
              <w:rPr>
                <w:sz w:val="20"/>
                <w:szCs w:val="20"/>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(293)</w:t>
            </w:r>
          </w:p>
        </w:tc>
      </w:tr>
      <w:tr>
        <w:trPr>
          <w:trHeight w:val="268"/>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23"/>
                <w:szCs w:val="23"/>
                <w:color w:val="auto"/>
              </w:rPr>
            </w:pPr>
          </w:p>
        </w:tc>
      </w:tr>
    </w:tbl>
    <w:p>
      <w:pPr>
        <w:spacing w:after="0" w:line="20" w:lineRule="exact"/>
        <w:rPr>
          <w:sz w:val="20"/>
          <w:szCs w:val="20"/>
          <w:color w:val="auto"/>
        </w:rPr>
      </w:pPr>
    </w:p>
    <w:p>
      <w:pPr>
        <w:sectPr>
          <w:pgSz w:w="11900" w:h="16838" w:orient="portrait"/>
          <w:cols w:equalWidth="0" w:num="2">
            <w:col w:w="6880" w:space="720"/>
            <w:col w:w="364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3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Adjusted Net Income before income taxes</w:t>
            </w:r>
          </w:p>
        </w:tc>
        <w:tc>
          <w:tcPr>
            <w:tcW w:w="2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line="192" w:lineRule="exact"/>
              <w:rPr>
                <w:sz w:val="20"/>
                <w:szCs w:val="20"/>
                <w:color w:val="auto"/>
              </w:rPr>
            </w:pPr>
            <w:r>
              <w:rPr>
                <w:rFonts w:ascii="Arial" w:cs="Arial" w:eastAsia="Arial" w:hAnsi="Arial"/>
                <w:sz w:val="18"/>
                <w:szCs w:val="18"/>
                <w:color w:val="auto"/>
              </w:rPr>
              <w:t>109,446</w:t>
            </w:r>
          </w:p>
        </w:tc>
        <w:tc>
          <w:tcPr>
            <w:tcW w:w="56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70,911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line="270"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29"/>
                <w:szCs w:val="29"/>
                <w:color w:val="auto"/>
                <w:vertAlign w:val="superscript"/>
              </w:rPr>
              <w:t>(6)</w:t>
            </w:r>
          </w:p>
        </w:tc>
        <w:tc>
          <w:tcPr>
            <w:tcW w:w="2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(24,078)</w:t>
            </w:r>
          </w:p>
        </w:tc>
        <w:tc>
          <w:tcPr>
            <w:tcW w:w="56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(18,721)</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line="277"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9"/>
                <w:szCs w:val="29"/>
                <w:color w:val="auto"/>
                <w:vertAlign w:val="superscript"/>
              </w:rPr>
              <w:t>(1)(7)</w:t>
            </w:r>
          </w:p>
        </w:tc>
        <w:tc>
          <w:tcPr>
            <w:tcW w:w="2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28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line="237" w:lineRule="exact"/>
              <w:rPr>
                <w:sz w:val="20"/>
                <w:szCs w:val="20"/>
                <w:color w:val="auto"/>
              </w:rPr>
            </w:pPr>
            <w:r>
              <w:rPr>
                <w:rFonts w:ascii="Arial" w:cs="Arial" w:eastAsia="Arial" w:hAnsi="Arial"/>
                <w:sz w:val="17"/>
                <w:szCs w:val="17"/>
                <w:color w:val="auto"/>
              </w:rPr>
              <w:t>0.37</w:t>
            </w:r>
            <w:r>
              <w:rPr>
                <w:rFonts w:ascii="Arial" w:cs="Arial" w:eastAsia="Arial" w:hAnsi="Arial"/>
                <w:sz w:val="27"/>
                <w:szCs w:val="27"/>
                <w:color w:val="auto"/>
                <w:vertAlign w:val="superscript"/>
              </w:rPr>
              <w:t>(a)</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237" w:lineRule="exact"/>
              <w:rPr>
                <w:sz w:val="20"/>
                <w:szCs w:val="20"/>
                <w:color w:val="auto"/>
              </w:rPr>
            </w:pPr>
            <w:r>
              <w:rPr>
                <w:rFonts w:ascii="Arial" w:cs="Arial" w:eastAsia="Arial" w:hAnsi="Arial"/>
                <w:sz w:val="17"/>
                <w:szCs w:val="17"/>
                <w:color w:val="auto"/>
              </w:rPr>
              <w:t>0.23</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Reorganization Transactions and the IPO completed in April 2019, certain earnings information is being presented separately for Tradeweb Markets LLC and Tradeweb Markets Inc.</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9" w:lineRule="exact"/>
        <w:rPr>
          <w:sz w:val="20"/>
          <w:szCs w:val="20"/>
          <w:color w:val="auto"/>
        </w:rPr>
      </w:pPr>
    </w:p>
    <w:p>
      <w:pPr>
        <w:ind w:left="660" w:right="220"/>
        <w:spacing w:after="0" w:line="260" w:lineRule="auto"/>
        <w:rPr>
          <w:sz w:val="20"/>
          <w:szCs w:val="20"/>
          <w:color w:val="auto"/>
        </w:rPr>
      </w:pPr>
      <w:r>
        <w:rPr>
          <w:rFonts w:ascii="Arial" w:cs="Arial" w:eastAsia="Arial" w:hAnsi="Arial"/>
          <w:sz w:val="18"/>
          <w:szCs w:val="18"/>
          <w:color w:val="auto"/>
        </w:rPr>
        <w:t>See “Basis of Presentation” elsewhere herein and “Note 18 — Earnings Per Share” to the audited consolidated financial statements of Tradeweb Markets Inc. appearing in the 2019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9" w:name="page10"/>
    <w:bookmarkEnd w:id="9"/>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discussed under “Management’s Discussion and Analysis of Financial Condition and Results of Operations — Critical Accounting Policies and Estimates — Stock-Based Compensation” in the 2019 Form 10-K, and post-IPO options awarded in 2019 and payroll taxes associated with exercises of such options during the applicable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foreign exchange gain or loss from the revaluation of cash denominated in a different currency than the entity’s functional currency.</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corporate income taxes at an assumed effective tax rate of 22.0% and 26.4% applied to Adjusted Net Income before income taxes for the three months ended March 31, 2020 and March 31, 2019, respectively.</w:t>
      </w:r>
    </w:p>
    <w:p>
      <w:pPr>
        <w:jc w:val="both"/>
        <w:ind w:left="660" w:hanging="328"/>
        <w:spacing w:after="0" w:line="29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Due to the Reorganization Transactions and the IPO completed in April 2019, shares outstanding during the three months ended March 31, 2019 represent shares of TWM LLC (pre-IPO period) and shares outstanding during the three months ended March 31,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Adjusted Diluted EPS for the three months ended March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Post-IPO Period</w:t>
            </w:r>
          </w:p>
        </w:tc>
        <w:tc>
          <w:tcPr>
            <w:tcW w:w="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rPr>
              <w:t>Pre-IPO Period</w:t>
            </w:r>
          </w:p>
        </w:tc>
        <w:tc>
          <w:tcPr>
            <w:tcW w:w="0" w:type="dxa"/>
            <w:vAlign w:val="bottom"/>
          </w:tcPr>
          <w:p>
            <w:pPr>
              <w:spacing w:after="0"/>
              <w:rPr>
                <w:sz w:val="1"/>
                <w:szCs w:val="1"/>
                <w:color w:val="auto"/>
              </w:rPr>
            </w:pPr>
          </w:p>
        </w:tc>
      </w:tr>
      <w:tr>
        <w:trPr>
          <w:trHeight w:val="191"/>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Three Months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Three Months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Diluted Weighted Average Shares Outstanding to</w:t>
            </w: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Ended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Adjusted Diluted Weighted Average Shares Outstanding</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TWM LLC shares outstanding</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223,320,457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Diluted weighted average shares of Class A and Class B common stock outstanding</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174,517,244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Assumed exchange of LLC interests for shares of Class A or Class B common stock </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57,644,547</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diluted weighted average shares outstanding</w:t>
            </w: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232,161,791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223,320,457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Adjusted Net Income (in thousands)</w:t>
            </w: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85,368</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52,190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Adjusted Diluted EPS</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statements contained herein are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In particular, the preliminary financial results for the first quarter of 2020 are subject to the completion of management’s final review and our other financial closing procedures and therefore are subject to change. Given these risks and uncertainties, you are cautioned not to place undue reliance on such forward-looking statements. The forward-looking statements contained herein are not guarantees of future performance and our actual results of operations, financial condition or liquidity, and the development of the industry and markets in which we operate, may differ materially from the forward-looking statements contained herein. In addition, even if our results of operations, financial condition, or liquidity, and events in the industry and markets in which we operate, are consistent with the forward-looking statements contained herein, they may not be predictive of results or developments in future periods. Any forward-looking statement that we make herein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recent developments</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“us,” “our,” the “Company,” “Tradeweb” and similar references refer to Tradeweb Markets Inc., and, unless otherwise stated or the context otherwise requires, TWM LLC and all of its subsidiaries and any predecessor entities. The 2019 Form 10-K refers to our Annual Report on Form 10-K for the fiscal year ended December 31, 2019,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and by mid-March 2020, nearly all of our employees around the world were working remotely.</w:t>
      </w:r>
    </w:p>
    <w:p>
      <w:pPr>
        <w:spacing w:after="0" w:line="16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In light of the unprecedented market volatility and significant economic disruption that has arisen in the wake of the pandemic, we have worked closely with our clients to provide flexible and secure access to our platforms, and to ensure that we would be a stable and resilient partner across multiple asset classes — so they can reliably manage their core cash and derivatives needs in the diverse markets we serve, even as their own businesses may face disruptions. Our employees and clients together have adapted to working remotely and we have helped our clients navigate the market volatility through multi-asset class and multi-protocol electronic offerings. We believe the strong volumes we experienced on our platforms in March 2020 are reflective of these factors.</w:t>
      </w:r>
    </w:p>
    <w:p>
      <w:pPr>
        <w:spacing w:after="0" w:line="192"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The global spread of the COVID-19 pandemic is complex and rapidly-evolving, with authorities around the world implementing numerous measures to try to contain the coronavirus, such as travel bans and restrictions, social distancing, quarantines, shelter in place, stay at home or lockdown orders and business limitations and shutdowns. While our expectation is to return to our offices when it is safe to do so, we remain confident that we can continue to maintain business continuity, serve our clients and provide efficient execution in a virtual environment as necessary. In addition, we believe that we have sufficient liquidity and flexibility to operate during any future disruptions caused by COVID-19.</w:t>
      </w:r>
    </w:p>
    <w:p>
      <w:pPr>
        <w:spacing w:after="0" w:line="176"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is developing,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66"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As the COVID-19 pandemic continues, it may also have the effect of heightening many of the risks described in “Risk Factors” in our documents on file with or furnished to the SEC,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IDC Matter</w:t>
      </w:r>
    </w:p>
    <w:p>
      <w:pPr>
        <w:spacing w:after="0" w:line="22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 xml:space="preserve">As disclosed most recently in our 2019 Form 10-K, IDC Financial Publishing, Inc. (“IDC”) filed a lawsuit in the United States District Court for the Eastern District of Wisconsin captioned </w:t>
      </w:r>
      <w:r>
        <w:rPr>
          <w:rFonts w:ascii="Arial" w:cs="Arial" w:eastAsia="Arial" w:hAnsi="Arial"/>
          <w:sz w:val="17"/>
          <w:szCs w:val="17"/>
          <w:i w:val="1"/>
          <w:iCs w:val="1"/>
          <w:color w:val="auto"/>
        </w:rPr>
        <w:t>IDC Financial Publishing Inc. v. BondDesk Group LLC, et al.</w:t>
      </w:r>
      <w:r>
        <w:rPr>
          <w:rFonts w:ascii="Arial" w:cs="Arial" w:eastAsia="Arial" w:hAnsi="Arial"/>
          <w:sz w:val="17"/>
          <w:szCs w:val="17"/>
          <w:color w:val="auto"/>
        </w:rPr>
        <w:t xml:space="preserve"> Claims were asserted against the Company and against Fidelity Global Brokerage Group, Inc., Fidelity Brokerage Services, LLC, and National Financial Services, LLC (collectively, “Fidelity”) relating to the distribution of IDC’s financial strength ratings over the Company’s trading platform to Fidelity, its registered investment advisors and Fidelity’s correspondent banks. Following extensive pre-trial proceedings that resulted in certain of IDC’s claims being dismissed by the court, the parties entered into a settlement agreement in which all remaining claims and counterclaims in the lawsuit were settled without any material impact to the Company’s financial condition or results of operations, and the matter has been dismissed with prejudice.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On February 11, 2020, the board of directors of Tradeweb Markets Inc. declared a cash dividend of $0.08 per share of Class A common stock and Class B common stock for the first quarter of 2020. This dividend was paid on March 16, 2020 in an aggregate amount of $13.4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statements contained herein are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 In addition, statements herein relating to the COVID-19 pandemic, the potential impacts of which remain inherently uncertain, are forward-looking statements.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herein are not guarantees of future performance and our actual results of operations, financial condition or liquidity, and the development of the industry and markets in which we operate, may differ materially from the forward-looking statements contained herein. In addition, even if our results of operations, financial condition, or liquidity, and events in the industry and markets in which we operate, are consistent with the forward-looking statements contained herein, they may not be predictive of results or developments in future periods. Any forward-looking statement that we make herein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2020-04-20T16:16:44Z</dcterms:created>
  <dcterms:modified xsi:type="dcterms:W3CDTF">2020-04-20T16:16:44Z</dcterms:modified>
</cp:coreProperties>
</file>