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001-38860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83-2456358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10036</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On May 11, 2021, Tradeweb Markets Inc. (the “Company”) held its 2021 Annual Meeting of Stockholders. At the 2021 Annual Meeting of Stockholders, stockholders voted on the matters disclosed in the Company’s definitive Proxy Statement on Schedule 14A filed with the Securities and Exchange Commission on March 30, 2021 (the “Proxy Statement”). The final voting results for the matters submitted to a vote of the stockholders were as follows: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b w:val="1"/>
          <w:bCs w:val="1"/>
          <w:color w:val="auto"/>
        </w:rPr>
        <w:t>Election of Directors.</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Company’s stockholders elected the persons listed below as Class II directors for a three-year term expiring at the Company’s 2024 Annual Meeting of Stockholders or until their respective successors are duly elected and qualified: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ind w:left="1040"/>
              <w:spacing w:after="0"/>
              <w:rPr>
                <w:sz w:val="20"/>
                <w:szCs w:val="20"/>
                <w:color w:val="auto"/>
              </w:rPr>
            </w:pPr>
            <w:r>
              <w:rPr>
                <w:rFonts w:ascii="Arial" w:cs="Arial" w:eastAsia="Arial" w:hAnsi="Arial"/>
                <w:sz w:val="14"/>
                <w:szCs w:val="14"/>
                <w:b w:val="1"/>
                <w:bCs w:val="1"/>
                <w:color w:val="auto"/>
              </w:rPr>
              <w:t>Nominee</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Votes Withheld</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Paula Madoff</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1,255,425,557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36,969,301</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3,032,663</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Thomas Pluta</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1,260,377,619</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32,017,239</w:t>
            </w: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3,032,663</w:t>
            </w:r>
          </w:p>
        </w:tc>
      </w:tr>
      <w:tr>
        <w:trPr>
          <w:trHeight w:val="216"/>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West</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1,240,003,230</w:t>
            </w:r>
          </w:p>
        </w:tc>
        <w:tc>
          <w:tcPr>
            <w:tcW w:w="12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52,391,628</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3,032,663</w:t>
            </w:r>
          </w:p>
        </w:tc>
      </w:tr>
    </w:tbl>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2:</w:t>
      </w:r>
      <w:r>
        <w:rPr>
          <w:sz w:val="20"/>
          <w:szCs w:val="20"/>
          <w:color w:val="auto"/>
        </w:rPr>
        <w:tab/>
      </w:r>
      <w:r>
        <w:rPr>
          <w:rFonts w:ascii="Arial" w:cs="Arial" w:eastAsia="Arial" w:hAnsi="Arial"/>
          <w:sz w:val="16"/>
          <w:szCs w:val="16"/>
          <w:b w:val="1"/>
          <w:bCs w:val="1"/>
          <w:color w:val="auto"/>
        </w:rPr>
        <w:t>Ratification of Appointment of Deloitte &amp; Touche LLP Independent Registered Public Accounting Firm.</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Company’s stockholders ratified the appointment of Deloitte &amp; Touche LLP as the Company’s independent registered public accounting firm for the fiscal year ending December 31,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Votes For</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Votes Against</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Abstentions</w:t>
            </w:r>
          </w:p>
        </w:tc>
      </w:tr>
      <w:tr>
        <w:trPr>
          <w:trHeight w:val="209"/>
        </w:trPr>
        <w:tc>
          <w:tcPr>
            <w:tcW w:w="3740" w:type="dxa"/>
            <w:vAlign w:val="bottom"/>
            <w:tcBorders>
              <w:top w:val="single" w:sz="8" w:color="auto"/>
            </w:tcBorders>
            <w:shd w:val="clear" w:color="auto" w:fill="CCEEFF"/>
          </w:tcPr>
          <w:p>
            <w:pPr>
              <w:jc w:val="right"/>
              <w:ind w:right="1279"/>
              <w:spacing w:after="0"/>
              <w:rPr>
                <w:sz w:val="20"/>
                <w:szCs w:val="20"/>
                <w:color w:val="auto"/>
              </w:rPr>
            </w:pPr>
            <w:r>
              <w:rPr>
                <w:rFonts w:ascii="Arial" w:cs="Arial" w:eastAsia="Arial" w:hAnsi="Arial"/>
                <w:sz w:val="18"/>
                <w:szCs w:val="18"/>
                <w:b w:val="1"/>
                <w:bCs w:val="1"/>
                <w:color w:val="auto"/>
              </w:rPr>
              <w:t>1,295,393,998</w:t>
            </w:r>
          </w:p>
        </w:tc>
        <w:tc>
          <w:tcPr>
            <w:tcW w:w="1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1439"/>
              <w:spacing w:after="0"/>
              <w:rPr>
                <w:sz w:val="20"/>
                <w:szCs w:val="20"/>
                <w:color w:val="auto"/>
              </w:rPr>
            </w:pPr>
            <w:r>
              <w:rPr>
                <w:rFonts w:ascii="Arial" w:cs="Arial" w:eastAsia="Arial" w:hAnsi="Arial"/>
                <w:sz w:val="18"/>
                <w:szCs w:val="18"/>
                <w:b w:val="1"/>
                <w:bCs w:val="1"/>
                <w:color w:val="auto"/>
              </w:rPr>
              <w:t>29,830</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right"/>
              <w:ind w:right="1479"/>
              <w:spacing w:after="0"/>
              <w:rPr>
                <w:sz w:val="20"/>
                <w:szCs w:val="20"/>
                <w:color w:val="auto"/>
              </w:rPr>
            </w:pPr>
            <w:r>
              <w:rPr>
                <w:rFonts w:ascii="Arial" w:cs="Arial" w:eastAsia="Arial" w:hAnsi="Arial"/>
                <w:sz w:val="18"/>
                <w:szCs w:val="18"/>
                <w:b w:val="1"/>
                <w:bCs w:val="1"/>
                <w:color w:val="auto"/>
              </w:rPr>
              <w:t>3,693</w:t>
            </w:r>
          </w:p>
        </w:tc>
      </w:tr>
    </w:tbl>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3:</w:t>
      </w:r>
      <w:r>
        <w:rPr>
          <w:sz w:val="20"/>
          <w:szCs w:val="20"/>
          <w:color w:val="auto"/>
        </w:rPr>
        <w:tab/>
      </w:r>
      <w:r>
        <w:rPr>
          <w:rFonts w:ascii="Arial" w:cs="Arial" w:eastAsia="Arial" w:hAnsi="Arial"/>
          <w:sz w:val="16"/>
          <w:szCs w:val="16"/>
          <w:b w:val="1"/>
          <w:bCs w:val="1"/>
          <w:color w:val="auto"/>
        </w:rPr>
        <w:t>Advisory Vote on Executive Compensation.</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Company’s stockholders approved, in a non-binding advisory vote, the compensation paid to the Company’s named executive officers (the “Say-On-Pay Vote”) as disclosed in the Proxy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Votes For</w:t>
            </w:r>
          </w:p>
        </w:tc>
        <w:tc>
          <w:tcPr>
            <w:tcW w:w="2740" w:type="dxa"/>
            <w:vAlign w:val="bottom"/>
            <w:gridSpan w:val="2"/>
          </w:tcPr>
          <w:p>
            <w:pPr>
              <w:ind w:left="900"/>
              <w:spacing w:after="0"/>
              <w:rPr>
                <w:sz w:val="20"/>
                <w:szCs w:val="20"/>
                <w:color w:val="auto"/>
              </w:rPr>
            </w:pPr>
            <w:r>
              <w:rPr>
                <w:rFonts w:ascii="Arial" w:cs="Arial" w:eastAsia="Arial" w:hAnsi="Arial"/>
                <w:sz w:val="14"/>
                <w:szCs w:val="14"/>
                <w:b w:val="1"/>
                <w:bCs w:val="1"/>
                <w:color w:val="auto"/>
              </w:rPr>
              <w:t>Votes Against</w:t>
            </w:r>
          </w:p>
        </w:tc>
        <w:tc>
          <w:tcPr>
            <w:tcW w:w="2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Abstentions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10"/>
        </w:trPr>
        <w:tc>
          <w:tcPr>
            <w:tcW w:w="29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rPr>
              <w:t>1,278,118,972</w:t>
            </w:r>
          </w:p>
        </w:tc>
        <w:tc>
          <w:tcPr>
            <w:tcW w:w="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14,107,879</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b w:val="1"/>
                <w:bCs w:val="1"/>
                <w:color w:val="auto"/>
              </w:rPr>
              <w:t>168,007</w:t>
            </w:r>
          </w:p>
        </w:tc>
        <w:tc>
          <w:tcPr>
            <w:tcW w:w="16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b w:val="1"/>
                <w:bCs w:val="1"/>
                <w:color w:val="auto"/>
              </w:rPr>
              <w:t>3,032,663</w:t>
            </w:r>
          </w:p>
        </w:tc>
      </w:tr>
    </w:tbl>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Proposal 4:</w:t>
      </w:r>
      <w:r>
        <w:rPr>
          <w:sz w:val="20"/>
          <w:szCs w:val="20"/>
          <w:color w:val="auto"/>
        </w:rPr>
        <w:tab/>
      </w:r>
      <w:r>
        <w:rPr>
          <w:rFonts w:ascii="Arial" w:cs="Arial" w:eastAsia="Arial" w:hAnsi="Arial"/>
          <w:sz w:val="16"/>
          <w:szCs w:val="16"/>
          <w:b w:val="1"/>
          <w:bCs w:val="1"/>
          <w:color w:val="auto"/>
        </w:rPr>
        <w:t>Advisory Vote on Frequency of Future Advisory Votes on Executive Compensation.</w:t>
      </w:r>
    </w:p>
    <w:p>
      <w:pPr>
        <w:spacing w:after="0" w:line="12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Company’s stockholders voted, in a non-binding advisory vote, for a frequency for future advisory votes on executive compensation (the “Say-On-Frequency Vote”)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1 Year</w:t>
            </w:r>
          </w:p>
        </w:tc>
        <w:tc>
          <w:tcPr>
            <w:tcW w:w="2200" w:type="dxa"/>
            <w:vAlign w:val="bottom"/>
            <w:gridSpan w:val="2"/>
          </w:tcPr>
          <w:p>
            <w:pPr>
              <w:ind w:left="820"/>
              <w:spacing w:after="0"/>
              <w:rPr>
                <w:sz w:val="20"/>
                <w:szCs w:val="20"/>
                <w:color w:val="auto"/>
              </w:rPr>
            </w:pPr>
            <w:r>
              <w:rPr>
                <w:rFonts w:ascii="Arial" w:cs="Arial" w:eastAsia="Arial" w:hAnsi="Arial"/>
                <w:sz w:val="14"/>
                <w:szCs w:val="14"/>
                <w:b w:val="1"/>
                <w:bCs w:val="1"/>
                <w:color w:val="auto"/>
              </w:rPr>
              <w:t>2 Years</w:t>
            </w:r>
          </w:p>
        </w:tc>
        <w:tc>
          <w:tcPr>
            <w:tcW w:w="2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3 Years</w:t>
            </w:r>
          </w:p>
        </w:tc>
        <w:tc>
          <w:tcPr>
            <w:tcW w:w="1860" w:type="dxa"/>
            <w:vAlign w:val="bottom"/>
            <w:gridSpan w:val="2"/>
          </w:tcPr>
          <w:p>
            <w:pPr>
              <w:ind w:left="500"/>
              <w:spacing w:after="0"/>
              <w:rPr>
                <w:sz w:val="20"/>
                <w:szCs w:val="20"/>
                <w:color w:val="auto"/>
              </w:rPr>
            </w:pPr>
            <w:r>
              <w:rPr>
                <w:rFonts w:ascii="Arial" w:cs="Arial" w:eastAsia="Arial" w:hAnsi="Arial"/>
                <w:sz w:val="14"/>
                <w:szCs w:val="14"/>
                <w:b w:val="1"/>
                <w:bCs w:val="1"/>
                <w:color w:val="auto"/>
              </w:rPr>
              <w:t>Abstentions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52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rPr>
              <w:t>78,116,380</w:t>
            </w:r>
          </w:p>
        </w:tc>
        <w:tc>
          <w:tcPr>
            <w:tcW w:w="1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11,319</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b w:val="1"/>
                <w:bCs w:val="1"/>
                <w:color w:val="auto"/>
              </w:rPr>
              <w:t>1,210,409,628</w:t>
            </w:r>
          </w:p>
        </w:tc>
        <w:tc>
          <w:tcPr>
            <w:tcW w:w="3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3,857,531</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b w:val="1"/>
                <w:bCs w:val="1"/>
                <w:color w:val="auto"/>
              </w:rPr>
              <w:t>3,032,663</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Arial" w:cs="Arial" w:eastAsia="Arial" w:hAnsi="Arial"/>
                <w:sz w:val="18"/>
                <w:szCs w:val="18"/>
                <w:color w:val="auto"/>
              </w:rPr>
              <w:t>TRADEWEB MARKETS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17, 2021</w:t>
            </w:r>
          </w:p>
        </w:tc>
        <w:tc>
          <w:tcPr>
            <w:tcW w:w="2680" w:type="dxa"/>
            <w:vAlign w:val="bottom"/>
          </w:tcPr>
          <w:p>
            <w:pPr>
              <w:ind w:left="20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Friedman</w:t>
            </w:r>
          </w:p>
        </w:tc>
      </w:tr>
      <w:tr>
        <w:trPr>
          <w:trHeight w:val="209"/>
        </w:trPr>
        <w:tc>
          <w:tcPr>
            <w:tcW w:w="3480" w:type="dxa"/>
            <w:vAlign w:val="bottom"/>
          </w:tcPr>
          <w:p>
            <w:pPr>
              <w:spacing w:after="0"/>
              <w:rPr>
                <w:sz w:val="18"/>
                <w:szCs w:val="18"/>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Douglas Friedman</w:t>
            </w:r>
          </w:p>
        </w:tc>
      </w:tr>
      <w:tr>
        <w:trPr>
          <w:trHeight w:val="230"/>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2021-05-17T06:07:46Z</dcterms:created>
  <dcterms:modified xsi:type="dcterms:W3CDTF">2021-05-17T06:07:46Z</dcterms:modified>
</cp:coreProperties>
</file>