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06310" cy="570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06310" cy="57023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Zucker Scott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Chief Administrative Officer</w:t>
      </w:r>
    </w:p>
    <w:p>
      <w:pPr>
        <w:spacing w:after="0" w:line="406"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6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40" w:type="dxa"/>
            <w:vAlign w:val="bottom"/>
          </w:tcPr>
          <w:p>
            <w:pPr>
              <w:spacing w:after="0"/>
              <w:rPr>
                <w:sz w:val="15"/>
                <w:szCs w:val="15"/>
                <w:color w:val="auto"/>
              </w:rPr>
            </w:pPr>
          </w:p>
        </w:tc>
        <w:tc>
          <w:tcPr>
            <w:tcW w:w="3700" w:type="dxa"/>
            <w:vAlign w:val="bottom"/>
            <w:gridSpan w:val="8"/>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0" w:type="dxa"/>
            <w:vAlign w:val="bottom"/>
            <w:gridSpan w:val="7"/>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10036</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0" w:type="dxa"/>
            <w:vAlign w:val="bottom"/>
            <w:gridSpan w:val="7"/>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6"/>
          </w:tcPr>
          <w:p>
            <w:pPr>
              <w:spacing w:after="0"/>
              <w:rPr>
                <w:sz w:val="11"/>
                <w:szCs w:val="11"/>
                <w:color w:val="auto"/>
              </w:rPr>
            </w:pPr>
          </w:p>
        </w:tc>
        <w:tc>
          <w:tcPr>
            <w:tcW w:w="22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4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6"/>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5"/>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12"/>
          </w:tcPr>
          <w:p>
            <w:pPr>
              <w:ind w:left="68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Amount of</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Class 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Arial" w:cs="Arial" w:eastAsia="Arial" w:hAnsi="Arial"/>
                <w:sz w:val="27"/>
                <w:szCs w:val="27"/>
                <w:color w:val="0000FF"/>
                <w:vertAlign w:val="subscript"/>
              </w:rPr>
              <w:t>D</w:t>
            </w:r>
            <w:r>
              <w:rPr>
                <w:rFonts w:ascii="Arial" w:cs="Arial" w:eastAsia="Arial" w:hAnsi="Arial"/>
                <w:sz w:val="11"/>
                <w:szCs w:val="11"/>
                <w:color w:val="008000"/>
              </w:rPr>
              <w:t>(2)</w:t>
            </w:r>
          </w:p>
        </w:tc>
        <w:tc>
          <w:tcPr>
            <w:tcW w:w="94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660" w:type="dxa"/>
            <w:vAlign w:val="bottom"/>
          </w:tcPr>
          <w:p>
            <w:pPr>
              <w:jc w:val="center"/>
              <w:ind w:right="17"/>
              <w:spacing w:after="0"/>
              <w:rPr>
                <w:sz w:val="20"/>
                <w:szCs w:val="20"/>
                <w:color w:val="auto"/>
              </w:rPr>
            </w:pPr>
            <w:r>
              <w:rPr>
                <w:rFonts w:ascii="Arial" w:cs="Arial" w:eastAsia="Arial" w:hAnsi="Arial"/>
                <w:sz w:val="14"/>
                <w:szCs w:val="14"/>
                <w:color w:val="0000FF"/>
                <w:w w:val="85"/>
              </w:rPr>
              <w:t>Class C</w:t>
            </w:r>
          </w:p>
        </w:tc>
        <w:tc>
          <w:tcPr>
            <w:tcW w:w="40" w:type="dxa"/>
            <w:vAlign w:val="bottom"/>
          </w:tcPr>
          <w:p>
            <w:pPr>
              <w:spacing w:after="0"/>
              <w:rPr>
                <w:sz w:val="16"/>
                <w:szCs w:val="16"/>
                <w:color w:val="auto"/>
              </w:rPr>
            </w:pPr>
          </w:p>
        </w:tc>
        <w:tc>
          <w:tcPr>
            <w:tcW w:w="500" w:type="dxa"/>
            <w:vAlign w:val="bottom"/>
            <w:vMerge w:val="restart"/>
          </w:tcPr>
          <w:p>
            <w:pPr>
              <w:jc w:val="right"/>
              <w:ind w:right="26"/>
              <w:spacing w:after="0"/>
              <w:rPr>
                <w:sz w:val="20"/>
                <w:szCs w:val="20"/>
                <w:color w:val="auto"/>
              </w:rPr>
            </w:pPr>
            <w:r>
              <w:rPr>
                <w:rFonts w:ascii="Arial" w:cs="Arial" w:eastAsia="Arial" w:hAnsi="Arial"/>
                <w:sz w:val="18"/>
                <w:szCs w:val="18"/>
                <w:color w:val="0000FF"/>
                <w:w w:val="84"/>
              </w:rPr>
              <w:t>5,655</w:t>
            </w:r>
          </w:p>
        </w:tc>
        <w:tc>
          <w:tcPr>
            <w:tcW w:w="60" w:type="dxa"/>
            <w:vAlign w:val="bottom"/>
          </w:tcPr>
          <w:p>
            <w:pPr>
              <w:spacing w:after="0"/>
              <w:rPr>
                <w:sz w:val="16"/>
                <w:szCs w:val="16"/>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008000"/>
              </w:rPr>
              <w:t>(2)</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common</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11/15/2019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40" w:type="dxa"/>
            <w:vAlign w:val="bottom"/>
          </w:tcPr>
          <w:p>
            <w:pPr>
              <w:ind w:left="500"/>
              <w:spacing w:after="0" w:line="149" w:lineRule="exact"/>
              <w:rPr>
                <w:sz w:val="20"/>
                <w:szCs w:val="20"/>
                <w:color w:val="auto"/>
              </w:rPr>
            </w:pPr>
            <w:r>
              <w:rPr>
                <w:rFonts w:ascii="Arial" w:cs="Arial" w:eastAsia="Arial" w:hAnsi="Arial"/>
                <w:sz w:val="14"/>
                <w:szCs w:val="14"/>
                <w:color w:val="0000FF"/>
              </w:rPr>
              <w:t>5,655</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40" w:type="dxa"/>
            <w:vAlign w:val="bottom"/>
          </w:tcPr>
          <w:p>
            <w:pPr>
              <w:ind w:left="440"/>
              <w:spacing w:after="0" w:line="149" w:lineRule="exact"/>
              <w:rPr>
                <w:sz w:val="20"/>
                <w:szCs w:val="20"/>
                <w:color w:val="auto"/>
              </w:rPr>
            </w:pPr>
            <w:r>
              <w:rPr>
                <w:rFonts w:ascii="Arial" w:cs="Arial" w:eastAsia="Arial" w:hAnsi="Arial"/>
                <w:sz w:val="14"/>
                <w:szCs w:val="14"/>
                <w:color w:val="0000FF"/>
              </w:rPr>
              <w:t>0</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Arial" w:cs="Arial" w:eastAsia="Arial" w:hAnsi="Arial"/>
                <w:sz w:val="14"/>
                <w:szCs w:val="14"/>
                <w:color w:val="0000FF"/>
                <w:w w:val="91"/>
              </w:rPr>
              <w:t>stock</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voting</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common</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ind w:left="20"/>
              <w:spacing w:after="0" w:line="297" w:lineRule="exact"/>
              <w:rPr>
                <w:sz w:val="20"/>
                <w:szCs w:val="20"/>
                <w:color w:val="auto"/>
              </w:rPr>
            </w:pPr>
            <w:r>
              <w:rPr>
                <w:rFonts w:ascii="Arial" w:cs="Arial" w:eastAsia="Arial" w:hAnsi="Arial"/>
                <w:sz w:val="27"/>
                <w:szCs w:val="27"/>
                <w:color w:val="0000FF"/>
                <w:vertAlign w:val="subscript"/>
              </w:rPr>
              <w:t>D</w:t>
            </w:r>
            <w:r>
              <w:rPr>
                <w:rFonts w:ascii="Arial" w:cs="Arial" w:eastAsia="Arial" w:hAnsi="Arial"/>
                <w:sz w:val="11"/>
                <w:szCs w:val="11"/>
                <w:color w:val="008000"/>
              </w:rPr>
              <w:t>(2)</w:t>
            </w:r>
          </w:p>
        </w:tc>
        <w:tc>
          <w:tcPr>
            <w:tcW w:w="9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tcPr>
          <w:p>
            <w:pPr>
              <w:jc w:val="center"/>
              <w:ind w:right="17"/>
              <w:spacing w:after="0" w:line="149" w:lineRule="exact"/>
              <w:rPr>
                <w:sz w:val="20"/>
                <w:szCs w:val="20"/>
                <w:color w:val="auto"/>
              </w:rPr>
            </w:pPr>
            <w:r>
              <w:rPr>
                <w:rFonts w:ascii="Arial" w:cs="Arial" w:eastAsia="Arial" w:hAnsi="Arial"/>
                <w:sz w:val="14"/>
                <w:szCs w:val="14"/>
                <w:color w:val="0000FF"/>
                <w:w w:val="86"/>
              </w:rPr>
              <w:t>Class A</w:t>
            </w:r>
          </w:p>
        </w:tc>
        <w:tc>
          <w:tcPr>
            <w:tcW w:w="40" w:type="dxa"/>
            <w:vAlign w:val="bottom"/>
          </w:tcPr>
          <w:p>
            <w:pPr>
              <w:spacing w:after="0"/>
              <w:rPr>
                <w:sz w:val="12"/>
                <w:szCs w:val="12"/>
                <w:color w:val="auto"/>
              </w:rPr>
            </w:pPr>
          </w:p>
        </w:tc>
        <w:tc>
          <w:tcPr>
            <w:tcW w:w="500" w:type="dxa"/>
            <w:vAlign w:val="bottom"/>
            <w:vMerge w:val="restart"/>
          </w:tcPr>
          <w:p>
            <w:pPr>
              <w:jc w:val="right"/>
              <w:ind w:right="26"/>
              <w:spacing w:after="0"/>
              <w:rPr>
                <w:sz w:val="20"/>
                <w:szCs w:val="20"/>
                <w:color w:val="auto"/>
              </w:rPr>
            </w:pPr>
            <w:r>
              <w:rPr>
                <w:rFonts w:ascii="Arial" w:cs="Arial" w:eastAsia="Arial" w:hAnsi="Arial"/>
                <w:sz w:val="18"/>
                <w:szCs w:val="18"/>
                <w:color w:val="0000FF"/>
                <w:w w:val="84"/>
              </w:rPr>
              <w:t>5,655</w:t>
            </w:r>
          </w:p>
        </w:tc>
        <w:tc>
          <w:tcPr>
            <w:tcW w:w="60" w:type="dxa"/>
            <w:vAlign w:val="bottom"/>
          </w:tcPr>
          <w:p>
            <w:pPr>
              <w:spacing w:after="0"/>
              <w:rPr>
                <w:sz w:val="12"/>
                <w:szCs w:val="12"/>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008000"/>
              </w:rPr>
              <w:t>(2)</w:t>
            </w: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units of</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11/15/2019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40" w:type="dxa"/>
            <w:vAlign w:val="bottom"/>
          </w:tcPr>
          <w:p>
            <w:pPr>
              <w:ind w:left="500"/>
              <w:spacing w:after="0" w:line="149" w:lineRule="exact"/>
              <w:rPr>
                <w:sz w:val="20"/>
                <w:szCs w:val="20"/>
                <w:color w:val="auto"/>
              </w:rPr>
            </w:pPr>
            <w:r>
              <w:rPr>
                <w:rFonts w:ascii="Arial" w:cs="Arial" w:eastAsia="Arial" w:hAnsi="Arial"/>
                <w:sz w:val="14"/>
                <w:szCs w:val="14"/>
                <w:color w:val="0000FF"/>
              </w:rPr>
              <w:t>5,655</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40" w:type="dxa"/>
            <w:vAlign w:val="bottom"/>
          </w:tcPr>
          <w:p>
            <w:pPr>
              <w:ind w:left="440"/>
              <w:spacing w:after="0" w:line="149" w:lineRule="exact"/>
              <w:rPr>
                <w:sz w:val="20"/>
                <w:szCs w:val="20"/>
                <w:color w:val="auto"/>
              </w:rPr>
            </w:pPr>
            <w:r>
              <w:rPr>
                <w:rFonts w:ascii="Arial" w:cs="Arial" w:eastAsia="Arial" w:hAnsi="Arial"/>
                <w:sz w:val="14"/>
                <w:szCs w:val="14"/>
                <w:color w:val="0000FF"/>
              </w:rPr>
              <w:t>0</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Tradeweb</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jc w:val="center"/>
              <w:ind w:right="17"/>
              <w:spacing w:after="0"/>
              <w:rPr>
                <w:sz w:val="20"/>
                <w:szCs w:val="20"/>
                <w:color w:val="auto"/>
              </w:rPr>
            </w:pPr>
            <w:r>
              <w:rPr>
                <w:rFonts w:ascii="Arial" w:cs="Arial" w:eastAsia="Arial" w:hAnsi="Arial"/>
                <w:sz w:val="14"/>
                <w:szCs w:val="14"/>
                <w:color w:val="0000FF"/>
                <w:w w:val="91"/>
              </w:rPr>
              <w:t>stock</w:t>
            </w: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Markets</w:t>
      </w:r>
    </w:p>
    <w:p>
      <w:pPr>
        <w:ind w:left="80"/>
        <w:spacing w:after="0"/>
        <w:rPr>
          <w:sz w:val="20"/>
          <w:szCs w:val="20"/>
          <w:color w:val="auto"/>
        </w:rPr>
      </w:pPr>
      <w:r>
        <w:rPr>
          <w:rFonts w:ascii="Arial" w:cs="Arial" w:eastAsia="Arial" w:hAnsi="Arial"/>
          <w:sz w:val="14"/>
          <w:szCs w:val="14"/>
          <w:color w:val="0000FF"/>
        </w:rPr>
        <w:t>LLC</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of Class D common stock of the issuer ("Class D Common Stock") have ten votes per share but no economic rights (including rights to dividends or, other than their par value, any distribution upon liquidation) and are issued in an equal amount to the number of non-voting common units of Tradeweb Markets LLC, a subsidiary of the issuer ("LLC Units"), held. Shares of Class D Common Stock are exchangeable for shares of the issuer's Class C common stock ("Class C Common Stock"), which have one vote per share but no economic rights (other than their par value upon liquidation), on a one-for-one basis at the discretion of the holder. These exchange rights do not expire.</w:t>
      </w:r>
    </w:p>
    <w:p>
      <w:pPr>
        <w:spacing w:after="0" w:line="3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sold to the issuer the number of LLC Units set forth above at a price per LLC Unit of $40.74, which represents the $42.00 price at which shares of Class A common stock ("Class A Common Stock") of the issuer were sold in a public offering of the Class A Common Stock, less the underwriters' discount of $1.26 per share. The corresponding number of shares of Class D Common Stock along with the exchange rights thereunder were canceled in their entirety in connection with the sale of the LLC Units.</w:t>
      </w:r>
    </w:p>
    <w:p>
      <w:pPr>
        <w:spacing w:after="0" w:line="30" w:lineRule="exact"/>
        <w:rPr>
          <w:rFonts w:ascii="Arial" w:cs="Arial" w:eastAsia="Arial" w:hAnsi="Arial"/>
          <w:sz w:val="14"/>
          <w:szCs w:val="14"/>
          <w:color w:val="008000"/>
        </w:rPr>
      </w:pPr>
    </w:p>
    <w:p>
      <w:pPr>
        <w:ind w:left="40" w:right="2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Tradeweb Markets LLC, LLC Units may be exchanged for shares of Class A Common Stock or Class B common stock of the issuer, in each case, on a one-for-one basis at the discretion of the holder. Upon such an exchange, a corresponding number of shares of Class D Common Stock (or shares of Class C Common Stock, in the event the reporting person exchanged their shares of Class D Common Stock as described in footnote 1 to this Form 4) will be canceled. These exchange rights do not expire.</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Scott Zucker</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11/15/2019</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2019-12-24T08:33:10Z</dcterms:created>
  <dcterms:modified xsi:type="dcterms:W3CDTF">2019-12-24T08:33:10Z</dcterms:modified>
</cp:coreProperties>
</file>