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45,465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72,275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21,934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50,341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258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50,599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9"/>
              </w:rPr>
              <w:t>6,999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43,600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(6)</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77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43,677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 stock units ("PSUs") in respect of the issuer's Class A common stock ("Class A Common Stock") that were granted to the reporting person on March 15, 2023, subject to the achievement of certain performance goals in respect of calendar years 2023 through 2025. The level of achievement of those performance goals was determined on January 1,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2,516 unvested restricted stock units ("RSUs") in respect of the Class A Common Stock that are scheduled to vest on March 15, 2026, (ii) 3,981 unvested RSUs in respect of Class A Common Stock that are scheduled to vest in equal installments on March 15, 2026 and March 15, 2027, and (iii) 3,631 unvested RSUs in respect of Class A Common Stock that are scheduled to vest in equal installments on March 17, 2026, March 17, 2027 and March 17, 2028, in each case, subject to the reporting person's continued employment through the applicable vesting date. This amount also includes the vested PSUs described in footnote #1 above, which will settle in shares of Class A Common Stock within 15 days of the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the PSUs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PSUs, and settled in shares of Class A Common Stock in connection with the settlement of the PSUs to which they relate.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performance-based restricted stock units ("PRSUs") in respect of the issuer's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DERs. The DERs were granted in connection with previously awarded PRSUs, and settled in shares of Class A Common Stock in connection with the settlement of the PRSUs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01/05/2026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2026-01-05T20:00:53Z</dcterms:created>
  <dcterms:modified xsi:type="dcterms:W3CDTF">2026-01-05T20:00:53Z</dcterms:modified>
</cp:coreProperties>
</file>