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334645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360045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Number: 001-38860</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00" w:type="dxa"/>
            <w:vAlign w:val="bottom"/>
            <w:gridSpan w:val="2"/>
          </w:tcPr>
          <w:p>
            <w:pPr>
              <w:jc w:val="center"/>
              <w:ind w:left="14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00" w:type="dxa"/>
            <w:vAlign w:val="bottom"/>
          </w:tcPr>
          <w:p>
            <w:pPr>
              <w:spacing w:after="0"/>
              <w:rPr>
                <w:sz w:val="18"/>
                <w:szCs w:val="18"/>
                <w:color w:val="auto"/>
              </w:rPr>
            </w:pPr>
          </w:p>
        </w:tc>
        <w:tc>
          <w:tcPr>
            <w:tcW w:w="4240" w:type="dxa"/>
            <w:vAlign w:val="bottom"/>
            <w:gridSpan w:val="3"/>
          </w:tcPr>
          <w:p>
            <w:pPr>
              <w:jc w:val="right"/>
              <w:ind w:right="2125"/>
              <w:spacing w:after="0"/>
              <w:rPr>
                <w:sz w:val="20"/>
                <w:szCs w:val="20"/>
                <w:color w:val="auto"/>
              </w:rPr>
            </w:pPr>
            <w:r>
              <w:rPr>
                <w:rFonts w:ascii="Times New Roman" w:cs="Times New Roman" w:eastAsia="Times New Roman" w:hAnsi="Times New Roman"/>
                <w:sz w:val="16"/>
                <w:szCs w:val="16"/>
                <w:b w:val="1"/>
                <w:bCs w:val="1"/>
                <w:color w:val="auto"/>
              </w:rPr>
              <w:t>83-2456358</w:t>
            </w:r>
          </w:p>
        </w:tc>
      </w:tr>
      <w:tr>
        <w:trPr>
          <w:trHeight w:val="216"/>
        </w:trPr>
        <w:tc>
          <w:tcPr>
            <w:tcW w:w="6600" w:type="dxa"/>
            <w:vAlign w:val="bottom"/>
            <w:gridSpan w:val="3"/>
          </w:tcPr>
          <w:p>
            <w:pPr>
              <w:jc w:val="center"/>
              <w:ind w:right="1284"/>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4240" w:type="dxa"/>
            <w:vAlign w:val="bottom"/>
            <w:gridSpan w:val="3"/>
          </w:tcPr>
          <w:p>
            <w:pPr>
              <w:jc w:val="center"/>
              <w:ind w:right="84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5"/>
        </w:trPr>
        <w:tc>
          <w:tcPr>
            <w:tcW w:w="3700" w:type="dxa"/>
            <w:vAlign w:val="bottom"/>
            <w:gridSpan w:val="2"/>
          </w:tcPr>
          <w:p>
            <w:pPr>
              <w:jc w:val="center"/>
              <w:ind w:left="1462"/>
              <w:spacing w:after="0"/>
              <w:rPr>
                <w:sz w:val="20"/>
                <w:szCs w:val="20"/>
                <w:color w:val="auto"/>
              </w:rPr>
            </w:pPr>
            <w:r>
              <w:rPr>
                <w:rFonts w:ascii="Times New Roman" w:cs="Times New Roman" w:eastAsia="Times New Roman" w:hAnsi="Times New Roman"/>
                <w:sz w:val="16"/>
                <w:szCs w:val="16"/>
                <w:b w:val="1"/>
                <w:bCs w:val="1"/>
                <w:color w:val="auto"/>
              </w:rPr>
              <w:t>1177 Avenue of the Americas</w:t>
            </w:r>
          </w:p>
        </w:tc>
        <w:tc>
          <w:tcPr>
            <w:tcW w:w="2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6"/>
        </w:trPr>
        <w:tc>
          <w:tcPr>
            <w:tcW w:w="3700" w:type="dxa"/>
            <w:vAlign w:val="bottom"/>
            <w:gridSpan w:val="2"/>
          </w:tcPr>
          <w:p>
            <w:pPr>
              <w:jc w:val="center"/>
              <w:ind w:left="1462"/>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900" w:type="dxa"/>
            <w:vAlign w:val="bottom"/>
          </w:tcPr>
          <w:p>
            <w:pPr>
              <w:spacing w:after="0"/>
              <w:rPr>
                <w:sz w:val="19"/>
                <w:szCs w:val="19"/>
                <w:color w:val="auto"/>
              </w:rPr>
            </w:pPr>
          </w:p>
        </w:tc>
        <w:tc>
          <w:tcPr>
            <w:tcW w:w="4240" w:type="dxa"/>
            <w:vAlign w:val="bottom"/>
            <w:gridSpan w:val="3"/>
          </w:tcPr>
          <w:p>
            <w:pPr>
              <w:jc w:val="right"/>
              <w:ind w:right="2305"/>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216"/>
        </w:trPr>
        <w:tc>
          <w:tcPr>
            <w:tcW w:w="6600" w:type="dxa"/>
            <w:vAlign w:val="bottom"/>
            <w:gridSpan w:val="3"/>
          </w:tcPr>
          <w:p>
            <w:pPr>
              <w:jc w:val="center"/>
              <w:ind w:right="128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tcPr>
          <w:p>
            <w:pPr>
              <w:jc w:val="center"/>
              <w:ind w:right="1645"/>
              <w:spacing w:after="0"/>
              <w:rPr>
                <w:sz w:val="20"/>
                <w:szCs w:val="20"/>
                <w:color w:val="auto"/>
              </w:rPr>
            </w:pPr>
            <w:r>
              <w:rPr>
                <w:rFonts w:ascii="Times New Roman" w:cs="Times New Roman" w:eastAsia="Times New Roman" w:hAnsi="Times New Roman"/>
                <w:sz w:val="16"/>
                <w:szCs w:val="16"/>
                <w:color w:val="auto"/>
              </w:rPr>
              <w:t>(Zip Code)</w:t>
            </w:r>
          </w:p>
        </w:tc>
      </w:tr>
      <w:tr>
        <w:trPr>
          <w:trHeight w:val="311"/>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jc w:val="center"/>
              <w:ind w:left="884"/>
              <w:spacing w:after="0"/>
              <w:rPr>
                <w:sz w:val="20"/>
                <w:szCs w:val="20"/>
                <w:color w:val="auto"/>
              </w:rPr>
            </w:pPr>
            <w:r>
              <w:rPr>
                <w:rFonts w:ascii="Times New Roman" w:cs="Times New Roman" w:eastAsia="Times New Roman" w:hAnsi="Times New Roman"/>
                <w:sz w:val="16"/>
                <w:szCs w:val="16"/>
                <w:b w:val="1"/>
                <w:bCs w:val="1"/>
                <w:color w:val="auto"/>
              </w:rPr>
              <w:t>(646) 430-6000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1"/>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gridSpan w:val="4"/>
          </w:tcPr>
          <w:p>
            <w:pPr>
              <w:jc w:val="center"/>
              <w:ind w:right="322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190"/>
        </w:trPr>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140" w:type="dxa"/>
            <w:vAlign w:val="bottom"/>
            <w:gridSpan w:val="4"/>
          </w:tcPr>
          <w:p>
            <w:pPr>
              <w:jc w:val="center"/>
              <w:ind w:right="322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43"/>
        </w:trPr>
        <w:tc>
          <w:tcPr>
            <w:tcW w:w="3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00" w:type="dxa"/>
            <w:vAlign w:val="bottom"/>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4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r>
      <w:tr>
        <w:trPr>
          <w:trHeight w:val="186"/>
        </w:trPr>
        <w:tc>
          <w:tcPr>
            <w:tcW w:w="3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2900" w:type="dxa"/>
            <w:vAlign w:val="bottom"/>
          </w:tcPr>
          <w:p>
            <w:pPr>
              <w:jc w:val="center"/>
              <w:ind w:left="444"/>
              <w:spacing w:after="0"/>
              <w:rPr>
                <w:sz w:val="20"/>
                <w:szCs w:val="20"/>
                <w:color w:val="auto"/>
              </w:rPr>
            </w:pPr>
            <w:r>
              <w:rPr>
                <w:rFonts w:ascii="Times New Roman" w:cs="Times New Roman" w:eastAsia="Times New Roman" w:hAnsi="Times New Roman"/>
                <w:sz w:val="14"/>
                <w:szCs w:val="14"/>
                <w:color w:val="auto"/>
              </w:rPr>
              <w:t>TW</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w:t>
      </w:r>
      <w:r>
        <w:rPr>
          <w:rFonts w:ascii="Times New Roman" w:cs="Times New Roman" w:eastAsia="Times New Roman" w:hAnsi="Times New Roman"/>
          <w:sz w:val="13"/>
          <w:szCs w:val="13"/>
          <w:color w:val="auto"/>
        </w:rPr>
        <w:t>None</w:t>
      </w:r>
    </w:p>
    <w:p>
      <w:pPr>
        <w:spacing w:after="0" w:line="29" w:lineRule="exact"/>
        <w:rPr>
          <w:sz w:val="24"/>
          <w:szCs w:val="24"/>
          <w:color w:val="auto"/>
        </w:rPr>
      </w:pPr>
    </w:p>
    <w:p>
      <w:pPr>
        <w:ind w:right="3920"/>
        <w:spacing w:after="0" w:line="18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ind w:right="6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20"/>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9" w:right="459" w:bottom="1440" w:gutter="0" w:footer="0" w:header="0"/>
        </w:sectPr>
      </w:pP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6">
            <w:col w:w="2260" w:space="720"/>
            <w:col w:w="120" w:space="660"/>
            <w:col w:w="2260" w:space="720"/>
            <w:col w:w="120" w:space="640"/>
            <w:col w:w="2260" w:space="720"/>
            <w:col w:w="640"/>
          </w:cols>
          <w:pgMar w:left="320" w:top="229" w:right="45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ectPr>
          <w:pgSz w:w="11900" w:h="16838" w:orient="portrait"/>
          <w:cols w:equalWidth="0" w:num="4">
            <w:col w:w="2260" w:space="720"/>
            <w:col w:w="120" w:space="660"/>
            <w:col w:w="2260" w:space="720"/>
            <w:col w:w="4380"/>
          </w:cols>
          <w:pgMar w:left="320" w:top="229" w:right="459" w:bottom="1440" w:gutter="0" w:footer="0" w:header="0"/>
          <w:type w:val="continuous"/>
        </w:sectPr>
      </w:pPr>
    </w:p>
    <w:p>
      <w:pPr>
        <w:ind w:right="40"/>
        <w:spacing w:after="0" w:line="176"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3"/>
          <w:szCs w:val="13"/>
          <w:color w:val="auto"/>
        </w:rPr>
        <w:t>☐</w:t>
      </w:r>
    </w:p>
    <w:p>
      <w:pPr>
        <w:ind w:right="10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170"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1" w:lineRule="exact"/>
        <w:rPr>
          <w:sz w:val="24"/>
          <w:szCs w:val="24"/>
          <w:color w:val="auto"/>
        </w:rPr>
      </w:pPr>
    </w:p>
    <w:p>
      <w:pPr>
        <w:ind w:right="260"/>
        <w:spacing w:after="0" w:line="277"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Class A common stock on the NASDAQ Global Select Market on June 30, 2023, was approximately $16.1 billion.</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3"/>
                <w:szCs w:val="13"/>
                <w:color w:val="auto"/>
              </w:rPr>
              <w:t>Class of Stock</w:t>
            </w:r>
          </w:p>
        </w:tc>
        <w:tc>
          <w:tcPr>
            <w:tcW w:w="260" w:type="dxa"/>
            <w:vAlign w:val="bottom"/>
          </w:tcPr>
          <w:p>
            <w:pPr>
              <w:spacing w:after="0"/>
              <w:rPr>
                <w:sz w:val="15"/>
                <w:szCs w:val="15"/>
                <w:color w:val="auto"/>
              </w:rPr>
            </w:pPr>
          </w:p>
        </w:tc>
        <w:tc>
          <w:tcPr>
            <w:tcW w:w="5320" w:type="dxa"/>
            <w:vAlign w:val="bottom"/>
            <w:tcBorders>
              <w:bottom w:val="single" w:sz="8" w:color="auto"/>
            </w:tcBorders>
          </w:tcPr>
          <w:p>
            <w:pPr>
              <w:jc w:val="right"/>
              <w:ind w:right="1453"/>
              <w:spacing w:after="0"/>
              <w:rPr>
                <w:sz w:val="20"/>
                <w:szCs w:val="20"/>
                <w:color w:val="auto"/>
              </w:rPr>
            </w:pPr>
            <w:r>
              <w:rPr>
                <w:rFonts w:ascii="Times New Roman" w:cs="Times New Roman" w:eastAsia="Times New Roman" w:hAnsi="Times New Roman"/>
                <w:sz w:val="13"/>
                <w:szCs w:val="13"/>
                <w:color w:val="auto"/>
              </w:rPr>
              <w:t>Shares Outstanding as of February 2, 2024</w:t>
            </w:r>
          </w:p>
        </w:tc>
      </w:tr>
      <w:tr>
        <w:trPr>
          <w:trHeight w:val="17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5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115,738,944</w:t>
            </w:r>
          </w:p>
        </w:tc>
      </w:tr>
      <w:tr>
        <w:trPr>
          <w:trHeight w:val="18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B Common Stock, par value $0.00001 per share</w:t>
            </w:r>
          </w:p>
        </w:tc>
        <w:tc>
          <w:tcPr>
            <w:tcW w:w="5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96,933,192</w:t>
            </w:r>
          </w:p>
        </w:tc>
      </w:tr>
      <w:tr>
        <w:trPr>
          <w:trHeight w:val="18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C Common Stock, par value $0.00001 per share</w:t>
            </w:r>
          </w:p>
        </w:tc>
        <w:tc>
          <w:tcPr>
            <w:tcW w:w="5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18,000,000</w:t>
            </w:r>
          </w:p>
        </w:tc>
      </w:tr>
      <w:tr>
        <w:trPr>
          <w:trHeight w:val="18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D Common Stock, par value $0.00001 per share</w:t>
            </w:r>
          </w:p>
        </w:tc>
        <w:tc>
          <w:tcPr>
            <w:tcW w:w="5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5,077,973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111760</wp:posOffset>
            </wp:positionV>
            <wp:extent cx="6892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137160</wp:posOffset>
            </wp:positionV>
            <wp:extent cx="6892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3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6883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1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Part III of this Annual Report on Form 10-K incorporates by reference portions of the Registrant’s Proxy Statement for its 2024 Annual Meeting of Stockholders.</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The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59055</wp:posOffset>
            </wp:positionV>
            <wp:extent cx="68922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TRADEWEB MARKETS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gridSpan w:val="1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FORM 10-K ANNUAL REPORT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3051F2"/>
                <w:w w:val="99"/>
              </w:rPr>
              <w:t>INTRODUCTORY NOTE</w:t>
            </w:r>
          </w:p>
        </w:tc>
        <w:tc>
          <w:tcPr>
            <w:tcW w:w="7860" w:type="dxa"/>
            <w:vAlign w:val="bottom"/>
            <w:gridSpan w:val="26"/>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3051F2"/>
            </w:tcBorders>
            <w:gridSpan w:val="10"/>
            <w:vMerge w:val="continue"/>
          </w:tcPr>
          <w:p>
            <w:pPr>
              <w:spacing w:after="0"/>
              <w:rPr>
                <w:sz w:val="15"/>
                <w:szCs w:val="15"/>
                <w:color w:val="auto"/>
              </w:rPr>
            </w:pPr>
          </w:p>
        </w:tc>
        <w:tc>
          <w:tcPr>
            <w:tcW w:w="7860" w:type="dxa"/>
            <w:vAlign w:val="bottom"/>
            <w:gridSpan w:val="26"/>
            <w:vMerge w:val="continue"/>
          </w:tcPr>
          <w:p>
            <w:pPr>
              <w:spacing w:after="0"/>
              <w:rPr>
                <w:sz w:val="15"/>
                <w:szCs w:val="15"/>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3051F2"/>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36"/>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shd w:val="clear" w:color="auto" w:fill="3051F2"/>
          </w:tcPr>
          <w:p>
            <w:pPr>
              <w:spacing w:after="0" w:line="20" w:lineRule="exact"/>
              <w:rPr>
                <w:sz w:val="1"/>
                <w:szCs w:val="1"/>
                <w:color w:val="auto"/>
              </w:rPr>
            </w:pPr>
          </w:p>
        </w:tc>
        <w:tc>
          <w:tcPr>
            <w:tcW w:w="1020" w:type="dxa"/>
            <w:vAlign w:val="bottom"/>
            <w:gridSpan w:val="3"/>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CAUTIONARY NOTE REGARDING FORWARD-LOOKING STATEMENTS</w:t>
            </w:r>
          </w:p>
        </w:tc>
        <w:tc>
          <w:tcPr>
            <w:tcW w:w="3980" w:type="dxa"/>
            <w:vAlign w:val="bottom"/>
            <w:gridSpan w:val="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4"/>
          </w:tcPr>
          <w:p>
            <w:pPr>
              <w:jc w:val="center"/>
              <w:ind w:right="4620"/>
              <w:spacing w:after="0"/>
              <w:rPr>
                <w:sz w:val="20"/>
                <w:szCs w:val="20"/>
                <w:color w:val="auto"/>
              </w:rPr>
            </w:pPr>
            <w:r>
              <w:rPr>
                <w:rFonts w:ascii="Times New Roman" w:cs="Times New Roman" w:eastAsia="Times New Roman" w:hAnsi="Times New Roman"/>
                <w:sz w:val="18"/>
                <w:szCs w:val="18"/>
                <w:color w:val="3051F2"/>
                <w:w w:val="95"/>
              </w:rPr>
              <w:t>PART I</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480" w:type="dxa"/>
            <w:vAlign w:val="bottom"/>
            <w:gridSpan w:val="3"/>
          </w:tcPr>
          <w:p>
            <w:pPr>
              <w:spacing w:after="0"/>
              <w:rPr>
                <w:sz w:val="21"/>
                <w:szCs w:val="21"/>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Business</w:t>
            </w:r>
          </w:p>
        </w:tc>
        <w:tc>
          <w:tcPr>
            <w:tcW w:w="2940" w:type="dxa"/>
            <w:vAlign w:val="bottom"/>
            <w:gridSpan w:val="16"/>
          </w:tcPr>
          <w:p>
            <w:pPr>
              <w:spacing w:after="0"/>
              <w:rPr>
                <w:sz w:val="21"/>
                <w:szCs w:val="21"/>
                <w:color w:val="auto"/>
              </w:rPr>
            </w:pPr>
          </w:p>
        </w:tc>
        <w:tc>
          <w:tcPr>
            <w:tcW w:w="580" w:type="dxa"/>
            <w:vAlign w:val="bottom"/>
            <w:tcBorders>
              <w:top w:val="single" w:sz="8" w:color="3051F2"/>
            </w:tcBorders>
            <w:gridSpan w:val="2"/>
          </w:tcPr>
          <w:p>
            <w:pPr>
              <w:spacing w:after="0"/>
              <w:rPr>
                <w:sz w:val="21"/>
                <w:szCs w:val="21"/>
                <w:color w:val="auto"/>
              </w:rPr>
            </w:pPr>
          </w:p>
        </w:tc>
        <w:tc>
          <w:tcPr>
            <w:tcW w:w="4620" w:type="dxa"/>
            <w:vAlign w:val="bottom"/>
            <w:gridSpan w:val="11"/>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9"/>
              </w:rPr>
              <w:t>Item 1A.</w:t>
            </w:r>
          </w:p>
        </w:tc>
        <w:tc>
          <w:tcPr>
            <w:tcW w:w="380" w:type="dxa"/>
            <w:vAlign w:val="bottom"/>
          </w:tcPr>
          <w:p>
            <w:pPr>
              <w:spacing w:after="0"/>
              <w:rPr>
                <w:sz w:val="21"/>
                <w:szCs w:val="21"/>
                <w:color w:val="auto"/>
              </w:rPr>
            </w:pPr>
          </w:p>
        </w:tc>
        <w:tc>
          <w:tcPr>
            <w:tcW w:w="9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7"/>
              </w:rPr>
              <w:t>Risk Factors</w:t>
            </w:r>
          </w:p>
        </w:tc>
        <w:tc>
          <w:tcPr>
            <w:tcW w:w="7880" w:type="dxa"/>
            <w:vAlign w:val="bottom"/>
            <w:gridSpan w:val="2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1B.</w:t>
            </w:r>
          </w:p>
        </w:tc>
        <w:tc>
          <w:tcPr>
            <w:tcW w:w="440" w:type="dxa"/>
            <w:vAlign w:val="bottom"/>
            <w:gridSpan w:val="2"/>
          </w:tcPr>
          <w:p>
            <w:pPr>
              <w:spacing w:after="0"/>
              <w:rPr>
                <w:sz w:val="21"/>
                <w:szCs w:val="21"/>
                <w:color w:val="auto"/>
              </w:rPr>
            </w:pPr>
          </w:p>
        </w:tc>
        <w:tc>
          <w:tcPr>
            <w:tcW w:w="204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8"/>
              </w:rPr>
              <w:t>Unresolved Staff Comments</w:t>
            </w:r>
          </w:p>
        </w:tc>
        <w:tc>
          <w:tcPr>
            <w:tcW w:w="6740" w:type="dxa"/>
            <w:vAlign w:val="bottom"/>
            <w:gridSpan w:val="2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1C</w:t>
            </w:r>
            <w:r>
              <w:rPr>
                <w:rFonts w:ascii="Times New Roman" w:cs="Times New Roman" w:eastAsia="Times New Roman" w:hAnsi="Times New Roman"/>
                <w:sz w:val="18"/>
                <w:szCs w:val="18"/>
                <w:color w:val="3051F2"/>
              </w:rPr>
              <w:t>.</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Cybersecurity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80" w:type="dxa"/>
            <w:vAlign w:val="bottom"/>
            <w:tcBorders>
              <w:top w:val="single" w:sz="8" w:color="0000FF"/>
            </w:tcBorders>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rPr>
              <w:t>Properties</w:t>
            </w:r>
          </w:p>
        </w:tc>
        <w:tc>
          <w:tcPr>
            <w:tcW w:w="7780" w:type="dxa"/>
            <w:vAlign w:val="bottom"/>
            <w:gridSpan w:val="2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4"/>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Mine Safety Disclosures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3051F2"/>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3051F2"/>
                <w:w w:val="95"/>
              </w:rPr>
              <w:t>PART II</w:t>
            </w:r>
          </w:p>
        </w:tc>
        <w:tc>
          <w:tcPr>
            <w:tcW w:w="46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520" w:type="dxa"/>
            <w:vAlign w:val="bottom"/>
            <w:gridSpan w:val="4"/>
          </w:tcPr>
          <w:p>
            <w:pPr>
              <w:spacing w:after="0"/>
              <w:rPr>
                <w:sz w:val="21"/>
                <w:szCs w:val="21"/>
                <w:color w:val="auto"/>
              </w:rPr>
            </w:pPr>
          </w:p>
        </w:tc>
        <w:tc>
          <w:tcPr>
            <w:tcW w:w="8060" w:type="dxa"/>
            <w:vAlign w:val="bottom"/>
            <w:tcBorders>
              <w:top w:val="single" w:sz="8" w:color="3051F2"/>
            </w:tcBorders>
            <w:gridSpan w:val="30"/>
          </w:tcPr>
          <w:p>
            <w:pPr>
              <w:spacing w:after="0"/>
              <w:rPr>
                <w:sz w:val="20"/>
                <w:szCs w:val="20"/>
                <w:color w:val="auto"/>
              </w:rPr>
            </w:pPr>
            <w:r>
              <w:rPr>
                <w:rFonts w:ascii="Times New Roman" w:cs="Times New Roman" w:eastAsia="Times New Roman" w:hAnsi="Times New Roman"/>
                <w:sz w:val="18"/>
                <w:szCs w:val="18"/>
                <w:color w:val="3051F2"/>
              </w:rPr>
              <w:t>Reserved</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7.</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40" w:type="dxa"/>
            <w:vAlign w:val="bottom"/>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7A.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Quantitative and Qualitative Disclosures About Market Risk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8.</w:t>
            </w:r>
          </w:p>
        </w:tc>
        <w:tc>
          <w:tcPr>
            <w:tcW w:w="140" w:type="dxa"/>
            <w:vAlign w:val="bottom"/>
            <w:tcBorders>
              <w:top w:val="single" w:sz="8" w:color="3051F2"/>
            </w:tcBorders>
            <w:gridSpan w:val="3"/>
          </w:tcPr>
          <w:p>
            <w:pPr>
              <w:spacing w:after="0"/>
              <w:rPr>
                <w:sz w:val="21"/>
                <w:szCs w:val="21"/>
                <w:color w:val="auto"/>
              </w:rPr>
            </w:pPr>
          </w:p>
        </w:tc>
        <w:tc>
          <w:tcPr>
            <w:tcW w:w="380" w:type="dxa"/>
            <w:vAlign w:val="bottom"/>
          </w:tcPr>
          <w:p>
            <w:pPr>
              <w:spacing w:after="0"/>
              <w:rPr>
                <w:sz w:val="21"/>
                <w:szCs w:val="21"/>
                <w:color w:val="auto"/>
              </w:rPr>
            </w:pPr>
          </w:p>
        </w:tc>
        <w:tc>
          <w:tcPr>
            <w:tcW w:w="3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Financial Statements and Supplementary Data</w:t>
            </w:r>
          </w:p>
        </w:tc>
        <w:tc>
          <w:tcPr>
            <w:tcW w:w="1020" w:type="dxa"/>
            <w:vAlign w:val="bottom"/>
            <w:tcBorders>
              <w:top w:val="single" w:sz="8" w:color="3051F2"/>
            </w:tcBorders>
            <w:gridSpan w:val="8"/>
          </w:tcPr>
          <w:p>
            <w:pPr>
              <w:spacing w:after="0"/>
              <w:rPr>
                <w:sz w:val="21"/>
                <w:szCs w:val="21"/>
                <w:color w:val="auto"/>
              </w:rPr>
            </w:pPr>
          </w:p>
        </w:tc>
        <w:tc>
          <w:tcPr>
            <w:tcW w:w="4440" w:type="dxa"/>
            <w:vAlign w:val="bottom"/>
            <w:gridSpan w:val="8"/>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9.</w:t>
            </w:r>
          </w:p>
        </w:tc>
        <w:tc>
          <w:tcPr>
            <w:tcW w:w="520" w:type="dxa"/>
            <w:vAlign w:val="bottom"/>
            <w:gridSpan w:val="4"/>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4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560" w:type="dxa"/>
            <w:vAlign w:val="bottom"/>
            <w:gridSpan w:val="3"/>
            <w:shd w:val="clear" w:color="auto" w:fill="3051F2"/>
          </w:tcPr>
          <w:p>
            <w:pPr>
              <w:spacing w:after="0" w:line="20" w:lineRule="exact"/>
              <w:rPr>
                <w:sz w:val="1"/>
                <w:szCs w:val="1"/>
                <w:color w:val="auto"/>
              </w:rPr>
            </w:pPr>
          </w:p>
        </w:tc>
        <w:tc>
          <w:tcPr>
            <w:tcW w:w="140" w:type="dxa"/>
            <w:vAlign w:val="bottom"/>
            <w:gridSpan w:val="3"/>
            <w:shd w:val="clear" w:color="auto" w:fill="3051F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9"/>
              </w:rPr>
              <w:t>Item 9A.</w:t>
            </w:r>
          </w:p>
        </w:tc>
        <w:tc>
          <w:tcPr>
            <w:tcW w:w="380" w:type="dxa"/>
            <w:vAlign w:val="bottom"/>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88"/>
              </w:rPr>
              <w:t>Item 9B.</w:t>
            </w:r>
          </w:p>
        </w:tc>
        <w:tc>
          <w:tcPr>
            <w:tcW w:w="60" w:type="dxa"/>
            <w:vAlign w:val="bottom"/>
            <w:tcBorders>
              <w:top w:val="single" w:sz="8" w:color="3051F2"/>
            </w:tcBorders>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rPr>
              <w:t>Other Information</w:t>
            </w:r>
          </w:p>
        </w:tc>
        <w:tc>
          <w:tcPr>
            <w:tcW w:w="7020" w:type="dxa"/>
            <w:vAlign w:val="bottom"/>
            <w:gridSpan w:val="2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tcBorders>
              <w:left w:val="single" w:sz="8" w:color="3051F2"/>
            </w:tcBorders>
            <w:gridSpan w:val="2"/>
          </w:tcPr>
          <w:p>
            <w:pPr>
              <w:spacing w:after="0" w:line="20" w:lineRule="exact"/>
              <w:rPr>
                <w:sz w:val="1"/>
                <w:szCs w:val="1"/>
                <w:color w:val="auto"/>
              </w:rPr>
            </w:pPr>
          </w:p>
        </w:tc>
        <w:tc>
          <w:tcPr>
            <w:tcW w:w="1300" w:type="dxa"/>
            <w:vAlign w:val="bottom"/>
            <w:gridSpan w:val="7"/>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w w:val="88"/>
              </w:rPr>
              <w:t>Item 9C.</w:t>
            </w:r>
          </w:p>
        </w:tc>
        <w:tc>
          <w:tcPr>
            <w:tcW w:w="440" w:type="dxa"/>
            <w:vAlign w:val="bottom"/>
            <w:gridSpan w:val="2"/>
          </w:tcPr>
          <w:p>
            <w:pPr>
              <w:spacing w:after="0"/>
              <w:rPr>
                <w:sz w:val="21"/>
                <w:szCs w:val="21"/>
                <w:color w:val="auto"/>
              </w:rPr>
            </w:pP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Disclosure Regarding Foreign Jurisdictions that Prevent Inspections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149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700" w:type="dxa"/>
            <w:vAlign w:val="bottom"/>
            <w:tcBorders>
              <w:top w:val="single" w:sz="8" w:color="3051F2"/>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6"/>
              </w:rPr>
              <w:t>PART III</w:t>
            </w:r>
          </w:p>
        </w:tc>
        <w:tc>
          <w:tcPr>
            <w:tcW w:w="660" w:type="dxa"/>
            <w:vAlign w:val="bottom"/>
            <w:tcBorders>
              <w:top w:val="single" w:sz="8" w:color="3051F2"/>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10.</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3051F2"/>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3"/>
              </w:rPr>
              <w:t>Item 11.</w:t>
            </w:r>
          </w:p>
        </w:tc>
        <w:tc>
          <w:tcPr>
            <w:tcW w:w="440" w:type="dxa"/>
            <w:vAlign w:val="bottom"/>
            <w:gridSpan w:val="2"/>
          </w:tcPr>
          <w:p>
            <w:pPr>
              <w:spacing w:after="0"/>
              <w:rPr>
                <w:sz w:val="21"/>
                <w:szCs w:val="21"/>
                <w:color w:val="auto"/>
              </w:rPr>
            </w:pPr>
          </w:p>
        </w:tc>
        <w:tc>
          <w:tcPr>
            <w:tcW w:w="1800" w:type="dxa"/>
            <w:vAlign w:val="bottom"/>
            <w:tcBorders>
              <w:top w:val="single" w:sz="8" w:color="3051F2"/>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Executive Compensation</w:t>
            </w:r>
          </w:p>
        </w:tc>
        <w:tc>
          <w:tcPr>
            <w:tcW w:w="2280" w:type="dxa"/>
            <w:vAlign w:val="bottom"/>
            <w:tcBorders>
              <w:top w:val="single" w:sz="8" w:color="3051F2"/>
            </w:tcBorders>
            <w:gridSpan w:val="9"/>
          </w:tcPr>
          <w:p>
            <w:pPr>
              <w:spacing w:after="0"/>
              <w:rPr>
                <w:sz w:val="21"/>
                <w:szCs w:val="21"/>
                <w:color w:val="auto"/>
              </w:rPr>
            </w:pPr>
          </w:p>
        </w:tc>
        <w:tc>
          <w:tcPr>
            <w:tcW w:w="4700" w:type="dxa"/>
            <w:vAlign w:val="bottom"/>
            <w:gridSpan w:val="1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12.</w:t>
            </w:r>
          </w:p>
        </w:tc>
        <w:tc>
          <w:tcPr>
            <w:tcW w:w="7400" w:type="dxa"/>
            <w:vAlign w:val="bottom"/>
            <w:tcBorders>
              <w:bottom w:val="single" w:sz="8" w:color="3051F2"/>
            </w:tcBorders>
            <w:gridSpan w:val="29"/>
          </w:tcPr>
          <w:p>
            <w:pPr>
              <w:spacing w:after="0"/>
              <w:rPr>
                <w:sz w:val="20"/>
                <w:szCs w:val="20"/>
                <w:color w:val="auto"/>
              </w:rPr>
            </w:pPr>
            <w:r>
              <w:rPr>
                <w:rFonts w:ascii="Times New Roman" w:cs="Times New Roman" w:eastAsia="Times New Roman" w:hAnsi="Times New Roman"/>
                <w:sz w:val="18"/>
                <w:szCs w:val="18"/>
                <w:color w:val="3051F2"/>
                <w:w w:val="99"/>
              </w:rPr>
              <w:t>Securities Ownership of Certain Beneficial Owners and Management and Related Stockholder Matters</w:t>
            </w:r>
          </w:p>
        </w:tc>
        <w:tc>
          <w:tcPr>
            <w:tcW w:w="1380" w:type="dxa"/>
            <w:vAlign w:val="bottom"/>
            <w:gridSpan w:val="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13.</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Item 14.</w:t>
            </w:r>
          </w:p>
        </w:tc>
        <w:tc>
          <w:tcPr>
            <w:tcW w:w="5440" w:type="dxa"/>
            <w:vAlign w:val="bottom"/>
            <w:tcBorders>
              <w:top w:val="single" w:sz="8" w:color="3051F2"/>
            </w:tcBorders>
            <w:gridSpan w:val="26"/>
          </w:tcPr>
          <w:p>
            <w:pPr>
              <w:spacing w:after="0"/>
              <w:rPr>
                <w:sz w:val="20"/>
                <w:szCs w:val="20"/>
                <w:color w:val="auto"/>
              </w:rPr>
            </w:pPr>
            <w:r>
              <w:rPr>
                <w:rFonts w:ascii="Times New Roman" w:cs="Times New Roman" w:eastAsia="Times New Roman" w:hAnsi="Times New Roman"/>
                <w:sz w:val="18"/>
                <w:szCs w:val="18"/>
                <w:color w:val="3051F2"/>
              </w:rPr>
              <w:t>Principal Accountant Fees and Services</w:t>
            </w:r>
          </w:p>
        </w:tc>
        <w:tc>
          <w:tcPr>
            <w:tcW w:w="3340" w:type="dxa"/>
            <w:vAlign w:val="bottom"/>
            <w:gridSpan w:val="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3051F2"/>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3051F2"/>
                <w:w w:val="94"/>
              </w:rPr>
              <w:t>PART IV</w:t>
            </w:r>
          </w:p>
        </w:tc>
        <w:tc>
          <w:tcPr>
            <w:tcW w:w="456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15.</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Exhibits and Financial Statement Schedules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8"/>
            <w:shd w:val="clear" w:color="auto" w:fill="3051F2"/>
          </w:tcPr>
          <w:p>
            <w:pPr>
              <w:spacing w:after="0" w:line="20" w:lineRule="exact"/>
              <w:rPr>
                <w:sz w:val="1"/>
                <w:szCs w:val="1"/>
                <w:color w:val="auto"/>
              </w:rPr>
            </w:pPr>
          </w:p>
        </w:tc>
        <w:tc>
          <w:tcPr>
            <w:tcW w:w="1620" w:type="dxa"/>
            <w:vAlign w:val="bottom"/>
            <w:gridSpan w:val="6"/>
            <w:shd w:val="clear" w:color="auto" w:fill="3051F2"/>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Item 16.</w:t>
            </w:r>
          </w:p>
        </w:tc>
        <w:tc>
          <w:tcPr>
            <w:tcW w:w="8780" w:type="dxa"/>
            <w:vAlign w:val="bottom"/>
            <w:gridSpan w:val="31"/>
          </w:tcPr>
          <w:p>
            <w:pPr>
              <w:spacing w:after="0"/>
              <w:rPr>
                <w:sz w:val="20"/>
                <w:szCs w:val="20"/>
                <w:color w:val="auto"/>
              </w:rPr>
            </w:pPr>
            <w:r>
              <w:rPr>
                <w:rFonts w:ascii="Times New Roman" w:cs="Times New Roman" w:eastAsia="Times New Roman" w:hAnsi="Times New Roman"/>
                <w:sz w:val="18"/>
                <w:szCs w:val="18"/>
                <w:color w:val="3051F2"/>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top w:val="single" w:sz="8" w:color="3051F2"/>
            </w:tcBorders>
            <w:gridSpan w:val="8"/>
          </w:tcPr>
          <w:p>
            <w:pPr>
              <w:spacing w:after="0"/>
              <w:rPr>
                <w:sz w:val="24"/>
                <w:szCs w:val="24"/>
                <w:color w:val="auto"/>
              </w:rPr>
            </w:pPr>
          </w:p>
        </w:tc>
        <w:tc>
          <w:tcPr>
            <w:tcW w:w="3260" w:type="dxa"/>
            <w:vAlign w:val="bottom"/>
            <w:gridSpan w:val="16"/>
          </w:tcPr>
          <w:p>
            <w:pPr>
              <w:jc w:val="center"/>
              <w:ind w:left="269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w:t>
      </w:r>
    </w:p>
    <w:p>
      <w:pPr>
        <w:spacing w:after="0" w:line="185"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56"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4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London Stock Exchange Group plc, in an all share transaction, which closed on January 29, 2021. The Refinitiv business was rebranded by the London Stock Exchange Group plc as LSEG Data &amp; Analytics during the fourth quarter of 2023.</w:t>
      </w:r>
    </w:p>
    <w:p>
      <w:pPr>
        <w:spacing w:after="0" w:line="13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5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Market and Industry Data</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the International Swaps and Derivatives Association (“ISDA”), Clarus Financial Technology, TRAX, the Federal Reserve Bank of New York, Flow Traders, Coalition Greenwich,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4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Certain Trademarks, Trade Names and Service Marks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20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w:t>
      </w:r>
    </w:p>
    <w:p>
      <w:pPr>
        <w:spacing w:after="0" w:line="3" w:lineRule="exact"/>
        <w:rPr>
          <w:sz w:val="20"/>
          <w:szCs w:val="20"/>
          <w:color w:val="auto"/>
        </w:rPr>
      </w:pPr>
    </w:p>
    <w:p>
      <w:pPr>
        <w:ind w:right="20" w:firstLine="8"/>
        <w:spacing w:after="0" w:line="251"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3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under Part I, Item 1. – “Business,” Part I, Item 1A. – “Risk Factors” and Part II, Item 7. – “Management’s Discussion and Analysis of Financial Condition and Results of Operations” are forward-looking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our environmental, social and governance goals;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 “Risk Factors.”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Annual Report on Form 10-K are not guarantees of future events or performance and future events, our actual results of operations, financial condition or liquidity, and the development of the industry and markets in which we operate, may differ materially from the forward-looking statements contained in this Annual Report on Form 10-K. In addition, even if future events, our results of operations, financial condition or liquidity, and events in the industry and markets in which we operate, are consistent with the forward-looking statements contained in this Annual Report on Form 10-K, they may not be predictive of events, results or developments in future periods.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70 countries with offices in North America, Europe, Asia, Australia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97790</wp:posOffset>
            </wp:positionV>
            <wp:extent cx="3086100" cy="2065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 powerful network of more than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Evolution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Asia and most recently in Australia, Africa, South America and the Middle East.</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identified an opportunity to complement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 In June 2021, we acquired Nasdaq’s U.S. fixed income electronic trading platform. The addition of this fully-electronic CLOB (central limit order book) offers a flexible, efficient approach to trading in the wholesale U.S. Treasury market. In August 2023, we acquired Tradeweb Australia Pty Ltd (formerly Yieldbroker Pty Limited) (“Yieldbroker”), a leading Australian trading platform for Australian and New Zealand government bonds and interest rate derivatives covering the institutional and wholesale client sectors. This acquisition combines Australia and New Zealand’s highly attractive, fast-growing markets with Tradeweb’s international reach and scale. In January 2024, we acquired R8FIN Holdings LP (together with its subsidiaries, “r8fin”), a technology provider that specializes in algorithmic-based execution for U.S. Treasuries and interest rate futures that complement our other offerings, creating a valuable and broad-based approach to trading.</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blast all-to-all (“A2A”) trading protocol across our global credit marketplaces and portfolio trading.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$8.8 trillion through December 31, 2023, according to industry sources and management estimates.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of Clients, Products, Geographies and Protocols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clients continue to use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continues to grow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ETP-traded Yen-denominated interest rate swaps and European exchange traded funds (“ETFs”). We cover all major client sectors participating in electronic trading, including the institutional, wholesale and retail client sectors. In addition, we provide a full spectrum of trading protocols including voice, sweeps (session-based trading), RFQ, CLOB, A2A and portfolio trading, among others.</w:t>
      </w:r>
    </w:p>
    <w:p>
      <w:pPr>
        <w:spacing w:after="0" w:line="1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Asia, Australia and the Middle East and a global trading network that is distributed throughout the world.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of Collaborative Innovation</w:t>
      </w:r>
    </w:p>
    <w:p>
      <w:pPr>
        <w:spacing w:after="0" w:line="18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 recently, we introduced Tradeweb’s Rematch, an industry-exclusive solution, offering institutional investors trading within AllTrade previously unavailable access to hundreds of millions of dollars in unmatched risk from dealers’ sessions, opening the door to a significantly larger pool of liquidity.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our Round Robin functionality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Scalable and Flexible Technology</w:t>
      </w:r>
    </w:p>
    <w:p>
      <w:pPr>
        <w:spacing w:after="0" w:line="2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Our 2024 acquisition of the r8fin technology will help us reach a new and differentiated level of intelligent execution through a powerful combination of algorithmic technology and cross-market connectivity. We believe pairing r8fin’s sophisticated technology with our global network will open up a range of new possibilities for clients engaged in relative value or macro trades spanning multiple asset classes. Going forward, we expect our technology platform, and ongoing investments in technology and new product offerings, to help us stay at the forefront of the evolution of electronic trading.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Regulatory Footprint and Domain Expertise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Platforms and Solutions Empowered by Data and Analytics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2023, the percentage of trades executed by our institutional clients using our AiEX functionality was over 35% of total institutional trades, up from 6% in 2015, and we are seeing demand for AiEX continue to grow across some of our key products, including U.S. Treasuries, European government bonds, global swaps, U.S. corporate bonds and global ETFs.</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on average over 130,000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With markets becoming more electronic, clients increasingly turn to our composite data for its transparency and to help improve execution, further increasing the value proposition of our data. For example, in October 2023, we signed an amended and restated two-year market data license agreement with an affiliate of LSEG (formerly referred to as Refinitiv), pursuant to which LSEG will continue to distribute certain of our data directly to LSEG customers through its flagship financial platforms, LSEG Workspace, Datascope, LSEG Pricing Service and Tick History. The 2023 agreement, which was effective on November 1, 2023, replaced an existing agreement that was initiated in 2010 and most recently renewed in 2018, and provides us with increased revenue and flexibility in growing our market data offering. We will seek to further monetize our data over time both through potential expansion of our existing market data license agreement with LSEG and through distributing additional datasets, derived data and analytics offerings through our own network or through other third-party networks. For example, in October 2023, we also announced a strategic partnership with FTSE Russell which will seek to develop the next generation of fixed income pricing and index trading products. Fixed income closing prices will be administered as benchmarks by FTSE Russell and be derived from trading activity on our platform. The partnership aims to extend pricing coverage to most constituents featured in the FTSE Fixed Income Index universes and explore incorporating new Tradeweb pricing sets into FTSE Fixed Income Indices.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also continuously developing new offerings and solutions to meet the changing needs of our clients. For example, in 2023, we launched a new market data service to calculate real-time indicative net asset values (“iNAVs”) for ETFs. Our breadth of product coverage, depth of price contributions and timeliness of quotes help position Tradeweb iNAVs to become the market’s preferred solution for intraday ETF evaluation, which could ultimately boost trading confidence in the ETF market. Our offerings also include Automated Intelligent Pricing (“Ai-Price”), an innovative bond pricing engine that applies data science to help make markets more efficient and delivers reliable reference pricing for U.S. corporate and municipal bonds, regardless of how frequently a bond trades. Clients leverage the service to power their AiEX auto-trading, portfolio trading, and Transaction Cost Analysis (“TCA”).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Mr. Billy Hult, who has been at the Company for over 20 years and took over as our Chief Executive Officer effective January 1, 2023 and new executives, including Mr. Thomas Pluta, who became our President effective as of January 1, 2023.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20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Grow Our Existing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significant opportunities to generate additional revenue from secular and cyclical tailwinds in our existing markets: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Underlying Asset Classes</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global interest rate swaps, ETFs and credit cash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in Our Market Share</w:t>
      </w:r>
    </w:p>
    <w:p>
      <w:pPr>
        <w:spacing w:after="0" w:line="2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Electronification of Our Markets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and we saw strong electronification increases in U.S. corporate bonds, repurchase agreements and swaps during the COVID-19 pandemic. We are well positioned to continue to innovate and provide better electronic markets and solutions that satisfy the needs of our clients and that meet changing market demands and evolving regulatory standards.</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global government bonds, global interest rate swaps, global ETFs, in particular, institutional block ETFs, cash credit products, including corporate high grade and high yield bonds and emerging markets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Product Set and Reach</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grown our business by prudently expanding our offerings to add new products and asset classes, and we expect to continue to invest to add new products and expand into new complementary markets as client demand and market trends evolve. In 2017, we expanded into China to offer our global clients access to the Chinese bond market through our initiative with BondConnect, where Northbound trading began in 2017, and in 2020 we launched CIBM Direct. During 2021, we completed our first Southbound BondConnect transactions for various bonds tradable in the Hong Kong bond market, offering onshore investors enhanced access to oversees liquidity, pre-trade transparency and innovative trading protocols. During 2023, we announced that institutional clients executing Japanese Yen swaps on our multilateral trading facilities and swap execution facilities would now be able to clear their transactions via the Japan Securities Clearing Corporation (“JSCC”), providing more connectivity, flexibility and choice in Yen swap trading. Also in 2023, we participated in the development of and added the ability for our clients to have direct trading access on our platform to Swap Connect, the world’s first derivatives market access scheme, where offshore investors can trade and central counterparty clear onshore Chinese Yuan Renminbi interest rate swaps without changing their existing trading and settlement practices. The interest rate swap trades are cleared through Hong Kong Exchange OTC Clear under Hong Kong’s internationally-familiar legal framework. We continue to focus on these initiatives and on expanding opportunities with clients in the Asia region more broadly.</w:t>
      </w:r>
    </w:p>
    <w:p>
      <w:pPr>
        <w:spacing w:after="0" w:line="1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also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in 2023, we launched a new and innovative solution to help institutional investors trade EM bonds more efficiently, developed in collaboration with FXall, LSEG’s leading electronic platform for global currency products. This new FX swap workflow solution allows mutual clients of Tradeweb and FXall to buy or sell an EM bond via the request-for-quote or request-for-market protocols on Tradeweb and then seamlessly hedge the local currency risk by executing an FX swap trade via direct connection to FXall. In addition,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Our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involves offering our existing products in new geographies and then adding local products. In addition, we believe our trading models in one product or asset class are transferable to other products or asset classes, irrespective of geography. For example, we have leveraged our session-based trading technology in European corporate bonds for session-based trading in U.S. corporate bonds and Off-the-Run U.S. Treasuries and with our 2023 acquisition of Yieldbroker, we are well-positioned to seamlessly connect markets in Australia and New Zealand with our global network of clients and dealers. We have significant scale and breadth across our platforms, which position us well to take advantage of favorable market dynamics when introducing new products or solutions or entering into new markets.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Underlying Data and Analytics Capabilities to Develop Innovative Solutions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47"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Effective in November 2023, we entered an amended and restated, two-year agreement with an affiliate of LSEG (formerly referred to as Refinitiv), extending our long-term relationship where LSEG licenses certain data from us, which provides us with a predictable and growing revenue stream.</w:t>
      </w:r>
    </w:p>
    <w:p>
      <w:pPr>
        <w:spacing w:after="0" w:line="1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 roster of closing prices partnering with the FTSE Russell for UK Gilts and European government bonds and Intercontinental Exchange (“ICE”) for U.S. Treasuries in response to the growing demand for trusted reference price data that enables firms to manage investment portfolios, evaluate the fair value of securities, perform compliance monitoring and satisfy general accounting standards. In October 2023, we also announced a strategic partnership with FTSE Russell to develop the next generation of fixed income pricing and index trading products. The collaboration is focused on expanding benchmark pricing, broadening index inclusion and enhancing trading functionality across fixed income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selectively pursue new strategic partnerships to expand our data and analytics offering over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Acquisitions and Alliances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part of our culture of collaborative innovation, throughout our history we have completed various acquisitions and initiated several formal strategic alliances. These alliances have taken several forms, including distribution partnerships, technological alliances and other financial arrangements. We intend to continue to selectively consider opportunities to grow through strategic alliances and acquisitions. For example, in June 2021, we acquired Nasdaq’s U.S. fixed income electronic trading platform and in November 2022, we entered into a multi-year partnership with BlackRock with the goal to integrate our credit trading solutions and data into BlackRock’s Aladdin order execution management system. In August 2023, we acquired Yieldbroker, a leading Australian trading platform for Australian and New Zealand government bonds and interest rate derivatives and in January 2024, we acquired r8fin, a technology provider that specializes in algorithmic-based execution for U.S. Treasuries and interest rate futures. These and other opportunities should enhance our existing capabilities, allow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Sectors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 powerful network of more than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deep liquidity pools to the institutional, wholesale and retail client sectors through our Tradeweb Institutional, Dealerweb and Tradeweb Direct platforms. We are dependent on our dealer clients to support our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Tradeweb Institutional offers dealer-to-client and all-to-all trading and related solutions to more than 1,950 liquidity-taking clients. Our clients include leading asset managers, hedge funds, insurance companies, regional dealers and central banks/sovereign entities. The Tradeweb Institutional platform serves 90% of the world’s largest 100 asset managers, over 80% of the top 25 insurance companies and over 60 central banks/sovereign entities with more than 200 dealers providing liquidity.</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Tradeweb Institutional offers trading in a wide variety of products, including U.S. Treasuries, European government bonds, TBA MBS, global interest rate swaps, global corporate bonds and ETFs, among others. Our trading protocols include RFQ, Request-for-Market, Request-for-Stream, list trading, compression, blast all-to-all, Click-to-Trade, portfolio trading and inventory-based.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fully electronic, hybrid and voice trading for the wholesale community on our Dealerweb platform. Our clients include more than 300 dealers and financial institutions with more than 190 actively trading on our electronic and hybrid markets. Nearly all of our electronic and hybrid dealer clients also trade on the Tradeweb Institutional and Tradeweb Direct platforms. Wholesale’s leading markets include TBA MBS, specified pools, other securitized products, global credit products, U.S. Treasuries, repurchase agreements, U.S. dollar-denominated swaps, U.S. ETFs and U.S. equity derivative products.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90% growth in the number of e-participants on our wholesale client sector markets since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Tradeweb Direct, our regulated Alternative Trading System (“ATS”), offers financial advisors and their retail clients access to micro-lot liquidity provided by our network of broker-dealers. Tradeweb Direct serves over 50,000 financial advisors at approximately 250 retail brokerage and advisory firms. In addition, certain Tradeweb Direct clients provide access to over 170,000 retail clients through white-labeled, web-based front ends. Tradeweb Direct also provides access to its ATS to large and middle-market asset managers. Tradeweb Direct offers trading in a range of products, including U.S. corporate bonds, Treasuries, municipal bonds, structured products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 Classes and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efficient and transparent trading across a diverse range of asset classes:</w:t>
      </w:r>
    </w:p>
    <w:p>
      <w:pPr>
        <w:spacing w:after="0" w:line="181" w:lineRule="exact"/>
        <w:rPr>
          <w:sz w:val="20"/>
          <w:szCs w:val="20"/>
          <w:color w:val="auto"/>
        </w:rPr>
      </w:pPr>
    </w:p>
    <w:p>
      <w:pPr>
        <w:ind w:left="660" w:right="10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Rates</w:t>
      </w:r>
      <w:r>
        <w:rPr>
          <w:rFonts w:ascii="Times New Roman" w:cs="Times New Roman" w:eastAsia="Times New Roman" w:hAnsi="Times New Roman"/>
          <w:sz w:val="18"/>
          <w:szCs w:val="18"/>
          <w:color w:val="auto"/>
        </w:rPr>
        <w:t>: We facilitate trading in a broad range of cash and derivatives rates products, including major government securities, such as U.S.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European government bonds, mortgage-backed securities, interest rate swaps and agency/supranational securities and other rates products.</w:t>
      </w:r>
    </w:p>
    <w:p>
      <w:pPr>
        <w:spacing w:after="0" w:line="130"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Credit</w:t>
      </w:r>
      <w:r>
        <w:rPr>
          <w:rFonts w:ascii="Times New Roman" w:cs="Times New Roman" w:eastAsia="Times New Roman" w:hAnsi="Times New Roman"/>
          <w:sz w:val="18"/>
          <w:szCs w:val="18"/>
          <w:color w:val="auto"/>
        </w:rPr>
        <w:t>: We offer deep pools of liquidity for our clients in cash and derivatives credit products, including U.S. and European high grade and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yield bonds, China bonds, municipal bonds, index, single name and sovereign credit default swaps and other credit products.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40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Equities</w:t>
      </w:r>
      <w:r>
        <w:rPr>
          <w:rFonts w:ascii="Times New Roman" w:cs="Times New Roman" w:eastAsia="Times New Roman" w:hAnsi="Times New Roman"/>
          <w:sz w:val="18"/>
          <w:szCs w:val="18"/>
          <w:color w:val="auto"/>
        </w:rPr>
        <w:t>: We offer trading in a range of cash and derivatives equities products, including global ETFs, equity derivatives and other equities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w:t>
      </w:r>
    </w:p>
    <w:p>
      <w:pPr>
        <w:spacing w:after="0" w:line="127" w:lineRule="exact"/>
        <w:rPr>
          <w:rFonts w:ascii="Times New Roman" w:cs="Times New Roman" w:eastAsia="Times New Roman" w:hAnsi="Times New Roman"/>
          <w:sz w:val="18"/>
          <w:szCs w:val="18"/>
          <w:color w:val="auto"/>
        </w:rPr>
      </w:pPr>
    </w:p>
    <w:p>
      <w:pPr>
        <w:ind w:left="660" w:right="60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Money Markets</w:t>
      </w:r>
      <w:r>
        <w:rPr>
          <w:rFonts w:ascii="Times New Roman" w:cs="Times New Roman" w:eastAsia="Times New Roman" w:hAnsi="Times New Roman"/>
          <w:sz w:val="18"/>
          <w:szCs w:val="18"/>
          <w:color w:val="auto"/>
        </w:rPr>
        <w:t>: We offer trading in a broad range of cash money market products, including commercial paper, agency discount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agreements, certificates of deposit and Treasury bills and other money markets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5760720" cy="268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Geographies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 global footprint serving more than 2,500 clients in over 70 countries across the Americas, EMEA (Europe, Middle East and Africa) and APAC (Asia Pacific) regions and with offices in North America, Europe, Asia, Australia and the Middle East. By region:</w:t>
      </w:r>
    </w:p>
    <w:p>
      <w:pPr>
        <w:spacing w:after="0" w:line="13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more than 1,500 clients in the Americas across North, Central and South America.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more than 700 clients in EMEA across Europe, the Middle East and North Africa.</w:t>
      </w:r>
    </w:p>
    <w:p>
      <w:pPr>
        <w:spacing w:after="0" w:line="184" w:lineRule="exact"/>
        <w:rPr>
          <w:rFonts w:ascii="Times New Roman" w:cs="Times New Roman" w:eastAsia="Times New Roman" w:hAnsi="Times New Roman"/>
          <w:sz w:val="18"/>
          <w:szCs w:val="18"/>
          <w:color w:val="auto"/>
        </w:rPr>
      </w:pPr>
    </w:p>
    <w:p>
      <w:pPr>
        <w:ind w:right="2940" w:firstLine="332"/>
        <w:spacing w:after="0" w:line="461" w:lineRule="auto"/>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more than 300 clients in APAC across Asia, the Pacific, Oceania and the Indian sub-continent. In addition, we currently support trading across over 25 currencies globally.</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17" w:lineRule="exact"/>
        <w:rPr>
          <w:sz w:val="20"/>
          <w:szCs w:val="20"/>
          <w:color w:val="auto"/>
        </w:rPr>
      </w:pPr>
    </w:p>
    <w:p>
      <w:pPr>
        <w:ind w:left="660" w:right="4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Pre-Trade Data and Analytics</w:t>
      </w:r>
      <w:r>
        <w:rPr>
          <w:rFonts w:ascii="Times New Roman" w:cs="Times New Roman" w:eastAsia="Times New Roman" w:hAnsi="Times New Roman"/>
          <w:sz w:val="18"/>
          <w:szCs w:val="18"/>
          <w:color w:val="auto"/>
        </w:rPr>
        <w:t>: We provide clients with accurate, real-time market data and streaming price updates across more than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over 26,000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addition, we provide LSEG with certain real-time market data feeds for multiple fixed income and derivatives products under a license pursuant to which LSEG distributes such market data to its customers on its platforms and through direct feeds.</w:t>
      </w:r>
    </w:p>
    <w:p>
      <w:pPr>
        <w:spacing w:after="0" w:line="131" w:lineRule="exact"/>
        <w:rPr>
          <w:sz w:val="20"/>
          <w:szCs w:val="20"/>
          <w:color w:val="auto"/>
        </w:rPr>
      </w:pPr>
    </w:p>
    <w:p>
      <w:pPr>
        <w:ind w:left="660" w:right="4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Execution</w:t>
      </w:r>
      <w:r>
        <w:rPr>
          <w:rFonts w:ascii="Times New Roman" w:cs="Times New Roman" w:eastAsia="Times New Roman" w:hAnsi="Times New Roman"/>
          <w:sz w:val="18"/>
          <w:szCs w:val="18"/>
          <w:color w:val="auto"/>
        </w:rPr>
        <w:t>: Trade execution is at the core of our business. We provide marketplaces and tools that facilitate trading by our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 their related workflows. Our market specialists and technology team work closely with our clients to continuously innovate and improve their trading practices. The trading protocols we currently offer on our platforms include:</w:t>
      </w:r>
    </w:p>
    <w:p>
      <w:pPr>
        <w:spacing w:after="0" w:line="132" w:lineRule="exact"/>
        <w:rPr>
          <w:rFonts w:ascii="Times New Roman" w:cs="Times New Roman" w:eastAsia="Times New Roman" w:hAnsi="Times New Roman"/>
          <w:sz w:val="18"/>
          <w:szCs w:val="18"/>
          <w:color w:val="auto"/>
        </w:rPr>
      </w:pPr>
    </w:p>
    <w:p>
      <w:pPr>
        <w:ind w:left="1300" w:hanging="320"/>
        <w:spacing w:after="0" w:line="258"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Request-for-quote.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multi-dealer request-for-quote, or RFQ, protocol provides institutional clients with the ability to hold a real-time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42" w:lineRule="exact"/>
        <w:rPr>
          <w:rFonts w:ascii="Times New Roman" w:cs="Times New Roman" w:eastAsia="Times New Roman" w:hAnsi="Times New Roman"/>
          <w:sz w:val="18"/>
          <w:szCs w:val="18"/>
          <w:i w:val="1"/>
          <w:iCs w:val="1"/>
          <w:color w:val="auto"/>
        </w:rPr>
      </w:pPr>
    </w:p>
    <w:p>
      <w:pPr>
        <w:ind w:left="1300" w:right="20" w:hanging="320"/>
        <w:spacing w:after="0" w:line="261"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request-for-market, or RFM, protocol provides institutional clients with the ability to request a two-sided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Times New Roman" w:cs="Times New Roman" w:eastAsia="Times New Roman" w:hAnsi="Times New Roman"/>
          <w:sz w:val="18"/>
          <w:szCs w:val="18"/>
          <w:i w:val="1"/>
          <w:iCs w:val="1"/>
          <w:color w:val="auto"/>
        </w:rPr>
      </w:pPr>
    </w:p>
    <w:p>
      <w:pPr>
        <w:ind w:left="1300" w:right="100" w:hanging="320"/>
        <w:spacing w:after="0" w:line="284"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Request-for-stream.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request-for-stream, or RFS, protocol allows multiple dealers to show clients continuously updating rates,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market movements, during a client’s request window.</w:t>
      </w:r>
    </w:p>
    <w:p>
      <w:pPr>
        <w:spacing w:after="0" w:line="117" w:lineRule="exact"/>
        <w:rPr>
          <w:rFonts w:ascii="Times New Roman" w:cs="Times New Roman" w:eastAsia="Times New Roman" w:hAnsi="Times New Roman"/>
          <w:sz w:val="18"/>
          <w:szCs w:val="18"/>
          <w:i w:val="1"/>
          <w:iCs w:val="1"/>
          <w:color w:val="auto"/>
        </w:rPr>
      </w:pPr>
    </w:p>
    <w:p>
      <w:pPr>
        <w:ind w:left="1300" w:right="160" w:hanging="320"/>
        <w:spacing w:after="0" w:line="267"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List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clients with multiple transactions to complete, our list trading protocol is a highly efficient workflow tool.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many trades at once, clients can request prices from multiple dealers to extract the best price and complete the hedging of the trades at one time, saving significant manual effort compared to executing on the telephone.</w:t>
      </w:r>
    </w:p>
    <w:p>
      <w:pPr>
        <w:spacing w:after="0" w:line="132" w:lineRule="exact"/>
        <w:rPr>
          <w:rFonts w:ascii="Times New Roman" w:cs="Times New Roman" w:eastAsia="Times New Roman" w:hAnsi="Times New Roman"/>
          <w:sz w:val="18"/>
          <w:szCs w:val="18"/>
          <w:i w:val="1"/>
          <w:iCs w:val="1"/>
          <w:color w:val="auto"/>
        </w:rPr>
      </w:pPr>
    </w:p>
    <w:p>
      <w:pPr>
        <w:ind w:left="1300" w:right="60" w:hanging="320"/>
        <w:spacing w:after="0" w:line="258"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Compression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utilize our interest rate swap compression tool as an efficient means to reduce the number of line items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non-standard/bespoke swaps.</w:t>
      </w:r>
    </w:p>
    <w:p>
      <w:pPr>
        <w:spacing w:after="0" w:line="156" w:lineRule="exact"/>
        <w:rPr>
          <w:rFonts w:ascii="Times New Roman" w:cs="Times New Roman" w:eastAsia="Times New Roman" w:hAnsi="Times New Roman"/>
          <w:sz w:val="18"/>
          <w:szCs w:val="18"/>
          <w:i w:val="1"/>
          <w:iCs w:val="1"/>
          <w:color w:val="auto"/>
        </w:rPr>
      </w:pPr>
    </w:p>
    <w:p>
      <w:pPr>
        <w:ind w:left="1300" w:right="20" w:hanging="320"/>
        <w:spacing w:after="0" w:line="257"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Blast all-to-all.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Blast all-to-all, or A2A, protocol allows clients to send RFQ trade inquiries to all market participants in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41" w:lineRule="exact"/>
        <w:rPr>
          <w:rFonts w:ascii="Times New Roman" w:cs="Times New Roman" w:eastAsia="Times New Roman" w:hAnsi="Times New Roman"/>
          <w:sz w:val="18"/>
          <w:szCs w:val="18"/>
          <w:i w:val="1"/>
          <w:iCs w:val="1"/>
          <w:color w:val="auto"/>
        </w:rPr>
      </w:pPr>
    </w:p>
    <w:p>
      <w:pPr>
        <w:jc w:val="both"/>
        <w:ind w:left="1300" w:right="220" w:hanging="320"/>
        <w:spacing w:after="0" w:line="267"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Click-to-trade.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click-to-trade, or CTT, protocol enables a liquidity-taking client to view a set of prices in real-time and click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the dealer with whom they wish to execute. This trading protocol is especially popular with clients that are looking to view a range of executable, real-time prices across dealers.</w:t>
      </w:r>
    </w:p>
    <w:p>
      <w:pPr>
        <w:spacing w:after="0" w:line="132" w:lineRule="exact"/>
        <w:rPr>
          <w:rFonts w:ascii="Times New Roman" w:cs="Times New Roman" w:eastAsia="Times New Roman" w:hAnsi="Times New Roman"/>
          <w:sz w:val="18"/>
          <w:szCs w:val="18"/>
          <w:i w:val="1"/>
          <w:iCs w:val="1"/>
          <w:color w:val="auto"/>
        </w:rPr>
      </w:pPr>
    </w:p>
    <w:p>
      <w:pPr>
        <w:ind w:left="1300" w:right="760" w:hanging="320"/>
        <w:spacing w:after="0" w:line="284"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Portfolio Trading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rebalancing of passive portfolios and ETFs, our portfolio trading solution allows clients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prices and trade on net present value on a full basket of securities.</w:t>
      </w:r>
    </w:p>
    <w:p>
      <w:pPr>
        <w:spacing w:after="0" w:line="131" w:lineRule="exact"/>
        <w:rPr>
          <w:rFonts w:ascii="Times New Roman" w:cs="Times New Roman" w:eastAsia="Times New Roman" w:hAnsi="Times New Roman"/>
          <w:sz w:val="18"/>
          <w:szCs w:val="18"/>
          <w:i w:val="1"/>
          <w:iCs w:val="1"/>
          <w:color w:val="auto"/>
        </w:rPr>
      </w:pPr>
    </w:p>
    <w:p>
      <w:pPr>
        <w:ind w:left="1300" w:right="40" w:hanging="320"/>
        <w:spacing w:after="0" w:line="261" w:lineRule="auto"/>
        <w:tabs>
          <w:tab w:leader="none" w:pos="1295"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Session-based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Sweep, our session-based trading protocol, allows clients to manage inventory and balance sheets by entering orders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right="60" w:hanging="320"/>
        <w:spacing w:after="0" w:line="267"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Central Limit Order 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central limit order book, or CLOB, is a continuous electronic protocol that allows clients to trade on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bids and offers from other market participants, as well as enter their own resting bids and offers for display to the market participants, typically anonymously.</w:t>
      </w:r>
    </w:p>
    <w:p>
      <w:pPr>
        <w:spacing w:after="0" w:line="146" w:lineRule="exact"/>
        <w:rPr>
          <w:rFonts w:ascii="Times New Roman" w:cs="Times New Roman" w:eastAsia="Times New Roman" w:hAnsi="Times New Roman"/>
          <w:sz w:val="18"/>
          <w:szCs w:val="18"/>
          <w:i w:val="1"/>
          <w:iCs w:val="1"/>
          <w:color w:val="auto"/>
        </w:rPr>
      </w:pPr>
    </w:p>
    <w:p>
      <w:pPr>
        <w:ind w:left="1300" w:right="160" w:hanging="320"/>
        <w:spacing w:after="0" w:line="281" w:lineRule="auto"/>
        <w:tabs>
          <w:tab w:leader="none" w:pos="129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u w:val="single" w:color="auto"/>
          <w:color w:val="auto"/>
        </w:rPr>
        <w:t>Directed streams.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directed streams protocol, which is currently used by our wholesale clients in the On-The-Run U.S.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24" w:lineRule="exact"/>
        <w:rPr>
          <w:sz w:val="20"/>
          <w:szCs w:val="20"/>
          <w:color w:val="auto"/>
        </w:rPr>
      </w:pPr>
    </w:p>
    <w:p>
      <w:pPr>
        <w:ind w:left="1300" w:right="280" w:hanging="320"/>
        <w:spacing w:after="0" w:line="261"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Inventory-based.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inventory-based protocol allows liquidity-providing clients to submit a range of bids and offers for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39" w:lineRule="exact"/>
        <w:rPr>
          <w:rFonts w:ascii="Times New Roman" w:cs="Times New Roman" w:eastAsia="Times New Roman" w:hAnsi="Times New Roman"/>
          <w:sz w:val="18"/>
          <w:szCs w:val="18"/>
          <w:color w:val="auto"/>
        </w:rPr>
      </w:pPr>
    </w:p>
    <w:p>
      <w:pPr>
        <w:jc w:val="both"/>
        <w:ind w:left="1300" w:right="60" w:hanging="320"/>
        <w:spacing w:after="0" w:line="267"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Rematch.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Rematch protocol allows dealers to send accepted, but unmatched orders from a Sweep session to the all-to-all network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46" w:lineRule="exact"/>
        <w:rPr>
          <w:rFonts w:ascii="Times New Roman" w:cs="Times New Roman" w:eastAsia="Times New Roman" w:hAnsi="Times New Roman"/>
          <w:sz w:val="18"/>
          <w:szCs w:val="18"/>
          <w:color w:val="auto"/>
        </w:rPr>
      </w:pPr>
    </w:p>
    <w:p>
      <w:pPr>
        <w:ind w:left="1300" w:hanging="320"/>
        <w:spacing w:after="0" w:line="267"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Voice-brokered products in our wholesale client sector include, among other products, U.S. Treasuries, MBS, municipal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agreements. Our voice brokers provide anonymity and insight for sell side traders and give us valuable high-touch relationships and market understanding and access.</w:t>
      </w:r>
    </w:p>
    <w:p>
      <w:pPr>
        <w:spacing w:after="0" w:line="135"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39" w:lineRule="exact"/>
        <w:rPr>
          <w:sz w:val="20"/>
          <w:szCs w:val="20"/>
          <w:color w:val="auto"/>
        </w:rPr>
      </w:pPr>
    </w:p>
    <w:p>
      <w:pPr>
        <w:ind w:left="660" w:right="4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Trade Processing</w:t>
      </w:r>
      <w:r>
        <w:rPr>
          <w:rFonts w:ascii="Times New Roman" w:cs="Times New Roman" w:eastAsia="Times New Roman" w:hAnsi="Times New Roman"/>
          <w:sz w:val="18"/>
          <w:szCs w:val="18"/>
          <w:color w:val="auto"/>
        </w:rPr>
        <w:t>: Our trade processing technology allows our clients to increase productivity, reduce risk and improve overall performance.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55"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Post-Trade Data, Analytics and Reporting</w:t>
      </w:r>
      <w:r>
        <w:rPr>
          <w:rFonts w:ascii="Times New Roman" w:cs="Times New Roman" w:eastAsia="Times New Roman" w:hAnsi="Times New Roman"/>
          <w:sz w:val="18"/>
          <w:szCs w:val="18"/>
          <w:color w:val="auto"/>
        </w:rPr>
        <w:t>: Our comprehensive post-trade services include transaction cost analysis, or TCA, best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partnership with FTSE Russell, we also provide U.S. Treasury, UK Gilt and European government bond closing prices in a manner consistent with the International Organization of Securities Commissions (“IOSCO”) principles and United Kingdom (“UK”) and European Union (“EU”) Benchmark Regulation (“BMR”). These reference prices can be used for asset valuation, trade at close and as reference rates in derivatives contracts. To support MiFID II regulatory obligations, we operate an APA reporting service in the UK and EU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LSEG’s FX trading venues.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31" w:lineRule="exact"/>
        <w:rPr>
          <w:sz w:val="20"/>
          <w:szCs w:val="20"/>
          <w:color w:val="auto"/>
        </w:rPr>
      </w:pPr>
    </w:p>
    <w:p>
      <w:pPr>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electronic trading platforms</w:t>
      </w:r>
      <w:r>
        <w:rPr>
          <w:rFonts w:ascii="Times New Roman" w:cs="Times New Roman" w:eastAsia="Times New Roman" w:hAnsi="Times New Roman"/>
          <w:sz w:val="18"/>
          <w:szCs w:val="18"/>
          <w:color w:val="auto"/>
        </w:rPr>
        <w:t>: We compete with a number of other electronic trading venues. These include MarketAxess, Bloomberg, 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(Bondpoint, TMC Bonds, Creditex), Trumid, TP ICAP (Liquidnet) and others in the credit and municipal markets; Bloomberg, Euronext (MTS), CME Group (NEX Group), BGC Partners (Fenics), MarketAxess (LiquidityEdge), GLMX and others in the rates and derivatives markets; and Virtu (RFQ-hub) and Bloomberg in the equities and ETF markets.</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Exchanges</w:t>
      </w:r>
      <w:r>
        <w:rPr>
          <w:rFonts w:ascii="Times New Roman" w:cs="Times New Roman" w:eastAsia="Times New Roman" w:hAnsi="Times New Roman"/>
          <w:sz w:val="17"/>
          <w:szCs w:val="17"/>
          <w:color w:val="auto"/>
        </w:rPr>
        <w:t>: In recent years, exchanges have pursued acquisitions that have put them in competition with us. For example, ICE acquired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BondPoint and TMC Bonds, retail-focused platforms, and Interactive Data Corporation (“IDC”), a provider of fixed income data, in an effort to expand its portfolio of fixed income products and services. CME Group and CBOE also operate exchanges that compete with us. Exchanges also have data and analytics relationships with several market participants, which increasingly put their offerings in direct competition with Tradeweb.</w:t>
      </w:r>
    </w:p>
    <w:p>
      <w:pPr>
        <w:spacing w:after="0" w:line="120" w:lineRule="exact"/>
        <w:rPr>
          <w:rFonts w:ascii="Times New Roman" w:cs="Times New Roman" w:eastAsia="Times New Roman" w:hAnsi="Times New Roman"/>
          <w:sz w:val="17"/>
          <w:szCs w:val="17"/>
          <w:color w:val="auto"/>
        </w:rPr>
      </w:pPr>
    </w:p>
    <w:p>
      <w:pPr>
        <w:ind w:left="660" w:right="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Inter-dealer brokers</w:t>
      </w:r>
      <w:r>
        <w:rPr>
          <w:rFonts w:ascii="Times New Roman" w:cs="Times New Roman" w:eastAsia="Times New Roman" w:hAnsi="Times New Roman"/>
          <w:sz w:val="18"/>
          <w:szCs w:val="18"/>
          <w:color w:val="auto"/>
        </w:rPr>
        <w:t>: We compete with inter-dealer brokers, particularly in our wholesale markets in products such as MBS, U.S. Treasuries,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repo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49" w:lineRule="exact"/>
        <w:rPr>
          <w:rFonts w:ascii="Times New Roman" w:cs="Times New Roman" w:eastAsia="Times New Roman" w:hAnsi="Times New Roman"/>
          <w:sz w:val="18"/>
          <w:szCs w:val="18"/>
          <w:color w:val="auto"/>
        </w:rPr>
      </w:pPr>
    </w:p>
    <w:p>
      <w:pPr>
        <w:ind w:left="660" w:right="260" w:hanging="328"/>
        <w:spacing w:after="0" w:line="317"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EMS and OMS providers: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are various providers of execution management services (“EMS”) and order management services (“OMS”)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have announced plans to offer aggregation of trading venue liquidity, as well as direct-to-dealer fully electronic trading solutions.</w:t>
      </w:r>
    </w:p>
    <w:p>
      <w:pPr>
        <w:spacing w:after="0" w:line="91" w:lineRule="exact"/>
        <w:rPr>
          <w:rFonts w:ascii="Times New Roman" w:cs="Times New Roman" w:eastAsia="Times New Roman" w:hAnsi="Times New Roman"/>
          <w:sz w:val="17"/>
          <w:szCs w:val="17"/>
          <w:color w:val="auto"/>
        </w:rPr>
      </w:pPr>
    </w:p>
    <w:p>
      <w:pPr>
        <w:ind w:left="660" w:right="22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Single-bank systems</w:t>
      </w:r>
      <w:r>
        <w:rPr>
          <w:rFonts w:ascii="Times New Roman" w:cs="Times New Roman" w:eastAsia="Times New Roman" w:hAnsi="Times New Roman"/>
          <w:sz w:val="18"/>
          <w:szCs w:val="18"/>
          <w:color w:val="auto"/>
        </w:rPr>
        <w:t>: Major global and regional investment and commercial banks offer institutional clients electronic trade execution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trading systems. Many of these banks expend considerable resources on product development, sales and support to promote their single-bank systems.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8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Dealers</w:t>
      </w:r>
      <w:r>
        <w:rPr>
          <w:rFonts w:ascii="Times New Roman" w:cs="Times New Roman" w:eastAsia="Times New Roman" w:hAnsi="Times New Roman"/>
          <w:sz w:val="18"/>
          <w:szCs w:val="18"/>
          <w:color w:val="auto"/>
        </w:rPr>
        <w:t>: Many of our markets are still traded through traditional voice-based protocols. Institutional 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data and information vendors</w:t>
      </w:r>
      <w:r>
        <w:rPr>
          <w:rFonts w:ascii="Times New Roman" w:cs="Times New Roman" w:eastAsia="Times New Roman" w:hAnsi="Times New Roman"/>
          <w:sz w:val="18"/>
          <w:szCs w:val="18"/>
          <w:color w:val="auto"/>
        </w:rPr>
        <w:t>: Market data and information providers, such as Bloomberg, IDC (now part of ICE) and IHS Markit,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pervasive presence across the financial trading community. Their data and pre- and post-trade analytics compete with offerings we provide to support trading on our marketplaces.</w:t>
      </w:r>
    </w:p>
    <w:p>
      <w:pPr>
        <w:spacing w:after="0" w:line="13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face intense competition, and we expect competition with a broad range of competitors to continue to intensify in the future. See Part I, Item 1A. – “Risk Factors — Risks Relating to Market and Industry Dynamics and Competition — Failure to compete successfully could materially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w:t>
      </w:r>
    </w:p>
    <w:p>
      <w:pPr>
        <w:spacing w:after="0" w:line="2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more than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350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1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17" w:lineRule="exact"/>
        <w:rPr>
          <w:sz w:val="20"/>
          <w:szCs w:val="20"/>
          <w:color w:val="auto"/>
        </w:rPr>
      </w:pPr>
    </w:p>
    <w:p>
      <w:pPr>
        <w:ind w:left="660" w:right="200" w:hanging="328"/>
        <w:spacing w:after="0" w:line="26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Nimble product development in collaboration with clients</w:t>
      </w:r>
      <w:r>
        <w:rPr>
          <w:rFonts w:ascii="Times New Roman" w:cs="Times New Roman" w:eastAsia="Times New Roman" w:hAnsi="Times New Roman"/>
          <w:sz w:val="18"/>
          <w:szCs w:val="18"/>
          <w:color w:val="auto"/>
        </w:rPr>
        <w:t>: Our approach to product development facilitates continuous releases of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Scalable architecture</w:t>
      </w:r>
      <w:r>
        <w:rPr>
          <w:rFonts w:ascii="Times New Roman" w:cs="Times New Roman" w:eastAsia="Times New Roman" w:hAnsi="Times New Roman"/>
          <w:sz w:val="18"/>
          <w:szCs w:val="18"/>
          <w:color w:val="auto"/>
        </w:rPr>
        <w:t>: Our scalable architecture was designed to address increased trading activities and evolving market structures in a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43" w:lineRule="exact"/>
        <w:rPr>
          <w:rFonts w:ascii="Times New Roman" w:cs="Times New Roman" w:eastAsia="Times New Roman" w:hAnsi="Times New Roman"/>
          <w:sz w:val="18"/>
          <w:szCs w:val="18"/>
          <w:color w:val="auto"/>
        </w:rPr>
      </w:pPr>
    </w:p>
    <w:p>
      <w:pPr>
        <w:ind w:left="660" w:right="140" w:hanging="328"/>
        <w:spacing w:after="0" w:line="27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Strong business continuity and disaster recovery planning</w:t>
      </w:r>
      <w:r>
        <w:rPr>
          <w:rFonts w:ascii="Times New Roman" w:cs="Times New Roman" w:eastAsia="Times New Roman" w:hAnsi="Times New Roman"/>
          <w:sz w:val="17"/>
          <w:szCs w:val="17"/>
          <w:color w:val="auto"/>
        </w:rPr>
        <w:t>: We continue to regularly evaluate and enhance our business continuity plans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place in the event of a significant business disruption or disaster recovery situation to ensure 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35" w:lineRule="exact"/>
        <w:rPr>
          <w:rFonts w:ascii="Times New Roman" w:cs="Times New Roman" w:eastAsia="Times New Roman" w:hAnsi="Times New Roman"/>
          <w:sz w:val="17"/>
          <w:szCs w:val="17"/>
          <w:color w:val="auto"/>
        </w:rPr>
      </w:pPr>
    </w:p>
    <w:p>
      <w:pPr>
        <w:ind w:left="660" w:right="1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also maintain redundant networks, hardware, data centers and alternate operational facilities to address interruptions. We have ten datacenters across the United States, the UK , Japan and Austrialia. Our data center infrastructure is designed to be resilient and responsive with built-in redundancies.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Ongoing security, system monitoring and alerting</w:t>
      </w:r>
      <w:r>
        <w:rPr>
          <w:rFonts w:ascii="Times New Roman" w:cs="Times New Roman" w:eastAsia="Times New Roman" w:hAnsi="Times New Roman"/>
          <w:sz w:val="18"/>
          <w:szCs w:val="18"/>
          <w:color w:val="auto"/>
        </w:rPr>
        <w:t>: We prioritize security throughout our platforms, operations and software development.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architectural, design and implementation choices to structurally address security risks, such as logical and physical access controls, perimeter firewall protection and embedded security processes in our systems development lifecycle. Our cyber security program is based on a combination of ISO/ICE 27001 principles, the National Institute of Standards and Technology Cybersecurity Framework and industry best practices. Our Chief Information Security Officer leads a qualified cybersecurity team in assessing, managing and reducing material risks from cybersecurity threats to protect critical operations and delivery of service. We continuously monitor connectivity, and our global operations team is alerted if there are any suspect events. See Part I, Item 1C. – “Cybersecurity – Governance” for further detail regarding our cybersecurity risk management, strategy and governance 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Like most companies that develop technology in-house, we rely upon a combination of copyright, patent, trade secret and trademark laws, written agreements and common law to protect our proprietary technology, processes and other intellectual property.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that end, we have patents or patents pending in the United States and other jurisdictions covering significant trading protocols and other aspects of our trading system technology.</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pacing w:after="0" w:line="13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Many aspects of our business are subject to regulation in a number of jurisdictions, including the United States, the UK, the Netherlands, France, Germany, Japan, Hong Kong, Singapore, Australia and the Dubai International Financial Centre (“DIFC”).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 as well as indirectly by imposing costs in the form of increased compliance, personnel, and technology needs in order to comply with relevant laws and regulations.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4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The CFTC is the federal agency primarily responsible for the administration of federal laws governing activities relating to futures, swaps and other derivatives (but excluding security-based swaps)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148"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Following the 2008 financial crisis, legislators and regulators in the United States adopted new laws and regulations, including the Dodd-Frank Act. Various rules and regulations were promulgated following the financial crisis, such as the Volcker Rule and additional bank capital and liquidity requirements.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 The SEC is charged with regulations for “security-based swaps” (i.e., swaps based on certain types of securities or loans). In late 2023, the SEC adopted registration requirements for entities that act as security-based swap execution facilities (“SBSEFs”). We expect that one or more of our subsidiaries will register in this capacity with the SEC and, as such, will become subject to further new extensive regulation at an entity level as well as new requirements specifically applicable to the business as it relates to security-based swaps. We anticipate that implementation of these requirements will be substantially similar to requirements implemented as a result of operating as a CFTC-registered SEF, but the implementation will likely result in new challenges and oversight risk.</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regulatory environment in the U.S. continues to evolve and while legislation to roll-back key pieces of the Dodd-Frank Act in an effort to loosen certain regulatory restrictions on financial institutions has been issued, the industry continues to be more heavily regulated than it was prior to the 2008 financial crisis. While it is still largely unknown at this time to what extent new legislation will be passed into law or whether pending or new regulatory proposals will be adopted or modified, or what effect such passage, adoption or modification will have, whether positive or negative, on our industry, our clients or us, both the SEC and the CFTC have issued a number of regulatory proposals and we may continue to see the same level of activity by these two regulators in the future. For example, in August 2022, the CFTC issued a final rule modifying the swap clearing requirement in support of the transition from LIBOR and other Interbank Offered Rates to Alternative Reference Rates and Tradeweb SEF LLC filed and received approval on July 7, 2023 to include certain swaps referencing risk-free rates as designated made available to trade products. Additionally, the SEC has recently conducted a review of the regulatory framework for fixed-income electronic trading platforms for the purpose of evaluating the potential regulatory gaps that may exist among such platforms, including ours, with respect to access to markets, system integrity, surveillance, and transparency, among other things. In recent years, the SEC proposed rules that would expand Regulation ATS and Regulation SCI to capture alternative trading systems (“ATS”) that trade government securities and amend the SEC rule regarding the definition of an “exchange” to include Communication Protocol Systems, such as our RFQ protocols. In April 2023, the SEC proposed separate, specific rules that would update the requirements of Regulation SCI and expand the number and types of entities that must comply with Regulation SCI. In connection with these proposed rules, we expect that we will have to operate additional trading protocols in compliance with Regulation ATS and Regulation SCI.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w:t>
      </w:r>
    </w:p>
    <w:p>
      <w:pPr>
        <w:spacing w:after="0" w:line="1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 also adopted final rules on December 13, 2023 regarding central clearing of certain secondary market repurchase and reverse repurchase transactions and secondary market purchase and sale transactions involving U.S. Treasury securities. Although the final rule was more limited in scope than the initial rule proposal, this central clearing mandate will impact certain market participants who do not clear today, and some have expressed concerns about the potential impact of additional clearing costs that may impact liquidity. While we expect this change will increase our own platform efficiency and potentially create greater electronification of trading, it is still unknown at this time the full impact of this change, and what effect it will have, whether positive or negative, on our industry, our clients or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 and the Dubai Financial Services Authority (the “DFSA”) in the DIFC.</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 Subject to section 178 of FSMA, individuals or companies that seek to acquire or increase their control in a firm that the FCA regulates is required to obtain prior approval from the FCA.</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Much of our derivatives volume continues to be executed by non-U.S. based clients outside the United States and is subject to local regulations. In particular, the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including the fixed income and derivative markets, designed to facilitate more efficient markets and greater transparency for participants.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2023, the European Securities and Markets Authority (“ESMA”), the EU’s financial markets regulator and supervisor, announced a shift in its Union Strategic Supervisory Priorities (“USSPs”), introducing cyber risk and digital resilience as key areas of focus alongside environmental, social and governance disclosures. The strategy takes into account the key priorities of the EU in the area of financial services and aims to address the most significant risks linked to EU financial markets. It is structured around the following key areas: effective financial markets and financial stability, supervision and supervisory convergence, retail investor protection, sustainable finance and technological innovation and increased use of data. With this new priority, EU supervisors will put greater emphasis on reinforcing firms’ information and communication technology (“ICT”) risk management surrounding the use of financial technology systems (including but not limited to trading venue technologies) through close monitoring and supervisory actions, building new supervisory capacity and expertise. The new USSP will come into force in 2025, at the same time as the Digital Operational Resilience Act. This timeline is intended to provide supervisors and firms in member states with sufficient time to prepare for compliance with the new regulatory requirements. Meanwhile, ESMA and national competent authorities (“NCAs”) will carry out preparatory work planning and shaping the supervisory activities to undertake this priority. The USSPs are an important tool through which ESMA coordinates and focuses supervisory action with NCAs across the EU on specific topics.</w:t>
      </w:r>
    </w:p>
    <w:p>
      <w:pPr>
        <w:spacing w:after="0" w:line="13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Digital Operational Resilience Act (“DORA”) is a new EU framework which aims to enhance and harmonize the digital operational resilience and cyber security of entities across the EU financial sector. Under DORA firms that are in scope will need to adopt a broader business view of resilience, with accountability clearly established at the senior management level. DORA consists of the following key pillars: ICT risk management requirements, reporting of ICT incidents, testing programs covering ICT tools, systems and processes, ICT third party risk management and an oversight framework for critical ICT third-party service providers.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2023,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 of Tradeweb Entities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operations span jurisdictions across North America, South America, Europe, Asia, Australia and the Middle East, and we operate through various regulated entities. The current regulatory status of our regulated entities is described below.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49"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Dealerweb Inc. is a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provinces of Ontario, Quebec and Nova Scotia and the ATS Order Exemption for Ontario, Quebec and Nova Scotia.</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Execution Access, LLC, acquired in June 2021, was a SEC-registered broker-dealer that operated an ATS and was a member of FINRA. In November 2022, Execution Access, LLC merged with and into Dealerweb Inc. with Dealerweb Inc. being the surviving entity.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Tradeweb Direct LLC is a SEC registered broker-dealer, operates an ATS and is a member of FINRA and MSRB. Tradeweb Direct LLC also relies on the Ontario Securities Commission International Dealer Exemption in the Canadian provinces of Ontario and Quebec, is registered as an exempt firm with the AFM and is a Recognized Body of the DFSA.</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Tradeweb Europe Limited is authorized and regulated in the UK by the FCA as a MiFID Investment Firm. It has permissions to operate an Multilateral Trading Facility (“MTF”), an Organized Trading Facility (“OTF”) and an APA. Tradeweb Europe Limited is also regulated by ASIC and holds an Overseas Australian Market Operator License and is a recognized foreign trading venue by FINMA in Switzerland. In January 2022, Tradeweb Europe obtained a license to provide direct market access to trading participants (Handelsteilnehmer) domiciled in Germany via an electronic trading system pursuant to section 102(1) of the German Securities Trading Act (Wertpapierhandelsgesetz – WpHG).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Singapore branch of Tradeweb Europe Limited is regulated by the MAS as a Recognised Market Operator (“RMO”).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Hong Kong branch of Tradeweb Europe Limited is regulated by the SFC as an Automated Trading Service.</w:t>
      </w:r>
    </w:p>
    <w:p>
      <w:pPr>
        <w:spacing w:after="0" w:line="198"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TW SEF LLC is a CFTC-registered SEF. TW SEF LLC is formally exempt from registration as an exchange in the Canadian provinces of Alberta, Ontario, Nova Scotia and Quebec and is recognized as a foreign trading venue in Switzerland. TW SEF LLC is approved and regulated by ASIC as an Overseas Australian Market Operator Licensee, recognized as Foreign Trading Venue in Mexico and is a Recognized Body of the DFSA.</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DW SEF LLC is a CFTC-registered SEF. DW SEF LLC is formally exempt from registration in the Canadian provinces of Ontario and Nova Scotia is recognized as a foreign trading venue in Switzerland.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3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European Economic Area (“EEA”). Tradeweb EU B.V. is also regulated by ASIC and holds an Overseas Australian Market Operator License and is a recognized foreign trading venue by FINMA in Switzerland.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Paris branch of Tradeweb EU B.V. is supervised by the ACPR.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Tradeweb Execution Services Limited is authorized and regulated in the UK by the FCA as an Investment Firm (“BIPRU Firm”).</w:t>
      </w:r>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Tradeweb Execution Services B.V. is authorized and regulated by the AFM as a MiFID investment firm with permission to trade on a matched principal basis.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Tradeweb Australia Pty Ltd (formerly Yieldbroker Pty Limited), acquired in August 2023, is a Tier 1 Australian Markets Licensee in Australia, regulated by the ASIC, that maintains a branch in Singapore that is regulated by the MAS as a Regulated Market Operator. Tradeweb Australia Pty Ltd changed its name from Yieldbroker Pty Limited in January 2024.</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Tradeweb (DIFC) Limited is an Authorized Firm regulated by the DFSA with a license for “arranging deals in investments” for users to access our various trading venues that are also separately recognized by the DFSA.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 diverse, inclusive and safe workplace. We firmly believe that a cared-for, proud, and diverse workforce will power our innovation into the future. We strive to provide opportunities for our employees to grow and develop in their careers, supported by strong compensation, benefits and health and wellness programs, and by initiatives that build connections between our employees and the communities in which we operate.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2023, we had 1,179 employees, 815 of whom were based in the United States and 364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diverse teams make better decisions and create greater long-term value, and we are committed to maintaining a safe and inclusive environment for everyone and attracting and retaining diverse talent at all levels. Our goal is to continue to strive for greater gender and ethnic diversity across the company, in accordance with applicable equal opportunity laws, to maintain and grow our culture of inclusiveness, education, acceptance and learning, and to ensure employees feel encouraged and equipped to be their genuine selves at work.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and brings topics affecting women in the workplace front and center. Our commitment to DE&amp;I has been demonstrated through partnerships with approximately 18 organizations globally, including StreetWise Partners, Women’s Bond Club, TEAK, Hiring our Heroes, Emily K Center and Adaptive Growth Leadership in the U.S., and SEO, Big City Bright Future and Cowrie Scholarship Foundation in the UK. By focusing on employee volunteerism in these areas, our employees have the opportunity to take action and make a difference.</w:t>
      </w:r>
    </w:p>
    <w:p>
      <w:pPr>
        <w:spacing w:after="0" w:line="1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also seek to advance the interests of our stakeholders through DE&amp;I initiatives. For example, in June 2022, we launched the Spotlight Dealer Diversity Program, designed to promote diverse dealers participating on our platforms, including woman-, veteran-, disabled- and minority-owned firms. The Spotlight Program was developed collaboratively with feedback from members of the buy-side and dealer communities to support our diverse dealer community through a combination of individual dealer profiles, direct consultation and other promotional programs designed to bring more visibility to diverse dealers operating in electronic markets. In addition, we enhanced our RFQ trading workflow for U.S. Institutional Credit to more prominently expose diverse dealer liquidity to our participating buy-side clients, further strengthening engagement between diverse dealers and buy-side users on the platform. We continue to work with our Spotlight participants to expand opportunities for doing business together. Since launch we have grown from 12 participating Spotlight Dealers to 21.</w:t>
      </w:r>
    </w:p>
    <w:p>
      <w:pPr>
        <w:spacing w:after="0" w:line="1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we seek to cement our commitment to diversity at the intern, college graduate and experienced hire levels by leveraging relationships with a number of external organizations.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all support our multi-layered strategy for recruiting and retaining diverse talent.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Well-Being</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health, safety and wellness of our employees. We provide an evolving package of benefits and perks to employees (which varies by country and region), aiming to ensure our employees have access to comprehensive care relating to their physical and mental health and their family planning needs, as well as adequate time out of office for personal, vacation, sick and bereavement leave needs. Some examples of the initiatives we provide in certain countries include post-birth parental and adoptive parent leave, financial assistance in connection with eligible fertility treatment, adoption and surrogacy expenses, health and wellness speaker series, health club discounts and subsidized memberships through Healthkick and virtual health visits.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provide robust compensation and benefits programs to help attract and retain talent and to meet the needs of our employees. In addition to salaries, these programs (which vary by country or region) include annual bonuses, stock awards, retirement savings plans, healthcare and insurance benefits, health savings and flexible spending accounts, paid time off, family leave, family care resources, flexible work schedules,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key personnel, particularly those with strong product and functional knowledge, critical technology and engineering skills and experience.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invest significant resources to develop and retain the talent needed to continue to build our position as a global leader in electronic marketplaces. We are focused on providing continuous opportunities for our employees to garner new knowledge and skills. Events and resources such as product and business updates, as well as other programs such as Lunch &amp; Learns and Tradeweb U(niversity), which provides education courses on financial topics, are aimed at sharing information and improving our collective understanding of our industry and our clients’ needs. We sponsor a competitive summer internship program, from which we often make full-time hires, and provide assistance with numerous professional courses and qualifications through our tuition reimbursement program.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Diversity Equity &amp; Inclusion Network, Tradeweb Cares philanthropy group, Sustainability Action Network and the Working Parents Network.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 and Philanthropy</w:t>
      </w:r>
    </w:p>
    <w:p>
      <w:pPr>
        <w:spacing w:after="0" w:line="202"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18"/>
          <w:szCs w:val="18"/>
          <w:color w:val="auto"/>
        </w:rPr>
        <w:t>We believe it is our responsibility to do our part to help the communities around the world where our employees live and work. We bring these opportunities to our employees through our philanthropy group, Tradeweb Cares, which focuses on corporate partnerships, encouraging employee volunteerism and matching of qualifying charitable contributions by our employees up to $1,000 per year per employee. We partner with many organizations around the world that are focused on the four pillars of our philanthropy strategy: ensuring equitable access to quality education and economic opportunity for all, supporting environmental conservation efforts to restore our planet, enriching and empowering social mobility in the communities where we live and work, and providing access to healthcare and disease prevention for our society’s most vulnerable.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 – Environmental, Social and Governance Matters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committed to doing our part to help financial markets move toward a more sustainable global financial system. In August 2023 we published our third annual Corporate Sustainability Report, which reports on our environmental, social and governance (“ESG”) goals and priorities as well as our progress towards those goals during calendar year 2022. While the reporting structure is relatively new, our strong foundation in ESG principles is not. 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Environment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including the eventual setting of science-based targets for greenhouse gas emissions. While our business involves limited direct environmental risks, we will endeavor to make our operations and impact more sustainable over time. Our primary environmental goals have been to reduce our overall energy consumption and emissions where possible, and to move toward renewable energy coverage, or direct sourcing of renewable energy for our Scope 2 energy usage. To that end, we purchased Green-e U.S. Renewable Energy Certificates for our forecasted 2023 U.S energy usage and retired them in September of 2023. We also purchased Japan Non-Fossil Certificates for our forecasted energy usage from operations in Asia, which were retired at the end of 2023. This marks a step forward in our climate action plan, and an action toward our stated goal of covering our global usage with renewable energy. Tradeweb also responded to CDP for the first time, and published our inaugural Taskforce on Climate-Related Financial Disclosure (“TCFD”) report, each in 2023. We endeavor to continue to be transparent and robust in our environmental disclosure, marking important steps toward that goal with these two reporting items.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By partnering with CBI, we aim to promote the visibility and accessibility of Green Bond trading activity across a wide range of asset classes, and leverage CBI data to provide transparency and clarity around the Green Bond trading volumes and trends on our platforms. In 2023, CBI-screened Green Bond trading accounted for $292.0 billion of the total $303.6 billion in global Green Bond trading volume executed on Tradeweb (excluding ETF). This represents a trading volume increase of 46% from 2022, calculated using CBI-screened Green Bond alignment based on the CBI definition of ‘Green’ as of December 31, 2023 for both the 2023 and 2022 comparative period. We provide Green Bond highlights across our institutional platform, including Global Credit, European Government Bonds, Supranationals, Repurchase Agreements, China Bonds, and Convertibles, and have Green Bond search tools across asset classes on our Retail platform. We plan to continually increase the data available to our clients around Green Bonds, and intend to expand this data set to include other ESG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securities including Social Bonds, Sustainability Bonds, and Sustainability-Linked Bonds.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 and Communities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 diverse workforce, please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Human Capital”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Governance</w:t>
      </w:r>
    </w:p>
    <w:p>
      <w:pPr>
        <w:spacing w:after="0" w:line="2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have invested in strong and well-established governance structures across our global enterprise, led by a diverse Board of Directors that is deeply experienced in our business and highly focused on advancing our ESG strategies across the company. As part of that commitment, during 2020, we established an ESG Steering Committee comprised of senior level executives covering major business directives across the company. The ESG Steering Committee is an advisory board assembled to guide our focus, and ensure delivery on our thoughtful approach to integrating our ESG strategy into our business and operations. To support the implementation of our ESG strategy, a dedicated team was formed and has expanded to meet the needs of our growing strategy. The team head reports directly into our senior executive leadership team, which provides critical support for the integration of these initiatives across our business. At the Board level, the Nominating and Corporate Governance Committee is responsible for ESG oversight and guidance. The Compensation Committee has responsibility for oversight of human capital-related topics, including diversity, equity, and inclusion, and the Audit Committee has responsibility for oversight of external reporting of climate-related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Transaction</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January 29, 2021, LSEG completed its acquisition of the Refinitiv business (currently referred to by LSEG as LSEG Data &amp; Analytics) from a consortium, including certain investment funds affiliated with Blackstone as well as Thomson Reuters, in an all share transaction.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LSEG Transaction, LSEG became the controlling shareholder of Refinitiv and Refinitiv continued to be the controlling shareholder of Tradeweb, holding approximately 89.9% of our combined voting power as of December 31, 2023. Tradeweb remained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We maintain a market data license agreement with LSEG, which was amended and restated effective as of November 1, 2023. The non-compete period applicable to Refinitiv in their restrictive covenant agreement with us was terminated as of January 29,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Class A common stock speculative or risky.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3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may reduce trading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compete successfully.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adapt our business effectively to keep pace with industry changes, we may not be able to compete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consolidation and concentration in the financial services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3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dealer clients to support our marketplaces by transacting with our other institutional, wholesale and retail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contractual arrangements with most of our liquidity taking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maintain and grow the capacity of our trading platforms, systems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design defects, errors, failures or delays with our platforms or solutions.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our business may be impacted by unforeseen, catastrophic or uncontrollable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team or the inability to attract and retain qualified personnel could materially adversely impact our ability to operate or grow our business.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damage to our reputation or brand.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impairment charges for our goodwill and other indefinite-lived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our environmental, social and governance goals.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3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our current level of business or execute our growth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entry into new markets will not be successful, and potential new markets may not develop quickly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acquisitions or divestitures,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enter into strategic alliances, partnerships or joint ventures, we may not realize the anticipated strategic goals for any such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31" w:lineRule="exact"/>
        <w:rPr>
          <w:sz w:val="20"/>
          <w:szCs w:val="20"/>
          <w:color w:val="auto"/>
        </w:rPr>
      </w:pPr>
    </w:p>
    <w:p>
      <w:pPr>
        <w:ind w:left="660" w:right="6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materially adversely affected by risks associated with our international operations.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may adversely affect our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31" w:lineRule="exact"/>
        <w:rPr>
          <w:sz w:val="20"/>
          <w:szCs w:val="20"/>
          <w:color w:val="auto"/>
        </w:rPr>
      </w:pPr>
    </w:p>
    <w:p>
      <w:pPr>
        <w:ind w:left="660" w:right="34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actual or perceived security vulnerabilities in the systems, networks and infrastructure that we own or use, breaches of security controls, unauthorized access to confidential or personal information or cyber-attacks.</w:t>
      </w:r>
    </w:p>
    <w:p>
      <w:pPr>
        <w:ind w:left="660" w:right="20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systems failures, interruptions, delays in service, catastrophic events and resulting interruptions in the availability of our platforms or solutions.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or rely on third-party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we are infringing or misappropriating their intellectual property rights.</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result in litigation or impose unanticipated restrictions on our ability to commercialize our platforms and solutions.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31" w:lineRule="exact"/>
        <w:rPr>
          <w:sz w:val="20"/>
          <w:szCs w:val="20"/>
          <w:color w:val="auto"/>
        </w:rPr>
      </w:pPr>
    </w:p>
    <w:p>
      <w:pPr>
        <w:ind w:left="660" w:right="6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 results in ongoing exposure to significant costs and penalties, enhanced oversight and restrictions and limitations on our business.</w:t>
      </w:r>
    </w:p>
    <w:p>
      <w:pPr>
        <w:ind w:left="660" w:right="3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businesses of many of our clients, could be materially adversely affected by new laws, rules or regulations or changes in existing laws, rules or regulations.</w:t>
      </w:r>
    </w:p>
    <w:p>
      <w:pPr>
        <w:ind w:left="660" w:right="38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privacy, data protection and information security laws, rules, regulations and obligations could harm our business.</w:t>
      </w:r>
    </w:p>
    <w:p>
      <w:pPr>
        <w:ind w:left="660" w:righ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new tax legislation and regulation as well as unanticipated changes in effective tax rates or adverse outcomes resulting from examination of our income or other tax returns.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risk management programs might not be effective.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litigation risk, including securities litigation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31" w:lineRule="exact"/>
        <w:rPr>
          <w:sz w:val="20"/>
          <w:szCs w:val="20"/>
          <w:color w:val="auto"/>
        </w:rPr>
      </w:pPr>
    </w:p>
    <w:p>
      <w:pPr>
        <w:ind w:left="660" w:right="1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that governs the 2023 Revolving Credit Facility imposes certain operating and financial restrictions on us and our restricted subsidiaries.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borrowings under the 2023 Revolving Credit Facility will subject us to interest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3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controls us and its interests may conflict with ours or yours.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corporate governance standards of Nasdaq.</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Delaware law might discourage or delay acquisition attempts for us that you might consider favorable.</w:t>
      </w:r>
    </w:p>
    <w:p>
      <w:pPr>
        <w:ind w:left="660" w:right="1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660" w:right="5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equity interest in TWM LLC, and, accordingly, we depend on distributions from TWM LLC to pay our taxes and expenses, including payments under the Tax Receivable Agreement.</w:t>
      </w:r>
    </w:p>
    <w:p>
      <w:pPr>
        <w:ind w:left="660" w:right="14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with the Continuing LLC Owners requires us to make cash payments to them in respect of certain tax benefits to which we may become entitled.</w:t>
      </w:r>
    </w:p>
    <w:p>
      <w:pPr>
        <w:ind w:left="660" w:right="3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ind w:left="660" w:right="30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payments under the Tax Receivable Agreement to the Continuing LLC Owners may be accelerated or significantly exceed the actual benefits we realize.</w:t>
      </w:r>
    </w:p>
    <w:p>
      <w:pPr>
        <w:ind w:left="660" w:right="1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reimbursed for any payments made to the Continuing LLC Owners under the Tax Receivable Agreement in the event that any tax benefits are disallowed.</w:t>
      </w:r>
    </w:p>
    <w:p>
      <w:pPr>
        <w:ind w:left="660" w:right="1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3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and Continuing LLC Owners may require us to issue additional shares of our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may be highly volatile.</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potential for sales, of a substantial number of shares of our Class A common stock in the public market could cause our stock price to drop significantly.</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pay regular dividends, but our ability to do so may be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share repurchases are subject to a number of uncertainties.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divert management’s attention, and we may be unable to comply with these requirements in a timely or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Market and Industry Dynamics and Competition</w:t>
      </w:r>
    </w:p>
    <w:p>
      <w:pPr>
        <w:spacing w:after="0" w:line="19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 w:lineRule="exact"/>
        <w:rPr>
          <w:sz w:val="20"/>
          <w:szCs w:val="20"/>
          <w:color w:val="auto"/>
        </w:rPr>
      </w:pPr>
    </w:p>
    <w:p>
      <w:pPr>
        <w:ind w:left="660" w:right="60" w:hanging="328"/>
        <w:spacing w:after="0" w:line="257"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social conditions in the United States, the UK, the EU and/or its member states, China or other major economies around the world, including, among other things, the strength and direction of the U.S. and global economy, the war in Ukraine and the Israel Hamas war;</w:t>
      </w:r>
    </w:p>
    <w:p>
      <w:pPr>
        <w:spacing w:after="0" w:line="1" w:lineRule="exact"/>
        <w:rPr>
          <w:rFonts w:ascii="Times New Roman" w:cs="Times New Roman" w:eastAsia="Times New Roman" w:hAnsi="Times New Roman"/>
          <w:sz w:val="17"/>
          <w:szCs w:val="17"/>
          <w:color w:val="auto"/>
        </w:rPr>
      </w:pPr>
    </w:p>
    <w:p>
      <w:pPr>
        <w:ind w:left="660" w:right="180" w:hanging="328"/>
        <w:spacing w:after="0" w:line="24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fluctuations (see “—Risks Relating to our International Operations — Fluctuations in foreign currency exchange rates may adversely affect our financial results” for further information);</w:t>
      </w:r>
    </w:p>
    <w:p>
      <w:pPr>
        <w:spacing w:after="0" w:line="1"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Federal Reserve Board and other central banks’ monetary policy, increased capital requirements for banks and other financial institutions and other regulatory requirements;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including unforeseen market closures or other disruptions in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business and finance, including the number of new issuances and changes in investment patterns and priorities;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a potential recession (in the United States or globally), inflation, the banking industry, including as a result of any bank failures and weakening consumer and investor confidence levels;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volatility of interest rates, including actual and anticipated increases in the federal funds rate by the Federal Reserve;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contraction in the number, and changes in the financial strength, of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for borrowings and investments by our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concerns, including concerns over credit default or bankruptcy of one or more sovereign nations or corporate entities;</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government policy changes, including changes to financial industry regulations and tax laws, including the Inflation Reduction Act of 2022 (the “IRA”) and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 including between the United States and China, or other governmental action related to tariffs, international trade agreements or trade policies; and</w:t>
      </w:r>
    </w:p>
    <w:p>
      <w:pPr>
        <w:ind w:left="660" w:right="24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or anticipated impact of climate change, extreme weather events, natural disasters and other catastrophic events, actual or threatened acts of war, terrorism or other armed hostilities or outbreaks of pandemic or contagious diseases.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factors also affect the degree of volatility (the magnitude and frequency of fluctuations) in the U.S. and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7"/>
          <w:szCs w:val="17"/>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successfully could materially adversely affect our business, financial condition and results of operations.</w:t>
      </w:r>
    </w:p>
    <w:p>
      <w:pPr>
        <w:spacing w:after="0" w:line="18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and from providers of execution management services and order management services.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Further, in 2022, TP ICAP completed its acquisition of Liquidnet to further diversify its business.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also include the sale of pre- and post-trade services, analytics and market data (including through a distribution agreement with LSEG).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3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 a rapidly evolving industry involves a high degree of risk and our future success will depend in part on our ability to:</w:t>
      </w:r>
    </w:p>
    <w:p>
      <w:pPr>
        <w:spacing w:after="0" w:line="18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the responsiveness, functionality, accessibility and reliability of our existing platforms and solutions;</w:t>
      </w:r>
    </w:p>
    <w:p>
      <w:pPr>
        <w:spacing w:after="0" w:line="27" w:lineRule="exact"/>
        <w:rPr>
          <w:rFonts w:ascii="Times New Roman" w:cs="Times New Roman" w:eastAsia="Times New Roman" w:hAnsi="Times New Roman"/>
          <w:sz w:val="18"/>
          <w:szCs w:val="18"/>
          <w:color w:val="auto"/>
        </w:rPr>
      </w:pPr>
    </w:p>
    <w:p>
      <w:pPr>
        <w:ind w:left="660" w:right="140" w:hanging="328"/>
        <w:spacing w:after="0" w:line="265"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for our platforms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existing platforms and solutions for new markets, asset classes and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technological advances, including new or disruptive technology such as artificial intelligence, emerging industry standards and practices and regulatory requirements and changes on a cost-effective and timely basis;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highly-skilled technology, regulatory, sales and marketing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adapt and develop our operations, systems, networks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threats;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acquisitions, strategic alliances and other opportunities;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applicable regulatory approval for our platforms and solutions.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4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4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which may lower our trading volumes. If our clients merge with or are acquired by other companies that are not our clients, or companies that utilize our offerings to a lesser degree, such clients may discontinue or reduce their use of our platforms and solutions. Any such developments could materially adversely affect our business, financial condition and results of operations.</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and Performance of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dealer clients to support our marketplaces by transacting with our other institutional, wholesale and retail clients.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our dealer clients to provide liquidity on our trading platforms by posting prices on our platforms and responding to client inquiries, and certain of our dealer clients account for a significant portion of our total trading volume on our platforms. In addition, our dealer clients also provide us with data via feeds and through the transactions they execute on our trading platforms, which is an important input for our data and analytics offerings. Market knowledge and feedback from dealer clients have been important factors in the development of many of our offerings and solutions.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maintain and grow the capacity of our trading platforms, systems and infrastructure.</w:t>
      </w:r>
    </w:p>
    <w:p>
      <w:pPr>
        <w:spacing w:after="0" w:line="18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Any material disruptions in our trading platforms could result in our clients deciding to stop using or to reduce their use of our trading platforms, either of which would have a material adverse effect on our business, financial condition and results of operations.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will need to continually improve and upgrade our trading platforms, systems and infrastructure to accommodate increases in trading volumes, changes in trading practices of new and existing clients or irregular or heavy use of our trading platforms, especially during peak trading times or at times of increased market volatility.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design defects, errors, failures or delays with our platforms or solutions, our business could suffer serious harm.</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feature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6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features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a number of third parties to supply, support and maintain critical elements of our operations, including our trading platforms,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4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and limited recourse to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providers and our clients for our pre- and post-trade data, analytics and reporting solutions.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LSEG to source certain reference data for products that trade on our platforms.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platforms at any time, which would decrease our volume of trade data and may diminish the competitiveness of our market data offerings.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pursuant to a market data license agreement, LSEG currently distributes a significant portion of our market data. The cancellation of, or any adverse change to, our arrangement with LSEG or the inability of LSEG to effectively distribute our data may materially harm our business and competitive position.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trading counterparties and clearinghouses to perform their obligations.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For example, historically we have used ICBC Financial Services (“ICBC”), a wholly-owned subsidiary of the Industrial and Commercial Bank of China Limited to clear U.S. Treasury trades executed by non-FICC members on our wholesale trading platform. Following the November 2023 ransomware attack on some ICBC operating systems, including those used to clear U.S. Treasury and repurchase agreement financings, we have and may continue to self-clear these U.S. Treasury trades.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our business may be materially adversely impacted by unforeseen, catastrophic or uncontrollable events. In addition, our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European operations are heavily concentrated in particular areas and may be adversely affected by events in those areas.</w:t>
      </w:r>
    </w:p>
    <w:p>
      <w:pPr>
        <w:spacing w:after="0" w:line="16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incur losses as a result of unforeseen, catastrophic or uncontrollable events, including fire, natural disasters, extreme weather events, global health crises (including COVID-19 and its variants), power loss, telecommunications failure, software or hardware malfunctions, theft, cyber-attacks, acts of war, terrorist attacks or other armed hostilities (including the war in Ukraine and the Israel Hamas war).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platforms and solutions available to our clients could be impaired and, as a result, we could lose critical data and revenues. If we are unable to deploy or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our U.S. operations are heavily concentrated in the New York metro area and our European operations are heavily concentrated in London, United Kingdom. Any event that affects either of those geographic areas could affect our ability to operate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5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overall trading volumes or our market share for our key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the financial services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an increase in the use of our trading platforms by new and existing clients;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volumes traded, changes in fee plans and average variable fees per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expenses, including those related to the maintenance and expansion of our business, operations and infrastructure;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or service outages, internet disruptions, the availability of our platforms, cyber-attacks, security breaches or perceived security breaches;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social, industry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and pricing policies (or those of our competitors);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any acquisitions, divestitures or strategic alliances;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platforms, solutions, technologies or businesses and potential future charges for impairment of goodwill from acquired companies;</w:t>
      </w:r>
    </w:p>
    <w:p>
      <w:pPr>
        <w:ind w:left="660" w:right="1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changes to existing, regulations that limit or affect our platforms, solutions and technologies or which increase our regulatory compliance costs; and</w:t>
      </w:r>
    </w:p>
    <w:p>
      <w:pPr>
        <w:ind w:left="660" w:right="16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any adjustments in our consolidated financial statements driven by changes in the liability under the Tax Receivable Agreement.</w:t>
      </w:r>
    </w:p>
    <w:p>
      <w:pPr>
        <w:spacing w:after="0" w:line="1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negatively impact our business, financial condition and results of operations.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for our goodwill and other indefinite-lived intangible assets which would negatively impact our operating results.</w:t>
      </w:r>
    </w:p>
    <w:p>
      <w:pPr>
        <w:spacing w:after="0" w:line="2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of December 31, 2023, we had goodwill of $2.8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our environmental, social and governance (“ESG”) goals.</w:t>
      </w:r>
    </w:p>
    <w:p>
      <w:pPr>
        <w:spacing w:after="0" w:line="18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have established ESG goals for our business. These goals reflect our current plans and aspirations and we may not be able to achieve them.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w:t>
      </w:r>
    </w:p>
    <w:p>
      <w:pPr>
        <w:spacing w:after="0" w:line="13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ability to achieve any ESG objective is subject to numerous risks, many of which are outside of our control. Examples of such risks include our ability to accurately track Scope 1, 2 and 3 greenhouse gas emissions, the evolving regulatory requirements affecting ESG standards or disclosures and our ability to recruit, develop and retain diverse talent in our workforce.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selection of voluntary disclosure frameworks and standards, and the interpretation or application of those frameworks and standards, may change from time to time or differ from those of others.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across our operations are evolving along with multiple disparate standards for identifying, measuring, and reporting ESG metrics, including ESG-related disclosures that may be required by the SEC and European and other regulators, and such standards may change over time, which could result in significant revisions to our current goals, reported progress in achieving such goals, or ability to achieve such goals in the future. If our ESG practices and goals do not meet evolving investor or other stakeholder expectations and standards, then our reputation or our attractiveness as an investment, business partner, acquirer, service provider or employer could be negatively impacted.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Strategies and other Strategic Opportunities</w:t>
      </w:r>
    </w:p>
    <w:p>
      <w:pPr>
        <w:spacing w:after="0" w:line="1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As of December 31, 2023, we derived approximately 52% of our revenue from our Rates asset class. Our long-term growth plan includes expanding the number of products we offer across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our entry into new markets will not be successful, and potential new markets may not develop quickly or at all.</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35" w:lineRule="exact"/>
        <w:rPr>
          <w:sz w:val="20"/>
          <w:szCs w:val="20"/>
          <w:color w:val="auto"/>
        </w:rPr>
      </w:pPr>
    </w:p>
    <w:p>
      <w:pPr>
        <w:jc w:val="both"/>
        <w:ind w:right="640"/>
        <w:spacing w:after="0" w:line="282" w:lineRule="auto"/>
        <w:rPr>
          <w:sz w:val="20"/>
          <w:szCs w:val="20"/>
          <w:color w:val="auto"/>
        </w:rPr>
      </w:pPr>
      <w:r>
        <w:rPr>
          <w:rFonts w:ascii="Times New Roman" w:cs="Times New Roman" w:eastAsia="Times New Roman" w:hAnsi="Times New Roman"/>
          <w:sz w:val="18"/>
          <w:szCs w:val="18"/>
          <w:color w:val="auto"/>
        </w:rPr>
        <w:t>These and other factors have led us to scale back our expansion efforts into new markets in the past, and there can be no assurance that we will not experience similar difficulties in the future. There can be no assurance that we will be able to successfully maintain or grow our operations abroad.</w:t>
      </w:r>
    </w:p>
    <w:p>
      <w:pPr>
        <w:spacing w:after="0" w:line="13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CodeStreet in 2016, Nasdaq’s U.S. fixed income electronic trading platform in 2021, Yieldbroker in 2023 and r8fin in 2024.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4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cannot readily predict the timing or size of any future acquisition or divestiture, and there can be no assurance that we will realize any anticipated benefits from any recent or any potential future acquisition or divestiture. If we do not realize any such anticipated benefits, our business, financial condition and results of operations could be materially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enter into strategic alliances, partnerships or joint ventures, we may not realize the anticipated strategic goals for any such transactions.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w:t>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International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risks associated with our international operations.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global company serving clients in over 70 countries with offices in North America, Europe, Asia, Australia and the Middle East.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139" w:lineRule="exact"/>
        <w:rPr>
          <w:sz w:val="20"/>
          <w:szCs w:val="20"/>
          <w:color w:val="auto"/>
        </w:rPr>
      </w:pPr>
    </w:p>
    <w:p>
      <w:pPr>
        <w:ind w:left="660" w:right="2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political and social conditions, including the possibility of economic slowdowns, hyperinflationary conditions, political instability, social unrest or outbreaks of pandemic or contagious diseases;</w:t>
      </w:r>
    </w:p>
    <w:p>
      <w:pPr>
        <w:ind w:left="660" w:right="6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and regulatory requirements, and the possibility that any required approvals may impose restrictions on the operation of our business;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government policies and regulations, or in how provisions are interpreted or administered and how we are supervised;</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and coordinate the various legal and regulatory requirements of multiple jurisdictions that are constantly evolving and subject to change;</w:t>
      </w:r>
    </w:p>
    <w:p>
      <w:pPr>
        <w:ind w:left="660" w:right="7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tax regimes, including with respect to imposition or increase of taxes on financial transactions or withholding and other taxes on remittances and other payments by subsidiaries;</w:t>
      </w:r>
    </w:p>
    <w:p>
      <w:pPr>
        <w:ind w:left="660" w:right="2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trade war, including between the United States and China, or other governmental action related to tariffs, international trade agreements or trade policies;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changes in currency policies or practices and restrictions on currency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repatriation or other transfer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protecting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enforce agreements, collect payments or seek recourse under or comply with differing commercial laws;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potential conflicts between locally accepted business practices and our obligations to comply with laws and regulations, including anti-corruption and anti-money laundering laws and regulations;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economic sanctions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difficulties in developing and managing our global operations and our technological infrastructure;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business activity.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may adversely affect our financial results.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36% of our revenues derived from our international operations. Since we operate in several different countries outside the United States, most notably the UK, the Netherlands, Japan, as well as Australia, China, Singapore, Hong Kong and Canada, among others, significant portions of our revenues, expenses, assets and liabilities are denominated in non-U.S. dollar currencies, most notably the British pound sterling and euros, as well as Japanese Yen, Australian dollars,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6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Intellectual Property</w:t>
      </w:r>
    </w:p>
    <w:p>
      <w:pPr>
        <w:spacing w:after="0" w:line="19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security vulnerabilities in our systems, networks and infrastructure, breaches of security controls, unauthorized access to confidential or personal information or cyber-attacks could harm our business, reputation and results of operations.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operation of our electronic trading platforms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we, like other financial services companies, may be subject to a heightened risk of such attacks from nation-state and affiliated actors, including attacks that could materially disrupt our systems, operations and platforms.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 reputational damage, financial losses, client dissatisfaction, regulatory enforcement actions, fines and penalties and/or private litigation.</w:t>
      </w:r>
    </w:p>
    <w:p>
      <w:pPr>
        <w:spacing w:after="0" w:line="1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detect or mitigate a cyber-attack,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cyber-attacks, security and data breaches or other security vulnerabilities and to protect against damage caused by such events.</w:t>
      </w:r>
    </w:p>
    <w:p>
      <w:pPr>
        <w:spacing w:after="0" w:line="1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have been an increasing number of cyber-attacks in recent years in various industries, including ours, and cybersecurity risk management has been the subject of increasing focus by U.S. and foreign regulators. See Part I, Item 1C. – “Cybersecurity – Governance” for further detail regarding our cybersecurity risk management, strategy and governance structure.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1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cyberattacks, cyber-warfare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trading platforms and solutions.</w:t>
      </w:r>
    </w:p>
    <w:p>
      <w:pPr>
        <w:spacing w:after="0" w:line="1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The SEC has proposed amendments which, among other things, would extend Regulation Systems Compliance and Integrity to systems involving U.S. government securities trading and impose additional cybersecurity-related obligations on covered entities.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4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2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Tax Considerations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the DNB, the AFM, the AMF, the ACPR, the BaFin, the JFSA, the JSDA, the SFC, the MAS, the ASIC, the CBNV, the FINMA, the Investment Industry Regulatory Organization of Canada and provincial regulators in Canada and the DFS.</w:t>
      </w:r>
    </w:p>
    <w:p>
      <w:pPr>
        <w:spacing w:after="0" w:line="1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51"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Even if regulatory approvals are obtained, they may limit or impose restrictions on our operations and activities, and we may not be able to continue to comply with the terms of such approvals.</w:t>
      </w:r>
    </w:p>
    <w:p>
      <w:pPr>
        <w:spacing w:after="0" w:line="1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the business of many of our clients, is subject to extensive regulation.</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such as the Federal Reserve’s recent increases to the federal funds rate, may directly impact our cost of funds for financing and investment activities and may impact the value of any financial instruments we hold.</w:t>
      </w:r>
    </w:p>
    <w:p>
      <w:pPr>
        <w:spacing w:after="0" w:line="1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1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14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for example, use of standard contractual clauses (“SCCs”), issued by the European Commission, or certification under the new EU-U.S. Data Privacy Framework administered by the U.S. Department of Commerce. .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SCCs cannot be used and/or broaden their enforcement activities, we could incur substantial costs and/or regulatory investigations or fines. We are also subject to the GDPR as incorporated into United Kingdom law (“UK GDPR”). Following Brexit, the European Commission adopted a UK adequacy decision in June 2021 which organizations can rely on for EEA to UK personal data transfers. This decision will automatically expire four years after its entry into force, but it might be renewed provided the UK maintains an adequate level of data protection. The relationship between the UK and the EU in relation to certain aspects of data protection law remains unclear, however, and it is unclear how UK data protection laws and regulations will develop in the medium to longer term, and how data transfers to and from the UK will be regulated in the long term. Outside of Europe and the UK, several other countries in which we operate, including China, Japan, Singapore and Hong Kong have established specific legal requirements for privacy, data protection and information security, including data localization and/or cross-border transfer restrictions.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Recent European court and regulator decisions are driving increased attention to use of cookies and tracking technologies on websites and digital platforms. If the trend of increasing enforcement by regulators of the strict approach to opt-in consent for all but essential use cases,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There has also been increased regulation of data privacy and security in the U.S. at the state level. For example, the California Consumer Privacy Act (“CCPA”), which came into force in 2020, broadly defines personal information,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The CCPA contained certain exemptions for personal information of employees and job applicants, and personal information collected in a “business-to-business” context, each of which expired as of January 1, 2023, expanding compliance obligations under the CCPA.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2023 and 2026, and a number of other states are considering similar laws related to the protection of consumer personal information.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many jurisdictions have also enacted or are considering laws requiring companies to notify individuals and/or regulators of data security breaches involving their personal data.These mandatory notifications are costly to implement and often lead to widespread negative publicity, which may cause our clients to lose confidence in the effectiveness of our cybersecurity measures. Any inability, or perceived inability, by us or third parties on which we rely to comply with applicable laws, regulations, policies, industry standards and guidance, contractual obligations, or other legal obligations requiring notification could result in litigation; regulatory investigations, fines and penalties; enforcement actions;increased costs to us and significant legal and financial exposure and/or reputational harm.</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and regulation may materially adversely affect our financial condition, results of operations and cash flows.</w:t>
      </w:r>
    </w:p>
    <w:p>
      <w:pPr>
        <w:spacing w:after="0" w:line="20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 For example, the IRA enacted, among other changes, a 15% corporate alternative minimum tax on certain United States corporations and a 1% excise tax on certain stock redemptions by United States corporations. 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We may be subject to the provisions of the Two Pillar Plan, and related tax impacts per local country adoption, as we are a consolidating subsidiary of LSEG.</w:t>
      </w:r>
    </w:p>
    <w:p>
      <w:pPr>
        <w:spacing w:after="0" w:line="14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3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lower statutory tax rates and higher than anticipated in countries where we have higher statutory tax rates.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liability for adjustments to a partnership’s tax return may be imputed to the partnership itself absent an election to the contrary.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TWM LLC may be subject to material liabilities if, for example, its calculations of taxable income are incorrect.</w:t>
      </w:r>
    </w:p>
    <w:p>
      <w:pPr>
        <w:spacing w:after="0" w:line="16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6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litigation risk, including securities litigation risk.</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9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2023 Revolving Credit Facility imposes certain operating and financial restrictions on us and our restricted subsidiaries, which may prevent us from capitalizing on business opportunities, and we may incur debt in the future that may include similar or additional restrictions.</w:t>
      </w:r>
    </w:p>
    <w:p>
      <w:pPr>
        <w:spacing w:after="0" w:line="13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party to the 2023 Revolving Credit Facility, a $500.0 million senior unsecured revolving credit facility with a syndicate of banks. The credit agreement that governs the 2023 Revolving Credit Facility imposes certain operating and financial restrictions. These restrictions, which are subject to a number of qualifications and exceptions, could, among other things, limit the ability of (i) TWM LLC to merge or consolidate with other entities, (ii) the subsidiaries of TWM LLC to incur or guarantee indebtedness and (iii) TWM LLC and its subsidiaries to create or incur liens.</w:t>
      </w:r>
    </w:p>
    <w:p>
      <w:pPr>
        <w:spacing w:after="0" w:line="1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that governs our 2023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4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These covenants could affect our ability to finance our future operations or capital needs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In addition, complying with these covenants may also cause us to take actions that make it more difficult for us to successfully execute our business strategies and compete against companies that are not subject to such restrictions.</w:t>
      </w:r>
    </w:p>
    <w:p>
      <w:pPr>
        <w:spacing w:after="0" w:line="1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failure to comply with the covenants and other terms of the 2023 Revolving Credit Facility and/or the terms of any future indebtedness could result in an event of default. If any such event of default occurs and is not waived, the lenders under the 2023 Revolving Credit Facility could elect to declare all amounts outstanding and accrued and unpaid interest, if any, under the 2023 Revolving Credit Facility to be immediately due and payable. The lenders would also have the right in these circumstances to terminate any commitments they have to provide further credit extensions. If we are forced to refinance any borrowings under the 2023 Revolving Credit Facility on less favorable terms or if we cannot refinance these borrowings, our financial condition and results of operations could be materially adversely affected.</w:t>
      </w:r>
    </w:p>
    <w:p>
      <w:pPr>
        <w:spacing w:after="0" w:line="14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although the credit agreement that governs the 2023 Revolving Credit Facility contains restrictions on the incurrence of certain indebtedness, these restrictions are subject to a number of qualifications and exceptions, and we and our subsidiaries may be able to incur substantial indebtedness in the future. The terms of any future indebtedness we may incur could include more restrictive covenants.</w:t>
      </w:r>
    </w:p>
    <w:p>
      <w:pPr>
        <w:spacing w:after="0" w:line="1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borrowings under the 2023 Revolving Credit Facility will subject us to interest rate risk, which could cause our debt service obligations to increase significantly.</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borrowings under the 2023 Revolving Credit Facility will be at variable rates of interest and expose us to interest rate risk. If interest rates rise, as they did throughout most of 2023, our debt service obligations on any borrowings under the 2023 Revolving Credit Facility will increase even though the amount borrowed may remain the same, and our net income and cash flows will correspondingly decrease. Assuming that the $500.0 million 2023 Revolving Credit Facility was fully drawn, each 0.125% change in interest rates would result in an approximate change of $0.6 million in annual interest expense on the borrowings under the 2023 Revolving Credit Facility.</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Borrowings under the 2023 Revolving Credit Facility may bear interest at a rate per annum that, at our election, is based upon SOFR. Since the initial publication of SOFR, daily changes in the rate have, on occasion, been more volatile than daily changes in comparable benchmark or market rates, and SOFR over time may bear little or no relation to the historical actual or historical indicative data. The possible volatility of and uncertainty around SOFR as a LIBOR replacement rate could result in higher borrowing costs for us, which could adversely affect our liquidity,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Organizational Structure and 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controls us and its interests may conflict with ours or yours in the future.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LSEG Transaction, LSEG is the controlling shareholder of Refinitiv and Refinitiv continues to be the controlling shareholder of Tradeweb. As of December 31, 2023, Refinitiv controls approximately 89.9% of the combined voting power of our common stock as a result of its ownership of our Class B common stock and Class D common stock, each share of which is entitled to 10 votes on all matters submitted to a vote of our stockholders and its ownership of our Class C common stock, each share of which is entitled to 1 vote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3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nominations be made, or recommended to the full board of directors, by its independent directors or by a nominations committee that is composed entirely of independent directors; and</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in the future rely on any or all of the exemptions listed above. If we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if we utilize the exemptions, you would not have the same protections afforded to stockholders of companies that are subject to all of the corporate governance requirements of Nasdaq.</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2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multi-class common stock structure with a 10 vote per share feature of our Class B common stock and Class D common stock;</w:t>
      </w:r>
    </w:p>
    <w:p>
      <w:pPr>
        <w:spacing w:after="0" w:line="27" w:lineRule="exact"/>
        <w:rPr>
          <w:rFonts w:ascii="Times New Roman" w:cs="Times New Roman" w:eastAsia="Times New Roman" w:hAnsi="Times New Roman"/>
          <w:sz w:val="18"/>
          <w:szCs w:val="18"/>
          <w:color w:val="auto"/>
        </w:rPr>
      </w:pPr>
    </w:p>
    <w:p>
      <w:pPr>
        <w:jc w:val="both"/>
        <w:ind w:left="660" w:right="24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ind w:left="660" w:right="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stockholders at stockholder meetings.</w:t>
      </w:r>
    </w:p>
    <w:p>
      <w:pPr>
        <w:spacing w:after="0" w:line="14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49" w:lineRule="exact"/>
        <w:rPr>
          <w:sz w:val="20"/>
          <w:szCs w:val="20"/>
          <w:color w:val="auto"/>
        </w:rPr>
      </w:pPr>
    </w:p>
    <w:p>
      <w:pPr>
        <w:ind w:left="660" w:right="14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ind w:left="660" w:right="340" w:hanging="328"/>
        <w:spacing w:after="0" w:line="25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200" w:hanging="328"/>
        <w:spacing w:after="0" w:line="26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2023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14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the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Continuing LLC Owners could be substantial. For example, as of December 31, 2023, we recorded a liability of $457.5 million related to our projected obligations under the Tax Receivable Agreement with respect to LLC Interests that were purchased by Tradeweb Markets Inc. using the net proceeds from the IPO and the October 2019 and the April 2020 follow-on offerings and LLC Interests that were subsequently exchanged by Continuing LLC Owners.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a Continuing LLC Owner of 50% of the tax benefits,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3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and Continuing LLC Owners may require us to issue additional shares of our Class A common stock.</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February 2, 2024, we have an aggregate of 884,261,056 shares of Class A common stock authorized but unissued, including approximately 120,011,165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highly volatile.</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3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global economic conditions or activity levels in our industry, including any potential recession in the U.S. or global economies;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 with our clients or in client needs or expectations or trends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or by our competitors or concerning our industry or the markets in which we operate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integrate acquisitions;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 or failure to meet guidance given by us or any change in guidance given by us or in our guidance practices;</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Class A common stock;</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the Company or changes in financial estimates by the analysts who cover us, our competitors or our industry in general;</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legal and regulatory factors unrelated to our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management or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executive officers, directors or our stockholders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our competitors and our industry;</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our multi-class capital structure, such as stock index providers excluding companies with multi-class capital structures from certain indices; and</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the U.S. equity markets generally.</w:t>
      </w:r>
    </w:p>
    <w:p>
      <w:pPr>
        <w:spacing w:after="0" w:line="1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February 2, 2024 we have 115,738,944 outstanding shares of Class A common stock and 120,011,165 shares of Class A common stock that are authorized but unissued that would be issuable upon redemption or exchange of LLC Interests or exchange of shares of our Class B common stock.</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shares of Class A common stock issued or issuable upon exercise of options that have currently vested and vesting of outstanding equity awards (as described more fully in Note 13 - Stock-Based Compensation Plains to our audited consolidated financial statements included elsewhere in this Annual Report on Form 10-K)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Class A common stock and Class B common stock, but our ability to do so may be limited.</w:t>
      </w:r>
    </w:p>
    <w:p>
      <w:pPr>
        <w:spacing w:after="0" w:line="18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and amount of any share repurchases are subject to a number of uncertainties.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5, 2022, our board of directors approved a share repurchase program with an indefinite term under which the Company may purchase up to $300 million of its Class A common stock (the “Share Repurchase Program”). Pursuant to the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 10b5-1 plans. The Share Repurchase Program will be conducted in compliance with applicable legal requirements and shall be subject to market conditions and other factors. The Share Repurchase Program has no termination date, may be suspended or discontinued at any time and does not obligate the company to acquire any amount of Class A common stock, and our board of directors may not authorize any increases to or extensions of the Share Repurchase Program or any new repurchase program in the future.</w:t>
      </w:r>
    </w:p>
    <w:p>
      <w:pPr>
        <w:spacing w:after="0" w:line="1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manner, timing and amount of any purchase will be based on an evaluation of market conditions, stock price and other factors. For example, the IRA imposes a 1% excise tax on the repurchase of stock by publicly traded U.S. corporations. The imposition of the excise tax on repurchases of our shares will increase the cost to us of making repurchases and may cause management to reduce the number of shares repurchased pursuant to the program. Additional considerations that could cause management to limit, suspend or delay future stock repurchases include unfavorable market conditions, the trading price of our Class A common stock, the nature and magnitude of other investment opportunities available to us from time to time and the allocation of available cash.</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repurchases of shares of our Class A common stock pursuant to the Share Repurchase Program could affect our stock price and increase its volatility. For example, the existence of the Share Repurchase Program could cause our stock price to be higher than it would be in the absence of such a program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program’s effectiveness. Additionally, our share repurchase program could diminish our cash reserves, which may impact our ability to finance or pursue our business strategies.</w:t>
      </w:r>
    </w:p>
    <w:p>
      <w:pPr>
        <w:spacing w:after="0" w:line="15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For example, we expect to incur additional costs in connection with compliance with any new climate-related disclosure rules.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leader in building and operating electronic marketplaces, we face a broad set of cybersecurity risks stemming from managing complex technology systems, handling sensitive data, and the digital nature of our business. Managing cybersecurity risk is critically important to our business. We have comprehensive cybersecurity risk management and governance systems in place across our global operations designed to support successful operation of our systems.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an environment where cybersecurity risks is a dynamic and evolving factor. We are committed to appropriately managing and minimizing the impact of cybersecurity risk on the achievement of our business objectives. We view cybersecurity risk management as a fundamental business process essential to our overall success. As such, we have integrated our cybersecurity program into our comprehensive Risk Framework, which is in place to support the management and oversight of risk across our organization. The Risk Framework establishes a consistent approach for identifying, assessing, measuring, mitigating, and reporting on material risks, including cybersecurity risks. The Risk Framework is composed of process components such as risk governance, risk identification and assessment, risk measurement, risk response and remediation and risk analysis and reporting.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The general objectives for our cybersecurity program are to protect our information systems from cyber threats and to protect the confidentiality, integrity and availability of systems and information used, owned, or managed by Tradeweb and our customers. This involves a comprehensive and ongoing effort to protect against, detect, and respond to cybersecurity threats and vulnerabilities. Our cybersecurity program includes a number of components, such as:</w:t>
      </w:r>
    </w:p>
    <w:p>
      <w:pPr>
        <w:spacing w:after="0" w:line="13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risk assessments to identify potential vulnerabilities and threats;</w:t>
      </w:r>
    </w:p>
    <w:p>
      <w:pPr>
        <w:spacing w:after="0" w:line="27"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cybersecurity frameworks by adopting policies, standards and guidelines derived from a combination of ISO/IEC 27001 principles, the National Institute of Standards and Technology Cybersecurity Framework and industry best practices;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strict access control policies as appropriate;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strong encryption protocols;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advanced threat detection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security audits and penetration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thorough security assessment of third-party vendors and service providers on an ongoing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of our and third-party systems.</w:t>
      </w:r>
    </w:p>
    <w:p>
      <w:pPr>
        <w:spacing w:after="0" w:line="1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part of our cybersecurity program, we have robust incident response and business continuity plans designed to provide a framework for quick and effective remediation of cyber issues, which are tested periodically throughout the year. Additionally, we have worked to create a culture of security by providing regular cybersecurity training to employees to raise awareness about various cyber threats like phishing, social engineering, and insider threats. We provide additional targeted training to individuals responsible for managing our information systems. We also maintain cyber insurance coverage intended to mitigate certain costs associated with certain cybersecurity events.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each year, we undergo System and Organization Controls (“SOC”) 1 and SOC 2 audit reviews performed by an independent third-party firm to test our information technology systems internal controls. In 2023, we also engaged a third-party service provider to conduct a cybersecurity maturity assessment of our information security program. We also regularly engage additional assessors, auditors and service providers in connection with the implementation, assessment, enhancement and evaluation of our cybersecurity program, including our risk management processes.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not been a victim of a cyber-attack or other cybersecurity incident that has had a material impact on us, our business strategy, results of operations or financial condition; however, we have from time to time experienced non-significant cybersecurity events, including attempted denial of service attacks, malware infections, phishing and other information technology events that are typical for an electronic financial services company of our size. An actual, threatened or perceived cyber-attack or breach of our security could materially affect us, including our business strategy, results of operations and financial condition in many ways, including through the loss of clients or client confidence, expenditure of significant costs to repair system, network or infrastructure damages as well as to protect against future cyber-attacks, security breaches or harm and potential litigation or other claims or actions, including from regulatory agencies. For additional information regarding risks related to cybersecurity threats, see Part I, Item 1A. – “Risk Factors — Risks Relating to Cybersecurity and Intellectual Property — Actual or perceived security vulnerabilities in our systems, networks and infrastructure, breaches of security controls, unauthorized access to confidential or personal information or cyber-attacks could harm our business, reputation and results of operations” and “— Systems failures, interruptions, delays in service, catastrophic events and resulting interruptions in the availability of our platforms or solutions could materially harm our business and reputation.”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of Directors of Tradeweb Markets Inc. exercises direct oversight of the strategic risks to the Company. The Audit Committee of the Board reviews guidelines and policies governing the process by which senior management assesses and manages our exposure to risk, including our major financial and operational risk exposures including those derived from cybersecurity risk, and the steps management takes to monitor and control such exposures. Our Board and our Audit Committee each receive periodic reports from our Chief Information Security Officer and Chief Risk Officer to assess key cybersecurity risks for the Company and the measures implemented to mitigate them, as well as updates regarding changes to our cybersecurity risk profile or newly identified significant risks. In addition, the Audit Committee reports to the Board on these matters at each regularly scheduled Board meeting. The Board and Audit Committee provide feedback and recommendations accordingly.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operate on a “three lines of defense” risk governance model, with partnership and communication across the three lines. The first line of defense is comprised of the business and technology managers, the second line of defense is comprised of the Compliance, Risk and Information Security teams and the third line of defense is comprised of the Internal Audit function. The second and third lines of defense focus on providing the first line of defense with advisory and assurance functions for informed and actionable risk-based decisions. The Enterprise Risk Committee (the “ERC”) is chaired by our Chief Risk Officer and includes our President, Chief Technology Officer, General Counsel, Global Head of Enterprise Risk, Chief Information Security Officer, Head of Global Compliance, Global Head of Human Resources, Head of Internal Audit and various global heads of business lines and corporate functions. The ERC is responsible for the governance and oversight of our Risk Framework, which includes cybersecurity risks. Its responsibilities include, supervising risk mitigation strategies and their implementation, overseeing compliance and regulatory aspects, managing crisis, approving risk tolerance, reviewing and approving material policy changes and evaluating the effectiveness of the organization’s risk management practices. The ERC regularly obtains reports from the Chief Information Security Officer who maintains the primary responsibility for assessing and managing the cybersecurity risks, to evaluate the principal cybersecurity risks for the Company and review strategies in place to mitigate them. The ERC meets quarterly and reports to senior management, including the Chief Executive Officer and Chief Financial Officer. Senior management provides oversight and support in aligning cyber risk management with the Company’s strategic decisions, fostering a culture of risk awareness across the organization and allocating adequate resources to support the initiatives.</w:t>
      </w:r>
    </w:p>
    <w:p>
      <w:pPr>
        <w:spacing w:after="0" w:line="15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Chief Information Security Officer leads a highly qualified cybersecurity team in assessing, managing and reducing material risks from cybersecurity threats to protect critical operations and delivery of service. Our Chief Information Security Officer has over 25 years of industry experience, with more than a decade of CISO experience at various financial institutions. Many members of the cybersecurity team hold Certified Information Systems Security Professional and Certified Information Systems Auditor certifications. In addition, our Global Head of Enterprise Risk has over a decade of experience managing enterprise risk programs and maintains multiple information security certifications. We also belong to several professional and recognized industry organizations related to cybersecurity, including FS-ISAC, FCA Cyber Coordination Group and SIFMA in order to stay up-to-date on industry-wide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corporate headquarters is located in New York, New York. As of December 31, 2023, our principal offices consisted of the following properties: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568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231F20"/>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New York, New York</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Jersey City, New Jersey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12/31/2027</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United Kingdom</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Office Space</w:t>
            </w:r>
          </w:p>
        </w:tc>
      </w:tr>
    </w:tbl>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also rent offices in Boston, Massachusetts, Garden City, New York, Shanghai, China, Paris, France, Hong Kong, China, Tokyo, Japan, Amsterdam, Netherlands, Dubai, United Arab Emirates, Singapore, Miami, Florida, Chicago, Illinois and Sydney, Australia.</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infrastructure operates out of third-party data centers in Secaucus, New Jersey, Weehawken, New Jersey, Piscataway, New Jersey and Chicago, Illinois and, outside the United States, in Hounslow, United Kingdom, Slough, United Kingdom, Saitama, Japan, Tokyo, Japan and Sydney, Australia.</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Treasuries Matter</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Times New Roman" w:cs="Times New Roman" w:eastAsia="Times New Roman" w:hAnsi="Times New Roman"/>
          <w:sz w:val="18"/>
          <w:szCs w:val="18"/>
          <w:i w:val="1"/>
          <w:iCs w:val="1"/>
          <w:color w:val="auto"/>
        </w:rPr>
        <w:t>In re Treasuries Securities Auction Antitrust Litigation</w:t>
      </w:r>
      <w:r>
        <w:rPr>
          <w:rFonts w:ascii="Times New Roman" w:cs="Times New Roman" w:eastAsia="Times New Roman" w:hAnsi="Times New Roman"/>
          <w:sz w:val="18"/>
          <w:szCs w:val="18"/>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Defendants filed motions to dismiss in February 2018, including a separate motion to dismiss filed by the Tradeweb Parties. The cases were dismissed in March 2021, with the Court granting the Plaintiffs leave to further amend the complaint by no later than May 14, 2021. The Plaintiffs filed an amended complaint on or about May 14, 2021, and the Company served its motion to dismiss the amended compliant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Oral argument in the appeal was held on October 3, 2023, and by order and opinion issued on February 1, 2024, the Second Circuit affirmed the District Court’s order dismissing all claims against all defendants, including the claims against the Company.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Swaps Matter</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18"/>
          <w:szCs w:val="18"/>
          <w:i w:val="1"/>
          <w:iCs w:val="1"/>
          <w:color w:val="auto"/>
        </w:rPr>
        <w:t>Public School Teachers’ Pension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Fund of Chicago v. Bank of America Corporation</w:t>
      </w:r>
      <w:r>
        <w:rPr>
          <w:rFonts w:ascii="Times New Roman" w:cs="Times New Roman" w:eastAsia="Times New Roman" w:hAnsi="Times New Roman"/>
          <w:sz w:val="18"/>
          <w:szCs w:val="18"/>
          <w:color w:val="auto"/>
        </w:rPr>
        <w:t>, Case No. 15-cv-09219 (S.D.N.Y.). Additional plaintiffs, including Tera Group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Javelin Capital Markets LLC, filed lawsuits and, ultimately, the cases were consolidated under the caption </w:t>
      </w:r>
      <w:r>
        <w:rPr>
          <w:rFonts w:ascii="Times New Roman" w:cs="Times New Roman" w:eastAsia="Times New Roman" w:hAnsi="Times New Roman"/>
          <w:sz w:val="18"/>
          <w:szCs w:val="18"/>
          <w:i w:val="1"/>
          <w:iCs w:val="1"/>
          <w:color w:val="auto"/>
        </w:rPr>
        <w:t>In re Interest Rate Swaps Antitrust Litigation</w:t>
      </w:r>
      <w:r>
        <w:rPr>
          <w:rFonts w:ascii="Times New Roman" w:cs="Times New Roman" w:eastAsia="Times New Roman" w:hAnsi="Times New Roman"/>
          <w:sz w:val="18"/>
          <w:szCs w:val="18"/>
          <w:color w:val="auto"/>
        </w:rPr>
        <w:t>, No. 1:16-md-2704.</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under the ticker symbol “TW.” There is no established public trading market for our Class B common stock, Class C common stock or Class D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2023, there are two holders of record of our Class A common stock, one holder of record of our Class B common stock, one holder of record of our Class C common stock and 12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two holders of record of our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$0.10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2023, Tradeweb Markets Inc. paid quarterly cash dividends of $0.09 per share, in an aggregate amount of $75.9 million, to the holders of Class A common stock and Class B common stock.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November 16, 2023, we and TWM LLC entered into a definitive agreement for TWM LLC to acquire all the outstanding equity interests of r8fin, which closed on January 19, 2024. On the closing date, we issued a total of 374,601 shares of Class A common stock as partial consideration for the acquisition. The issuance of the Class A common stock was made in reliance on Section 4(a)(2) of the Securities Act. The Company relied on this exemption from registration based in part on the nature of the transaction and the representations made by the recipients of the Class A common stock, which were former equityholders of r8fin.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of this Report for information about securities authorized for issuance under our equity compensation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2023, we did not repurchase any securities pursuant to share repurchase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April 4, 2019 (the date our Class A common stock commenced trading on Nasdaq) through December 31, 2023 of the cumulative total return for (i) our Class A common stock, (ii) the S&amp;P 500 Index and (iii) the Dow Jones U.S. Financials Index. The graph assumes an initial investment of $100 in our Class A common stock and in each index on April 4, 2019, and that all dividends were reinvested. Historical stock price performance should not be relied upon as an indication of future stock price performance</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99695</wp:posOffset>
            </wp:positionV>
            <wp:extent cx="5966460" cy="3291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646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includes a comparison of our results of operations, cash flows and liquidity and capital resources for the years ended December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 2023 and 2022, respectively. A comparison of our results of operations, cash flows and liquidity and capital resources from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31, 2022 and December 31, 2021 may be found in Part II, Item 7. – “Management’s Discussion and Analysis of Financial Condition and Results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Operations,” of our Annual Report on Form 10-K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70 countries with offices in North America, Europe, Asia, Australia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70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190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Yieldbroker</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August 31, 2023, we completed the acquisition of all of the outstanding equity interests of Tradeweb Australia Pty Ltd (formerly Yieldbroker Pty Limited). The all-cash purchase price of A$123.6 million ($80.1 million U.S. dollars as translated as of August 31, 2023) was net of cash acquired and prior to working capital and other closing adjustments.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Yieldbroker is a Tier 1 Australian Markets Licensee in Australia, regulated by ASIC, that maintains a branch in Singapore that is regulated by the MAS as a Regulated Market Operator. Yieldbroker operates a leading Australian trading platform for Australian and New Zealand government bonds and interest rate derivatives covering the institutional and wholesale client sectors. This acquisition combines Australia and New Zealand’s highly attractive, fast-growing markets with Tradeweb’s international reach and scale. The Yieldbroker acquisition is not material to our consolidated financial statements and did not have a significant impact to our results of operations for the year ended December 31, 2023. See Note 4 – Acquisitions to the consolidated financial statements included elsewhere in this Annual Report on Form 10-K for additional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r8fin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16, 2023, we entered into a definitive agreement to acquire r8fin in exchange for total consideration of $125 million, consisting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$90 million in cash and $35 million in shares of Class A common stock of the Corporation, subject to working capital and other adjustments.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creating a valuable and broad-based approach to trading U.S. Treasuries and related futures trading. The acquisition closed on January 19, 2024, following the satisfaction of closing conditions and regulatory reviews. The r8fin acquisition is not expected to be material to our 2024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LSEG Market Data Agreement</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October 2023, we signed an amended and restated two-year market data license agreement with an affiliate of LSEG (formerly referred to as Refinitiv), pursuant to which LSEG will continue to distribute certain of our data directly to LSEG customers through its flagship financial platforms, LSEG Workspace, Datascope, LSEG Pricing Service and Tick History. The 2023 agreement, which was effective on November 1, 2023, replaced an existing agreement that was initiated in 2010 and most recently renewed in 2018, and provides us with increased revenue and flexibility in growing our market data offering. We will seek to further monetize our data over time both through potential expansion of our existing market data license agreement with LSEG and through distributing additional datasets, derived data and analytics offerings through our own network or through other third-party networks. Our current revenue guidance related to the 2023 LSEG market data agreement is forecasting approximately $80 million and $90 million for the years ended December 31, 2024 and 2025,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2024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See Part I, Item 1C. – “Cybersecurity – Governance” for further detail regarding our cybersecurity risk management, strategy and governance structure.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2023, 2022 and 2021.</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 ended December 31, 2023. The Company will be subject to the 15% CAMT, which is expected to change the estimated period in which the tax receivable agreement liability payments will be made. However, it is not expected to have a material impact on the Company’s effective tax rate. The adoption of the IRA will also not have an impact to our non-GAAP adjusted effective tax rate used for purposes of calculating our non-GAAP measure of Adjusted Net Income.</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does not expect to have material impact of the Two Pillar Plan, but will continue to monitor legislative development.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Asia, Australia and the Middle East.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(Expense)</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 Interest expense consists of commitment fees payable on, and, if applicable, interest payable on any borrowings outstanding under our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December 31, 2023, we owned 90.2% of TWM LLC and Continuing LLC Owners owned the remaining 9.8% of TWM LLC.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and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years ended December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832,950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years ended December 31, 2023 and 2022,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2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7"/>
        </w:trPr>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0"/>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8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6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7"/>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7"/>
        </w:trPr>
        <w:tc>
          <w:tcPr>
            <w:tcW w:w="2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1,078,344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950,269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9"/>
        </w:trPr>
        <w:tc>
          <w:tcPr>
            <w:tcW w:w="2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248,308</w:t>
            </w:r>
          </w:p>
        </w:tc>
        <w:tc>
          <w:tcPr>
            <w:tcW w:w="1560" w:type="dxa"/>
            <w:vAlign w:val="bottom"/>
            <w:gridSpan w:val="3"/>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228,643</w:t>
            </w:r>
          </w:p>
        </w:tc>
        <w:tc>
          <w:tcPr>
            <w:tcW w:w="15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560" w:type="dxa"/>
            <w:vAlign w:val="bottom"/>
            <w:gridSpan w:val="3"/>
          </w:tcPr>
          <w:p>
            <w:pPr>
              <w:jc w:val="right"/>
              <w:ind w:right="14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58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0"/>
        </w:trPr>
        <w:tc>
          <w:tcPr>
            <w:tcW w:w="3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4"/>
        </w:trPr>
        <w:tc>
          <w:tcPr>
            <w:tcW w:w="2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1"/>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40" w:hanging="332"/>
        <w:spacing w:after="0" w:line="271"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years ended December 31, 2023 and 2022 include $64.3 million and $62.7 million, respectively, of LSEG market data fees (formerly referred to as Refinitiv market data fees).</w:t>
      </w:r>
    </w:p>
    <w:p>
      <w:pPr>
        <w:ind w:left="340" w:right="300" w:hanging="332"/>
        <w:spacing w:after="0" w:line="262"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diversified offering across products, client sectors and geographies supported sustained growth amidst a complex macroeconomic backdrop, including historic interest rate moves, geopolitical uncertainty and sustained broader market rate volatility. The primary driver of the $149.4 million increase in revenue was related to a $128.1 million increase in transaction fees and commissions to $1.1 billion for the year ended December 31, 2023 from $950.3 million for the year ended December 31, 2022, primarily due to higher revenues for rates derivatives products, U.S. and European corporate bonds, U.S. and European government bonds and certificates of deposit.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years ended December 31, 2023 and 2022,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695,434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605,406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years ended December 31, 2023 and 2022,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Pr>
          <w:p>
            <w:pPr>
              <w:spacing w:after="0"/>
              <w:rPr>
                <w:sz w:val="19"/>
                <w:szCs w:val="19"/>
                <w:color w:val="auto"/>
              </w:rPr>
            </w:pPr>
          </w:p>
        </w:tc>
        <w:tc>
          <w:tcPr>
            <w:tcW w:w="1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Revenues from our rates asset class increased by $90.0 million or 14.9% to $695.4 million for the year ended December 31, 2023 compared to $605.4 million for the year ended December 31, 2022 primarily due to higher variable transaction fees and commissions on higher trading volumes for rates derivatives products and U.S. and European government bonds and an increase in fixed subscription fees.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Revenues from our credit asset class increased by $35.6 million or 10.7% to $367.4 million for the year ended December 31, 2023 compared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$331.8 million for the year ended December 31, 2022 primarily due to higher variable transaction fees and commissions on higher trading volumes for U.S. and European corporate bonds, partially offset by lower variable transaction fees and commissions on lower trading volumes for credit derivatives products.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xml:space="preserve"> Revenues from our equities asset class increased by $1.8 million or 1.9% to $95.3 million for the year ended December 31, 2023 compared to $93.5 million for the year ended December 31, 2022 primarily due to higher variable transaction fees and commissions on higher trading volumes for equity derivative products, partially offset by lower variable transaction fees and commissions on lower trading volumes for European ETFs.</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xml:space="preserve"> Revenues from our money markets asset class increased by $13.1 million or 26.1% to $63.0 million for the year ended December 31, 2023 compared to $50.0 million for the year ended December 31, 2022 primarily due to higher variable transaction fees and commissions on higher trading volumes for certificates of deposit and repurchase agreements.</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asset class increased by $8.2 million or 9.5% to $94.1 million for the year ended December 31, 2023 compared to $85.9 million for the year ended December 31, 2022. The increase was derived primarily from increased proprietary third party market data fees, increased trade reporting services (APA) revenue and increased LSEG market data fees driven primarily from the amended and restated market data license agreement effective as of November 1, 2023 discussed above in “—Trends and Other Factors Impacting Our Performance—2023 LSEG Market Data Agreement.”</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Revenues from our other asset class remained relatively flat at $23.0 million for the year ended December 31, 2023 compared to $22.2 million for the year ended December 31, 2022, with a modest increase of $0.8 million or 3.5%.</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years ended December 31, 2023 and 2022,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797,038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719,211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xml:space="preserve"> Revenues from our institutional client sector increased by $77.8 million or 10.8% to $797.0 million for the year ended December 31, 2023 from $719.2 million for the year ended December 31, 2022. The increase was derived primarily from higher revenues for rates derivatives products, U.S. corporate bonds and U.S. and European government bonds, partially offset by lower revenues for credit derivatives products.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xml:space="preserve"> Revenues from our wholesale client sector increased by $39.4 million or 14.4% to $312.6 million for the year ended December 31, 2023 from $273.2 million for the year ended December 31, 2022. The increase was derived primarily from higher revenues for U.S. and European corporate bonds and U.S. government bonds.</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xml:space="preserve"> Revenues from our retail client sector increased by $24.1 million or 21.8% to $134.5 million for the year ended December 31, 2023 from $110.5 million for the year ended December 31, 2022. The increase was derived primarily from higher revenues for certificates of deposit, U.S. government bonds and U.S. corporate bonds.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client sector increased by $8.2 million or 9.5% to $94.1 million for the year ended December 31, 2023 from $85.9 million for the year ended December 31, 2022. The increase was derived primarily from increased proprietary third party market data fees, increased trade reporting services (APA) revenue and increased LSEG market data fees driven primarily from the amended and restated market data license agreement effective as of November 1, 2023 discussed above in “—Trends and Other Factors Impacting Our Performance—2023 LSEG Market Data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years ended December 31, 2023 and 2022,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487,881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$89.7 million or 11.8% to $850.3 million for the year ended December 31, 2023 from $760.6 million for the year ended December 31, 2022 primarily due to higher revenues for U.S. corporate bonds, U.S. government bonds, rates derivatives products and certificates of deposit.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xml:space="preserve"> Revenues from International clients increased by $59.7 million or 14.0% to $487.9 million for the year ended December 31, 2023 from</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$428.1 million for the year ended December 31, 2022 primarily due to higher revenues for rates derivatives products, European corporate bonds, European government bonds and higher market data revenue, offset by lower revenues for credit derivatives products and European ETFs.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years ended December 31,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xml:space="preserve"> Expenses related to employee compensation and benefits increased by $27.9 million or 6.4% to $460.3 million for the year ended December 31, 2023 from $432.4 million for the year ended December 31, 2022. The increase was primarily due to an increase in headcount and related salaries and benefits as well as increases in incentive compensation expense and commissions tied to our operating performance, partially offset by $15.0 million in non-cash accelerated stock-based compensation expense and related payroll taxes relating to the retirement of our former CEO incurred during the year ended December 31, 2022 that did not recur during 2023.</w:t>
      </w:r>
    </w:p>
    <w:p>
      <w:pPr>
        <w:spacing w:after="0" w:line="14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Expenses related to depreciation and amortization increased by $6.5 million or 3.6% to $185.4 million for the year ended December 31, 2023 from $178.9 million for the year ended December 31, 2022. The increase was primarily due to increases in amortization of software development costs and hardware driven by increases in investment in our infrastructure and expense relating to the assets acquired in connection with the August 31, 2023 Yieldbroker acquisition.</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xml:space="preserve"> Expenses related to technology and communications increased by $11.6 million or 17.7% to $77.5 million for the year ended December 31, 2023 from $65.9 million for the year ended December 31, 2022. The increase was primarily due to investment in our data strategy and infrastructure and increased data and clearance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xml:space="preserve"> Expenses related to general and administrative costs increased by $4.9 million or 10.6% to $51.5 million for the year ended December 31, 2023 from $46.6 million for the year ended December 31, 2022. The increase was primarily due to an increase in realized and unrealized foreign currency losses, which increased by $3.4 million to $0.8 million in losses for the year ended December 31, 2023 compared to $2.6 million in gains for the year ended December 31, 2022. The change was primarily driven by the change in fair value of our foreign currency forward contracts used in connection with our foreign currency risk management program, partially offset by a decrease in foreign currency re-measurement losses on transactions in nonfunctional currencies.</w:t>
      </w:r>
    </w:p>
    <w:p>
      <w:pPr>
        <w:spacing w:after="0" w:line="1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xml:space="preserve"> Expenses related to professional fees increased by $4.6 million or 12.2% to $42.4 million for the year ended December 31, 2023 from $37.8 million for the year ended December 31, 2022. The increase was primarily due to increased legal and other costs related to acquisitions.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xml:space="preserve"> Expenses related to occupancy costs increased by $1.2 million or 8.2% to $15.9 million for the year ended December 31, 2023 as compared to $14.7 million for the year ended December 31, 2022. The increase was primarily due to higher data center rent expense primarily driven by the completion of the NFI Acquisition technology integration during the three months ended March 31, 2023 and the relocation of data centers to locations providing enhanced infrastructure and improved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decreased by $23.2 million or 169.7% to $9.5 million of expense for the year ended December 31, 2023 from $13.7 million of income for the year ended December 31, 2022, due to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$53.4 million or 448.8% to $65.4 million of net interest income for the year ended December 31, 2023 from $11.9 million of net interest expense for the year ended December 31, 2022, primarily due to an increase in interest income earned relating to an increase in our average invested cash balance and an increase in interest rates period over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Other loss increased by $12.1 million to $13.1 million loss for the year ended December 31, 2023 from $1.0 million of loss for the year ended December 31, 2022. During the year ended December 31, 2023, we recognized a loss of $11.1 million due to the impairment of a minority equity investment and a $1.3 million loss in connection with unwinding the out-of-the-money foreign currency call option entered into in order to partially mitigate the foreign currency exposure on the payment of the purchase price for the Yieldbroker Acquisition. See Note 4 – Acquisitions to our audited consolidated financial statements included elsewhere in this Annual Report on Form 10-K for further details. During the year ended December 31, 2023, we also recognized a $0.7 million loss due to a net reduction in the tax indemnification receivables from Refinitiv relating to the settlement of the tax matter for less than the previously estimated amount. See Note 9 – Income Taxes to our audited consolidated financial statements included elsewhere in this Annual Report on Form 10-K for further details. During the year ended December 31, 2022, we recognized a $1.0 million loss due to the write-off of an investment that was determined to be uncollectible.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Income tax expense increased by $51.0 million or 65.7% to $128.5 million for the year ended December 31, 2023 from $77.5 million for the year ended December 31, 2022. The provision for income taxes includes U.S. federal, state, local, and foreign taxes. The effective tax rate for the year ended December 31, 2023 was approximately 23.4%, compared with 17.7% for the year ended December 31, 2022. The effective tax rate for the year ended December 31, 2023 differed from the U.S. federal statutory rate of 21.0% primarily due to state and local taxes net of the benefit related to the effect of non-controlling interest. The effective tax rate for the year ended December 31, 2022 differed from the U.S. federal statutory rate of 21.0% primarily due to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years ended December 31, 2023 and 2022.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and their sufficiency to fund our operating and investing activities.</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had cash and cash equivalents of approximately $1.7 billion and $1.3 billion, respectively. All cash and cash equivalents were held in accounts with financial institutions or money market funds such that the funds are immediately available or in fixed term deposits or investments with a maximum maturity of three months. See Part II, Item 7A. – “Quantitative and Qualitative Disclosures about Market Risk – Credit Risk” elsewhere in this Annual Report on Form 10-K.</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$0.10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 2024, the board of directors of Tradeweb Markets Inc. declared a cash dividend of $0.10 per share of Class A common stock and Class B common stock for the first quarter of 2024. This dividend will be payable on March 15, 2024 to stockholders of record as of March 1, 2024. The February 2024 dividend declaration of $0.10 represents a 11.1% per share increase from our historical quarterly dividend of $0.09. During 2023, Tradeweb Markets Inc. paid quarterly cash dividends of $0.09 per share to holders of Class A common stock and Class B common stock in an aggregate amount totaling $75.9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 2024, Tradeweb Markets Inc., as the sole manager, approved a distribution by TWM LLC to its equityholders, including Tradeweb Markets Inc., in an aggregate amount of $62.1 million, as adjusted by required state and local tax withholdings that will be determined prior to the record date of March 1, 2024, payable on March 13, 2024.</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2023, TWM LLC made quarterly cash distributions to its equityholders in an aggregate amount totaling $119.4 million, including distributions to Tradeweb Markets Inc. totaling $107.0 million and distributions to non-controlling interests totaling $12.4 million. The proceeds of the cash distributions were used by Tradeweb Markets Inc. to fund dividend payments, taxes and expenses.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February 2021, the board of directors authorized $150.0 million of total repurchases of the Company’s Class A common stock (the “2021 Share Repurchase Program”), which was completed in October 2022. On December 5, 2022, the Company announced that the board of directors had authorized a new share repurchase program (the “2022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year ended December 31, 2023, the Company acquired a total of 485,730 shares of Class A common stock, at an average price of $72.48, for purchases totaling $35.2 million, pursuant to the 2022 Share Repurchase Program. As of December 31, 2023, a total of $239.8 million remained available for repurchase pursuant to the 2022 Share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PRSUs and RSUs.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withheld 715,101 shares of common stock from employee stock option, PRSU and RSU awards, at an average price per share of $72.02 and an aggregate value of $51.5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2023, total amounts due to the Continuing LLC Owners under the Tax Receivable Agreement were $457.5 million, substantially all due to be paid over 15 years following the purchase of LLC Interests from Continuing LLC Owners or redemption or exchanges by Continuing LLC Owners of LLC Interests.</w:t>
      </w:r>
    </w:p>
    <w:p>
      <w:pPr>
        <w:spacing w:after="0" w:line="1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The Company is subject to CAMT, which is expected to change the estimated period in which the payments will be made, as reflected in the payment schedule below. As of December 31, 2023, we had the following obligations expected to be paid pursuant to the Tax Receivable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7"/>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5"/>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457,523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101,421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we had no outstanding indebtedness.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21, 2023, TWM LLC terminated the revolving credit facility entered into in April 2019 and replaced it with a new 2023 Revolving Credit Facility entered into with a syndicate of banks. The 2023 Revolving Credit Facility provides borrowing capacity to be used to fund ongoing working capital needs, letters of credit and for general corporate purposes, including potential future acquisitions and expansions.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2023 Revolving Credit Facility permits borrowings of up to $500.0 million by TWM LLC. Subject to the satisfaction of certain conditions, we will be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$0.5 million in letters of credit issued under the 2023 Revolving Credit Facility, respectively and no borrowings outstanding. As of December 31, 2023, we had availability of $499.5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also includes a commitment fee of 0.25% for available but unborrowed amounts We are also required to pay customary letter of credit fees and agency fees.</w:t>
      </w:r>
    </w:p>
    <w:p>
      <w:pPr>
        <w:spacing w:after="0" w:line="14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the option to voluntarily repay outstanding loans at any time without premium or penalty other than customary “breakage” costs with respect to Term SOFR, SONIA and EURIBOR loans. There will be no scheduled amortization under the 2023 Revolving Credit Facility. The principal amount outstanding will be due and payable in full at maturity.</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2023 Revolving Credit Facility is unsecured and as of December 31, 2023, obligations under the 2023 Revolving Credit Facility are not guaranteed by any of the Company’s subsidiaries.</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2023 Revolving Credit Facility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also contains certain affirmative covenants and events of default customary for facilities of this type, including relating to a change of control. If an event of default occurs, the lenders under the 2023 Revolving Credit Facility will be entitled to take various actions, including the acceleration of amounts due under the 2023 Revolving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were in compliance with all the covenants set forth in the 2023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December 2023, the lease for our New York headquarters was extended for an amended term through December 2024, as we continue to evaluate our office space needs for the future. As of December 31, 2023, our operating lease liabilities totaled $27.5 million, with payments pursuant to these obligations due within the next 12 months and thereafter totaling $12.3 million and $17.6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We expect total cash paid for non-acquisition related capital expenditures and software development costs for fiscal 2024 to be between $75 million and $83 million, compared to expenditures of $61.8 million and $60.1 million in fiscal years 2023 and 2022, respectively, with the midpoint of our 2024 capital expenditure guidance up 28% versus fiscal year 2023 primarily due to anticipated capitalized integration spend associated with the acquisitions of Yieldbroker and r8fin. Excluding the 2024 integration and other one-time spend, the mid-point growth is projected to be approximately 15% higher year over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FCA in the UK, the Nederlandsche Bank in the Netherlands, the Japanese Financial Services Agency, the Japanese Securities Dealers Association and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regulators, and must maintain financial resources, as defined in the applicable regulations, in excess of the applicable financial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As of December 31, 2023 and 2022, each of our regulated subsidiaries had maintained sufficient net capital or financial resources to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their minimum requirements, which in aggregate were $76.7 million and $69.1 million, respectively. We maintain capital balances 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excess of our minimum requirements in order to satisfy working capital needs and to ensure that we have enough cash on hand to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requirements and credit risk, including the excess capital expectations of our clients. The Fixed Income Clearing Corporation (“FICC”) and some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clearing brokers require us to post collateral on unsettled positions, included within deposits with clearing organizations in our consolidated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financial condition. Collateral amounts are marked to market on a daily basis, requiring us to pay or receive margin amounts as part of the daily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Margin call requirements can vary significantly across periods based on daily market changes and may represent a significant and unpredictable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our liquidity.</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Historically we have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December 31, 2023, we recorded a $381.2 million receivable and a $351.9 million payable from/to brokers and dealers and clearing organizations related to failed settlement transactions, entered into a repurchase transaction in the amount of $21.6 million and we self-funded the remaining $7.7 million difference between the fail to deliver and fail to receive. All of the above failed settlement transactions and the securities sold under agreements to repurchase outstanding as of December 31, 2023 were fully settled during January 2024. See below for further details regarding the changes to working capital as a result of these failed settlement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December 31, 2023 and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2,294,051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1,439,171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255,362</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1,634,144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1,183,809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Current assets increased to $2.3 billion as of December 31, 2023 from $1.4 billion as of December 31, 2022 primarily due to an increase in cash and cash equivalents (see “—Cash Flows” below) and receivables from brokers and dealers and clearing organizations resulting from a higher value of fails to deliver as a result of increased unsettled wholesale platform transactions, all of which settled in January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Current liabilities increased to $659.9 million as of December 31, 2023 from $255.4 million as of December 31, 2022 primarily due to an increase in the payable to brokers and dealers and clearing organizations and securities sold under agreements to repurchase resulting from a higher value of fails to deliver as a result of increased unsettled wholesale platform transactions, all of which settled in January 2024 and an increase in the current portion of the tax receivable agreement liability as a result of an increase in our taxable income.</w:t>
      </w:r>
    </w:p>
    <w:p>
      <w:pPr>
        <w:spacing w:after="0" w:line="137" w:lineRule="exact"/>
        <w:rPr>
          <w:sz w:val="20"/>
          <w:szCs w:val="20"/>
          <w:color w:val="auto"/>
        </w:rPr>
      </w:pPr>
    </w:p>
    <w:p>
      <w:pPr>
        <w:ind w:right="1640"/>
        <w:spacing w:after="0" w:line="46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xml:space="preserve">” above for a discussion on how capital requirements can impact our working capital. </w:t>
      </w:r>
      <w:r>
        <w:rPr>
          <w:rFonts w:ascii="Times New Roman" w:cs="Times New Roman" w:eastAsia="Times New Roman" w:hAnsi="Times New Roman"/>
          <w:sz w:val="18"/>
          <w:szCs w:val="18"/>
          <w:b w:val="1"/>
          <w:bCs w:val="1"/>
          <w:i w:val="1"/>
          <w:iCs w:val="1"/>
          <w:color w:val="auto"/>
        </w:rPr>
        <w:t>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years ended December 31, 2023,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746,089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632,822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578,021</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(259,110)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(136,100)</w:t>
            </w:r>
          </w:p>
        </w:tc>
      </w:tr>
      <w:tr>
        <w:trPr>
          <w:trHeight w:val="27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$746.1 million, an increase of $113.3 million as compared to the year ended December 31, 2022, primarily driven by an increase in net income during 2023, including the adjustment to net income to add back non-cash related items such as deferred tax expense and the tax receivable liability adjustment and including an increase in net interest income, partially offset by changes in working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$132.8 million for the year ended December 31, 2023, which consisted of $69.7 million of total net cash paid for the Yieldbroker acquisition (net of cash acquired), $43.2 million of capitalized software development costs, $18.5 million of purchases of furniture, equipment, purchased software and leasehold improvements and $1.3 million of cash paid for a foreign currency call option, net of sales proceeds. Net cash used in investing activities was $60.1 million for the year ended December 31, 2022, which consisted of $36.9 million of capitalized software development costs and $23.2 million of purchases of furniture, equipment, purchased software and leasehold improvements.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$168.2 million, and was primarily driven by $35.2 million in share repurchases pursuant to our share repurchase programs, $36.1 million in payroll tax payments for options, PRSUs and RSUs, net of proceeds from stock-based compensation option exercises and $75.9 million in cash dividends to our Class A and Class B common stockholders. Net cash used in financing activities for the year ended December 31, 2022 was $276.7 million, and was primarily driven by $99.3 million in share repurchases pursuant to our share repurchase programs, $91.5 million in payroll tax payments for options, PRSUs and RSUs, net of proceeds from stock-based compensation option exercises and $66.0 million in cash dividends to our Class A and Class B common stockholders.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years ended December 31, 2023,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746,089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632,822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578,021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(43,235)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(36,882)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(34,470)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(23,214)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(16,878)</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684,325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572,726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526,673</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associated with our former CFO and beginning on February 11, 2022 the incremental non-cash accelerated stock-based compensation expense associated with our retired CEO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retired CEO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419,503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359,613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273,108</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(65,350)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171,308</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96,875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(12,745)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701,561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617,339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547,016</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(185,350)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(178,879)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(171,308)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127,731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126,659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124,580</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643,942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565,119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500,288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360" w:hanging="332"/>
        <w:spacing w:after="0" w:line="27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180" w:hanging="332"/>
        <w:spacing w:after="0" w:line="256"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6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Basis Point Change</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 bps</w:t>
            </w:r>
          </w:p>
        </w:tc>
        <w:tc>
          <w:tcPr>
            <w:tcW w:w="1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+100 bps</w:t>
            </w:r>
          </w:p>
        </w:tc>
        <w:tc>
          <w:tcPr>
            <w:tcW w:w="0" w:type="dxa"/>
            <w:vAlign w:val="bottom"/>
          </w:tcPr>
          <w:p>
            <w:pPr>
              <w:spacing w:after="0"/>
              <w:rPr>
                <w:sz w:val="1"/>
                <w:szCs w:val="1"/>
                <w:color w:val="auto"/>
              </w:rPr>
            </w:pPr>
          </w:p>
        </w:tc>
      </w:tr>
      <w:tr>
        <w:trPr>
          <w:trHeight w:val="23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+58 bps</w:t>
            </w:r>
          </w:p>
        </w:tc>
        <w:tc>
          <w:tcPr>
            <w:tcW w:w="13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+107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8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226,828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54,637</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46,280</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96,875</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124,580</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577,026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(173,777)</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(126,946)</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(109,713)</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450,080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388,985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60" w:hanging="332"/>
        <w:spacing w:after="0" w:line="254"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80" w:hanging="332"/>
        <w:spacing w:after="0" w:line="256"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10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24.5% applied to Adjusted Net Income before income taxes for the year ended December 31, 2023 and 22% the years ended December 31, 2022 and 2021.</w:t>
      </w:r>
    </w:p>
    <w:p>
      <w:pPr>
        <w:ind w:left="340" w:right="40" w:hanging="332"/>
        <w:spacing w:after="0" w:line="283"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years ended December 31, 2023,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and Adjusted Diluted EPS</w:t>
            </w: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6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208,400,040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207,254,840</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23,902,379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28,830,686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30,699,577</w:t>
            </w:r>
          </w:p>
        </w:tc>
        <w:tc>
          <w:tcPr>
            <w:tcW w:w="0" w:type="dxa"/>
            <w:vAlign w:val="bottom"/>
          </w:tcPr>
          <w:p>
            <w:pPr>
              <w:spacing w:after="0"/>
              <w:rPr>
                <w:sz w:val="1"/>
                <w:szCs w:val="1"/>
                <w:color w:val="auto"/>
              </w:rPr>
            </w:pPr>
          </w:p>
        </w:tc>
      </w:tr>
      <w:tr>
        <w:trPr>
          <w:trHeight w:val="22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236,841,436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237,424,167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237,954,417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60" w:hanging="332"/>
        <w:spacing w:after="0" w:line="266"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most significant accounting estimate associated with the Yieldbroker Acquisition that closed in August 2023 was the valuation of the acquired definite-lived intangible customer relationship asset (the “Customer Relationships”), which was valued at approximately $39.7 million as of the date of the closing of the acquisition. The majority of the residual total purchase price of $40.3 million, net of cash acquired and prior to working capital and other closing adjustments, was primarily allocated to goodwill, which was measured at approximately $35.3 million as of the date of the closing of the acquisition. We utilized the assistance of a third-party valuation specialist to determine the fair value of the assets acquired and liabilities assumed at the date of the closing of the acquisition. Management is responsible for these valuations and appraisals.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valuation of the Customer Relationships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For GAAP purposes, the Customer Relationships will be amortized over a useful life of 13 years. Any changes in the discount rate used for valuing the Customer Relationships or the estimated useful life used for amortization purposes could have a material impact on our consolidated statements of financial condition and consolidated statement of income. Any increases or decreases in the allocation of purchase price to Customer Relationships, which is an amortizable asset, would be offset by a corresponding decrease or increase in goodwill, which is an indefinite-lived asset, not subject to amortization and as a result would impact the asset balances recorded on our consolidated statements of financial condition as well as the amortization expense recorded on our consolidated statement of income over the life of the asset. Any changes in the estimated useful life of the Customer Relationships would also impact timing of the reduction of the net balance of intangible assets, net of accumulated amortization on our consolidated statements of financial condition and the timing of the recognition of amortization expense on our consolidated statement of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4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there were no material changes in the methodology or assumptions used to determine the Refinitiv market data fees.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2023, we granted 251,113 performance-based restricted stock units that vest based on market conditions with a grant date fair value totaling $24.7 million, which will be amortized into expense on a straight-line basis through December 31, 2025. The significant assumptions used in determining the grant date fair value of the award were a maturity of 2.8 years, annualized volatility of 28.81% and a risk-free interest rate of 3.77%. A change in any of the assumptions used to value these awards could materially affect stock-based compensation expense recorded in the current and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2023 and 2022, we have no valuation allowance established on gross deferred tax assets totaling $687.4 million and $698.1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4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our audited consolidated financial statements included elsewhere in this Annual Report on Form 10-K for a discussion of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20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years ended December 31, 2023,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hanging="194"/>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23"/>
          <w:szCs w:val="23"/>
          <w:color w:val="auto"/>
          <w:vertAlign w:val="superscript"/>
        </w:rPr>
        <w:t>(1)</w:t>
      </w:r>
    </w:p>
    <w:p>
      <w:pPr>
        <w:spacing w:after="0" w:line="25"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5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r>
      <w:tr>
        <w:trPr>
          <w:trHeight w:val="27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bl>
    <w:p>
      <w:pPr>
        <w:spacing w:after="0" w:line="602"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losses from foreign currency re-measurement of transactions in nonfunctional currencies recognized in the consolidated statements of income within general and administrative expense totaled a loss of $1.6 million, $2.3 million and $4.0 million for the years ended December 31, 2023, 2022 and 2021, respectively.</w:t>
      </w:r>
    </w:p>
    <w:p>
      <w:pPr>
        <w:spacing w:after="0" w:line="1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2023,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25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years ended December 31, 2023,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3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year ended December 31, 2023 totaling $1.3 million relating to this option. We do not use derivative instruments for trading or speculative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notional amount of our foreign currency forward contracts was $192.9 million and $162.8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on foreign currency forward contracts totaled a gain of $0.8 million, $4.9 million and $9.0 million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respectively.</w:t>
      </w:r>
    </w:p>
    <w:p>
      <w:pPr>
        <w:spacing w:after="0" w:line="16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December 31, 2023 and 2022, the counterparty on each of the foreign exchange derivative contracts was an affiliate of LSEG.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December 31, 2023 and 2022, the allowance for credit losses with regard to these receivables totaled $0.3 million and $0.1 million, respectively.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also recognized losses totaling $1.0 million, related to the write-off of an investment that was determined to be uncollectible.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 (PCAOB ID N</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3051F2"/>
              </w:rPr>
              <w:t>o.34)</w:t>
            </w:r>
          </w:p>
        </w:tc>
        <w:tc>
          <w:tcPr>
            <w:tcW w:w="3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5400" w:type="dxa"/>
            <w:vAlign w:val="bottom"/>
            <w:tcBorders>
              <w:bottom w:val="single" w:sz="8" w:color="0000FF"/>
            </w:tcBorders>
            <w:gridSpan w:val="7"/>
            <w:vMerge w:val="continue"/>
          </w:tcPr>
          <w:p>
            <w:pPr>
              <w:spacing w:after="0"/>
              <w:rPr>
                <w:sz w:val="15"/>
                <w:szCs w:val="15"/>
                <w:color w:val="auto"/>
              </w:rPr>
            </w:pPr>
          </w:p>
        </w:tc>
        <w:tc>
          <w:tcPr>
            <w:tcW w:w="380" w:type="dxa"/>
            <w:vAlign w:val="bottom"/>
            <w:tcBorders>
              <w:bottom w:val="single" w:sz="8" w:color="3051F2"/>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Condition</w:t>
            </w:r>
          </w:p>
        </w:tc>
        <w:tc>
          <w:tcPr>
            <w:tcW w:w="280" w:type="dxa"/>
            <w:vAlign w:val="bottom"/>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6260" w:type="dxa"/>
            <w:vAlign w:val="bottom"/>
            <w:gridSpan w:val="5"/>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80" w:type="dxa"/>
            <w:vAlign w:val="bottom"/>
          </w:tcPr>
          <w:p>
            <w:pPr>
              <w:spacing w:after="0"/>
              <w:rPr>
                <w:sz w:val="21"/>
                <w:szCs w:val="21"/>
                <w:color w:val="auto"/>
              </w:rPr>
            </w:pP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58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Tradeweb Markets Inc. and subsidiaries (the “Company”) as of December 31, 2023 and 2022, the related consolidated statements of income, comprehensive income,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9, 2024,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Refer to Note 9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income taxes included, among others, the following:</w:t>
      </w:r>
    </w:p>
    <w:p>
      <w:pPr>
        <w:spacing w:after="0" w:line="252" w:lineRule="exact"/>
        <w:rPr>
          <w:sz w:val="20"/>
          <w:szCs w:val="20"/>
          <w:color w:val="auto"/>
        </w:rPr>
      </w:pPr>
    </w:p>
    <w:p>
      <w:pPr>
        <w:ind w:left="660" w:right="18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income tax balances, including the provision for income taxes, deferred tax assets and liabilities and unrecognized tax benefits.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assessed the Company’s provision for income taxes by:</w:t>
      </w:r>
    </w:p>
    <w:p>
      <w:pPr>
        <w:spacing w:after="0" w:line="252" w:lineRule="exact"/>
        <w:rPr>
          <w:rFonts w:ascii="Times New Roman" w:cs="Times New Roman" w:eastAsia="Times New Roman" w:hAnsi="Times New Roman"/>
          <w:sz w:val="18"/>
          <w:szCs w:val="18"/>
          <w:color w:val="auto"/>
        </w:rPr>
      </w:pPr>
    </w:p>
    <w:p>
      <w:pPr>
        <w:ind w:left="1300" w:hanging="320"/>
        <w:spacing w:after="0" w:line="261" w:lineRule="auto"/>
        <w:tabs>
          <w:tab w:leader="none" w:pos="12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206" w:lineRule="exact"/>
        <w:rPr>
          <w:rFonts w:ascii="Times New Roman" w:cs="Times New Roman" w:eastAsia="Times New Roman" w:hAnsi="Times New Roman"/>
          <w:sz w:val="18"/>
          <w:szCs w:val="18"/>
          <w:color w:val="auto"/>
        </w:rPr>
      </w:pPr>
    </w:p>
    <w:p>
      <w:pPr>
        <w:ind w:left="1300" w:right="20" w:hanging="320"/>
        <w:spacing w:after="0" w:line="256" w:lineRule="auto"/>
        <w:tabs>
          <w:tab w:leader="none" w:pos="12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14"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 Liability – Refer to Note 10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Company’s Reorganization Transactions, the Corporation entered into a Tax Receivable Agreement between the Company and former and continuing owners of Tradeweb Markets LLC (Continuing LLC Owner) which provides for the payment by the Corporation to a Continuing LLC Owner of 50% of the amount of U.S. federal, state and local income or franchise tax savings, if any, realized due to tax benefits resulting from the Reorganization Transaction. 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 change to its Tax Receivable Agreement liability, reflecting the amount expected to be due to Continuing LLC Owners, discounted at present value.</w:t>
      </w:r>
    </w:p>
    <w:p>
      <w:pPr>
        <w:spacing w:after="0" w:line="1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the Corporation recognizes a change in the Corporation’s tax basis in its LLC interest (i.e., “tax basis step up”). The tax basis step up, in turn, results in a change to the Corporation’s deferred tax assets, based on enacted tax rates at the date of each redemption or exchange. The impact of any changes in the projected obligations under the Tax Receivable Agreement for the tax basis step up as a result of changes in the geographic mix of the Company’s earnings, changes in tax legislation and tax rates or other factors that may impact the Corporation’s tax savings will be reflected in income before taxes on the statement of income in the period in which the change occurs.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 complexity of the calculation and high volume of inputs used to estimate the Tax Receivable Agreement liability and related deferred tax assets,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Tax Receivable Agreement calculation expertise.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Tax Receivable Agreement liability included, among others, the following:</w:t>
      </w:r>
    </w:p>
    <w:p>
      <w:pPr>
        <w:spacing w:after="0" w:line="252" w:lineRule="exact"/>
        <w:rPr>
          <w:sz w:val="20"/>
          <w:szCs w:val="20"/>
          <w:color w:val="auto"/>
        </w:rPr>
      </w:pPr>
    </w:p>
    <w:p>
      <w:pPr>
        <w:ind w:left="660" w:right="28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established by the Company around the Tax Receivable Agreement liability and related deferred tax assets.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partnership exchange transactions on the computation of the Tax Receivable Agreement liability.</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sources of management’s estimated taxable income were of the appropriate character and sufficient to utilize the deferred tax assets and result in cash tax savings under the relevant tax laws.</w:t>
      </w:r>
    </w:p>
    <w:p>
      <w:pPr>
        <w:spacing w:after="0" w:line="188"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tax rates, interest rates and tax amortization utilized in the determination of the Tax Receivable Agreement liability, by agreeing to the terms in the Tax Receivable Agreement and applicable Federal and state tax laws.</w:t>
      </w:r>
    </w:p>
    <w:p>
      <w:pPr>
        <w:spacing w:after="0" w:line="188"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reasonableness of the methods, inputs, and assumptions used by management to determine the Tax Receivable Agreement liability. We performed testing, on a sample basis, on contributions, distributions, and tax basis amounts and calculations related to the step-up in basis.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mathematical accuracy of the Tax Receivable Agreement liability calculation and cash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Tradeweb Markets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9, 2024,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1,706,468</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1,257,229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$284 and $129 at December 31, 2023 and 2022,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142,676</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141,833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1,072,818</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689,442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74,262</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7,059,538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351,864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150,884</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22,827</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457,523</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425,724</w:t>
            </w:r>
          </w:p>
        </w:tc>
      </w:tr>
      <w:tr>
        <w:trPr>
          <w:trHeight w:val="18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1,128,132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713,815</w:t>
            </w:r>
          </w:p>
        </w:tc>
      </w:tr>
      <w:tr>
        <w:trPr>
          <w:trHeight w:val="203"/>
        </w:trPr>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115,090,787 and 110,746,606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3,251,177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5,077,973 and 23,092,704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4,577,270</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386,632</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5,373,755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4,953,791</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592,525</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7,059,538</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6,260,131</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1,078,344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950,269</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846,354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183,972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158,448</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10,484</w:t>
            </w:r>
          </w:p>
        </w:tc>
        <w:tc>
          <w:tcPr>
            <w:tcW w:w="0" w:type="dxa"/>
            <w:vAlign w:val="bottom"/>
          </w:tcPr>
          <w:p>
            <w:pPr>
              <w:spacing w:after="0"/>
              <w:rPr>
                <w:sz w:val="1"/>
                <w:szCs w:val="1"/>
                <w:color w:val="auto"/>
              </w:rPr>
            </w:pPr>
          </w:p>
        </w:tc>
      </w:tr>
      <w:tr>
        <w:trPr>
          <w:trHeight w:val="186"/>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1,338,219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1,188,781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1,076,447</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460,305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407,260</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185,350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171,308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56,189</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51,495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15,930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832,950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776,208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717,619</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505,269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412,573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358,828</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Tax receivable agreement liability adjustment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547,980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437,133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369,983</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(128,477)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(96,875)</w:t>
            </w:r>
          </w:p>
        </w:tc>
        <w:tc>
          <w:tcPr>
            <w:tcW w:w="0" w:type="dxa"/>
            <w:vAlign w:val="bottom"/>
          </w:tcPr>
          <w:p>
            <w:pPr>
              <w:spacing w:after="0"/>
              <w:rPr>
                <w:sz w:val="1"/>
                <w:szCs w:val="1"/>
                <w:color w:val="auto"/>
              </w:rPr>
            </w:pP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419,503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359,613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273,108</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46,280</w:t>
            </w:r>
          </w:p>
        </w:tc>
        <w:tc>
          <w:tcPr>
            <w:tcW w:w="0" w:type="dxa"/>
            <w:vAlign w:val="bottom"/>
          </w:tcPr>
          <w:p>
            <w:pPr>
              <w:spacing w:after="0"/>
              <w:rPr>
                <w:sz w:val="1"/>
                <w:szCs w:val="1"/>
                <w:color w:val="auto"/>
              </w:rPr>
            </w:pP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364,866</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309,338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226,828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210,796,802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205,576,637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201,419,081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212,668,808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208,400,040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207,254,840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Note 10 – Tax Receivable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419,503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359,613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273,108</w:t>
            </w:r>
          </w:p>
        </w:tc>
        <w:tc>
          <w:tcPr>
            <w:tcW w:w="0" w:type="dxa"/>
            <w:vAlign w:val="bottom"/>
          </w:tcPr>
          <w:p>
            <w:pPr>
              <w:spacing w:after="0"/>
              <w:rPr>
                <w:sz w:val="1"/>
                <w:szCs w:val="1"/>
                <w:color w:val="auto"/>
              </w:rPr>
            </w:pPr>
          </w:p>
        </w:tc>
      </w:tr>
      <w:tr>
        <w:trPr>
          <w:trHeight w:val="17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years ended December 31, 2023, 2022</w:t>
            </w:r>
          </w:p>
        </w:tc>
        <w:tc>
          <w:tcPr>
            <w:tcW w:w="8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2021</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6"/>
              </w:rPr>
              <w:t>424,922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269,889</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6"/>
              </w:rPr>
              <w:t>369,716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Tradeweb Markets Inc. Stockholders’ Equity</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2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4,143,094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156,041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715,712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5,019,163</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93,104</w:t>
            </w:r>
          </w:p>
        </w:tc>
        <w:tc>
          <w:tcPr>
            <w:tcW w:w="0" w:type="dxa"/>
            <w:vAlign w:val="bottom"/>
          </w:tcPr>
          <w:p>
            <w:pPr>
              <w:spacing w:after="0"/>
              <w:rPr>
                <w:sz w:val="1"/>
                <w:szCs w:val="1"/>
                <w:color w:val="auto"/>
              </w:rPr>
            </w:pPr>
          </w:p>
        </w:tc>
      </w:tr>
      <w:tr>
        <w:trPr>
          <w:trHeight w:val="142"/>
        </w:trPr>
        <w:tc>
          <w:tcPr>
            <w:tcW w:w="3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(75,676)</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arising from LLC Interest ownership exchanges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issuance of common stock from equity incentive</w:t>
            </w:r>
          </w:p>
        </w:tc>
        <w:tc>
          <w:tcPr>
            <w:tcW w:w="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95,670</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($0.32 per share)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(64,570)</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(71,024)</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226,828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273,108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Other - See Note 14</w:t>
            </w: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4,401,366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242,623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5,308,943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Borders>
              <w:top w:val="single" w:sz="8" w:color="CCEEFF"/>
            </w:tcBorders>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0" w:type="dxa"/>
            <w:vAlign w:val="bottom"/>
          </w:tcPr>
          <w:p>
            <w:pPr>
              <w:spacing w:after="0"/>
              <w:rPr>
                <w:sz w:val="1"/>
                <w:szCs w:val="1"/>
                <w:color w:val="auto"/>
              </w:rPr>
            </w:pPr>
          </w:p>
        </w:tc>
      </w:tr>
      <w:tr>
        <w:trPr>
          <w:trHeight w:val="142"/>
        </w:trPr>
        <w:tc>
          <w:tcPr>
            <w:tcW w:w="3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arising from LLC Interest ownership exchanges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issuance of common stock from equity incentive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88,230</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($0.32 per share)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359,613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Other - See Note 14</w:t>
            </w: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386,632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Issuance of common stock from equity incentive plans</w:t>
            </w: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Borders>
              <w:top w:val="single" w:sz="8" w:color="CCEEFF"/>
            </w:tcBorders>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15,238</w:t>
            </w:r>
          </w:p>
        </w:tc>
        <w:tc>
          <w:tcPr>
            <w:tcW w:w="0" w:type="dxa"/>
            <w:vAlign w:val="bottom"/>
          </w:tcPr>
          <w:p>
            <w:pPr>
              <w:spacing w:after="0"/>
              <w:rPr>
                <w:sz w:val="1"/>
                <w:szCs w:val="1"/>
                <w:color w:val="auto"/>
              </w:rPr>
            </w:pPr>
          </w:p>
        </w:tc>
      </w:tr>
      <w:tr>
        <w:trPr>
          <w:trHeight w:val="142"/>
        </w:trPr>
        <w:tc>
          <w:tcPr>
            <w:tcW w:w="3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 repurchases pursuant to the share repurchase</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 taxes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arising from LLC Interest ownership exchanges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issuance of common stock from equity incentive</w:t>
            </w:r>
          </w:p>
        </w:tc>
        <w:tc>
          <w:tcPr>
            <w:tcW w:w="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53,395</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($0.36 per share)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(51,519)</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364,866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640,384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419,503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359,613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273,108</w:t>
            </w: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185,350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171,308</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51,943</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89,896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85,409</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(22,369)</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24,789</w:t>
            </w:r>
          </w:p>
        </w:tc>
      </w:tr>
      <w:tr>
        <w:trPr>
          <w:trHeight w:val="195"/>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r>
      <w:tr>
        <w:trPr>
          <w:trHeight w:val="210"/>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r>
      <w:tr>
        <w:trPr>
          <w:trHeight w:val="196"/>
        </w:trPr>
        <w:tc>
          <w:tcPr>
            <w:tcW w:w="7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Employee equity compensation payable</w:t>
            </w:r>
          </w:p>
        </w:tc>
        <w:tc>
          <w:tcPr>
            <w:tcW w:w="3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r>
      <w:tr>
        <w:trPr>
          <w:trHeight w:val="216"/>
        </w:trPr>
        <w:tc>
          <w:tcPr>
            <w:tcW w:w="7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746,089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578,021</w:t>
            </w:r>
          </w:p>
        </w:tc>
      </w:tr>
      <w:tr>
        <w:trPr>
          <w:trHeight w:val="17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0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(207,762)</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foreign currency call option, net of sale proceeds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w:t>
            </w:r>
          </w:p>
        </w:tc>
      </w:tr>
      <w:tr>
        <w:trPr>
          <w:trHeight w:val="19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(34,470)</w:t>
            </w:r>
          </w:p>
        </w:tc>
      </w:tr>
      <w:tr>
        <w:trPr>
          <w:trHeight w:val="203"/>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(132,765)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(259,110)</w:t>
            </w:r>
          </w:p>
        </w:tc>
      </w:tr>
      <w:tr>
        <w:trPr>
          <w:trHeight w:val="17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6"/>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(75,676)</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93,104</w:t>
            </w:r>
          </w:p>
        </w:tc>
      </w:tr>
      <w:tr>
        <w:trPr>
          <w:trHeight w:val="21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(64,570)</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(11,129)</w:t>
            </w:r>
          </w:p>
        </w:tc>
      </w:tr>
      <w:tr>
        <w:trPr>
          <w:trHeight w:val="20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(101,675)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(71,024)</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w:t>
            </w:r>
          </w:p>
        </w:tc>
      </w:tr>
      <w:tr>
        <w:trPr>
          <w:trHeight w:val="189"/>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(168,174)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(276,703)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(136,100)</w:t>
            </w:r>
          </w:p>
        </w:tc>
      </w:tr>
      <w:tr>
        <w:trPr>
          <w:trHeight w:val="216"/>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186"/>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449,239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285,181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180,768</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1,258,229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973,048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792,280</w:t>
            </w: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28,641</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 obtained in exchange for lease liabilities, net of modifications and terminations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10,395</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capitalized to software development costs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follow-on offering and other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27,666</w:t>
            </w: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81,401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124,154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123,336</w:t>
            </w:r>
          </w:p>
        </w:tc>
      </w:tr>
      <w:tr>
        <w:trPr>
          <w:trHeight w:val="21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 See Note 14</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r>
      <w:tr>
        <w:trPr>
          <w:trHeight w:val="23"/>
        </w:trPr>
        <w:tc>
          <w:tcPr>
            <w:tcW w:w="7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1,706,468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972,048</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1</w:t>
            </w: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Organization</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2</w:t>
            </w: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0"/>
                <w:szCs w:val="20"/>
                <w:color w:val="auto"/>
              </w:rPr>
            </w:pPr>
          </w:p>
        </w:tc>
        <w:tc>
          <w:tcPr>
            <w:tcW w:w="5160" w:type="dxa"/>
            <w:vAlign w:val="bottom"/>
            <w:gridSpan w:val="21"/>
          </w:tcPr>
          <w:p>
            <w:pPr>
              <w:ind w:left="280"/>
              <w:spacing w:after="0"/>
              <w:rPr>
                <w:sz w:val="20"/>
                <w:szCs w:val="20"/>
                <w:color w:val="auto"/>
              </w:rPr>
            </w:pPr>
            <w:r>
              <w:rPr>
                <w:rFonts w:ascii="Times New Roman" w:cs="Times New Roman" w:eastAsia="Times New Roman" w:hAnsi="Times New Roman"/>
                <w:sz w:val="18"/>
                <w:szCs w:val="18"/>
                <w:color w:val="3051F2"/>
              </w:rPr>
              <w:t>Acquisitions</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8"/>
              </w:rPr>
              <w:t>Software Development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23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Goodwill and Intangible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48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3"/>
              </w:rPr>
              <w:t>Leases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6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00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196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15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8"/>
              </w:rPr>
              <w:t>Stockholders’ Equity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18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051F2"/>
                <w:w w:val="97"/>
              </w:rPr>
              <w:t>Note 13</w:t>
            </w:r>
          </w:p>
        </w:tc>
        <w:tc>
          <w:tcPr>
            <w:tcW w:w="5160" w:type="dxa"/>
            <w:vAlign w:val="bottom"/>
            <w:gridSpan w:val="21"/>
          </w:tcPr>
          <w:p>
            <w:pPr>
              <w:ind w:left="280"/>
              <w:spacing w:after="0" w:line="196" w:lineRule="exact"/>
              <w:rPr>
                <w:sz w:val="20"/>
                <w:szCs w:val="20"/>
                <w:color w:val="auto"/>
              </w:rPr>
            </w:pPr>
            <w:r>
              <w:rPr>
                <w:rFonts w:ascii="Times New Roman" w:cs="Times New Roman" w:eastAsia="Times New Roman" w:hAnsi="Times New Roman"/>
                <w:sz w:val="18"/>
                <w:szCs w:val="18"/>
                <w:color w:val="3051F2"/>
              </w:rPr>
              <w:t>Stock-Based Compensation Plans</w:t>
            </w:r>
          </w:p>
        </w:tc>
        <w:tc>
          <w:tcPr>
            <w:tcW w:w="0" w:type="dxa"/>
            <w:vAlign w:val="bottom"/>
          </w:tcPr>
          <w:p>
            <w:pPr>
              <w:spacing w:after="0"/>
              <w:rPr>
                <w:sz w:val="1"/>
                <w:szCs w:val="1"/>
                <w:color w:val="auto"/>
              </w:rPr>
            </w:pPr>
          </w:p>
        </w:tc>
      </w:tr>
      <w:tr>
        <w:trPr>
          <w:trHeight w:val="223"/>
        </w:trPr>
        <w:tc>
          <w:tcPr>
            <w:tcW w:w="580" w:type="dxa"/>
            <w:vAlign w:val="bottom"/>
            <w:tcBorders>
              <w:top w:val="single" w:sz="8" w:color="3051F2"/>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9"/>
                <w:szCs w:val="19"/>
                <w:color w:val="auto"/>
              </w:rPr>
            </w:pPr>
          </w:p>
        </w:tc>
        <w:tc>
          <w:tcPr>
            <w:tcW w:w="1920" w:type="dxa"/>
            <w:vAlign w:val="bottom"/>
            <w:tcBorders>
              <w:top w:val="single" w:sz="8" w:color="3051F2"/>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tcBorders>
              <w:top w:val="single" w:sz="8" w:color="3051F2"/>
              <w:bottom w:val="single" w:sz="8" w:color="3051F2"/>
            </w:tcBorders>
            <w:gridSpan w:val="4"/>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254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82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17</w:t>
            </w:r>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18</w:t>
            </w:r>
          </w:p>
        </w:tc>
        <w:tc>
          <w:tcPr>
            <w:tcW w:w="280" w:type="dxa"/>
            <w:vAlign w:val="bottom"/>
          </w:tcPr>
          <w:p>
            <w:pPr>
              <w:spacing w:after="0"/>
              <w:rPr>
                <w:sz w:val="18"/>
                <w:szCs w:val="18"/>
                <w:color w:val="auto"/>
              </w:rPr>
            </w:pPr>
          </w:p>
        </w:tc>
        <w:tc>
          <w:tcPr>
            <w:tcW w:w="138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8"/>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19</w:t>
            </w:r>
          </w:p>
        </w:tc>
        <w:tc>
          <w:tcPr>
            <w:tcW w:w="280" w:type="dxa"/>
            <w:vAlign w:val="bottom"/>
          </w:tcPr>
          <w:p>
            <w:pPr>
              <w:spacing w:after="0"/>
              <w:rPr>
                <w:sz w:val="18"/>
                <w:szCs w:val="18"/>
                <w:color w:val="auto"/>
              </w:rPr>
            </w:pPr>
          </w:p>
        </w:tc>
        <w:tc>
          <w:tcPr>
            <w:tcW w:w="242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20</w:t>
            </w:r>
          </w:p>
        </w:tc>
        <w:tc>
          <w:tcPr>
            <w:tcW w:w="280" w:type="dxa"/>
            <w:vAlign w:val="bottom"/>
          </w:tcPr>
          <w:p>
            <w:pPr>
              <w:spacing w:after="0"/>
              <w:rPr>
                <w:sz w:val="18"/>
                <w:szCs w:val="18"/>
                <w:color w:val="auto"/>
              </w:rPr>
            </w:pPr>
          </w:p>
        </w:tc>
        <w:tc>
          <w:tcPr>
            <w:tcW w:w="3400" w:type="dxa"/>
            <w:vAlign w:val="bottom"/>
            <w:tcBorders>
              <w:bottom w:val="single" w:sz="8" w:color="3051F2"/>
            </w:tcBorders>
            <w:gridSpan w:val="19"/>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21</w:t>
            </w:r>
          </w:p>
        </w:tc>
        <w:tc>
          <w:tcPr>
            <w:tcW w:w="280" w:type="dxa"/>
            <w:vAlign w:val="bottom"/>
          </w:tcPr>
          <w:p>
            <w:pPr>
              <w:spacing w:after="0"/>
              <w:rPr>
                <w:sz w:val="18"/>
                <w:szCs w:val="18"/>
                <w:color w:val="auto"/>
              </w:rPr>
            </w:pPr>
          </w:p>
        </w:tc>
        <w:tc>
          <w:tcPr>
            <w:tcW w:w="136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5160" w:type="dxa"/>
            <w:vAlign w:val="bottom"/>
            <w:gridSpan w:val="21"/>
            <w:vMerge w:val="restart"/>
          </w:tcPr>
          <w:p>
            <w:pPr>
              <w:ind w:left="4880"/>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line="20" w:lineRule="exact"/>
              <w:rPr>
                <w:sz w:val="1"/>
                <w:szCs w:val="1"/>
                <w:color w:val="auto"/>
              </w:rPr>
            </w:pPr>
          </w:p>
        </w:tc>
      </w:tr>
      <w:tr>
        <w:trPr>
          <w:trHeight w:val="8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21"/>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41910</wp:posOffset>
            </wp:positionV>
            <wp:extent cx="6172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110</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132</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2">
            <w:col w:w="9880" w:space="720"/>
            <w:col w:w="6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(currently referred to by LSEG as LSEG Data &amp; Analytics) from a consortium, including certain investment funds affiliated with The Blackstone Group Inc. (f/k/a The Blackstone Group L.P.) (“Blackstone”) as well as Thomson Reuters Corporation (“TR”), in an all share transaction (the “LSEG Transaction”).</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4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2023, Tradeweb Markets Inc. owns 90.2% of TWM LLC and the non-controlling interest holders own the remaining 9.8% of TWM LLC. As of December 31, 2022, Tradeweb Markets Inc. owned 88.7% of TWM LLC and the non-controlling interest holders owned the remaining 11.3% of TWM LLC.</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21" w:lineRule="exact"/>
        <w:rPr>
          <w:sz w:val="20"/>
          <w:szCs w:val="20"/>
          <w:color w:val="auto"/>
        </w:rPr>
      </w:pPr>
    </w:p>
    <w:p>
      <w:pPr>
        <w:ind w:left="660" w:right="14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Asia.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7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the Australian Securities &amp; Investments Commission (“ASIC”), that maintains a branch in Singapore that is regulated by the Monetary Authority of Singapore (“MAS”) as a Regulated Market Operator. Tradeweb Australia Pty Ltd changed its name from Yieldbroker Pty Limited in January 2024.</w:t>
      </w:r>
    </w:p>
    <w:p>
      <w:pPr>
        <w:spacing w:after="0" w:line="179"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is an Authorized Firm regulated by the Dubai Financial Services Authority (“DFSA”) with a license for “arranging deals in investments” for users to access the Company’s various trading venues that are also separately recognized by the DFSA.</w:t>
      </w:r>
    </w:p>
    <w:p>
      <w:pPr>
        <w:spacing w:after="0" w:line="9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 May 2023, the Company announced that it had entered into a definitive agreement to acquire all of the outstanding equity interests of Yieldbroker. Yieldbroker is a leading Australian trading platform for Australian and New Zealand government bonds and interest rate derivatives covering the institutional and wholesale client sectors. This acquisition combines Australia and New Zealand’s growing fixed income markets with Tradeweb’s international reach and scale. The A$123.6 million, all-cash transaction closed on August 31, 2023 (the “Yieldbroker Acquisition”), following the satisfaction of closing conditions and regulatory reviews. See Note 4 – Acquisitions for additional details on this acquisition.</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185" w:lineRule="exact"/>
        <w:rPr>
          <w:sz w:val="20"/>
          <w:szCs w:val="20"/>
          <w:color w:val="auto"/>
        </w:rPr>
      </w:pPr>
    </w:p>
    <w:p>
      <w:pPr>
        <w:ind w:left="660" w:right="32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115,090,787 shares of Class A common stock, representing 10.0% of the combined voting power of Tradeweb Markets Inc.’s issued and outstanding common stock and indirectly, through Tradeweb Markets Inc., owned 49.0% of the economic interest in TWM LLC;</w:t>
      </w:r>
    </w:p>
    <w:p>
      <w:pPr>
        <w:spacing w:after="0" w:line="13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51.0% of the economic interest in TWM LLC;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89,644 shares of Class D common stock, representing 0.1% of the combined voting power of Tradeweb Markets Inc.’s issued and outstanding common stock. Collectively, these stockholders directly owned less than 0.1% of the economic interest in TWM LLC.</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for the year ended December 31, 2023, the Company’s basic and diluted earnings per share calculations were impacted by 270,249 of weighted average shares resulting from unvested restricted stock units and unsettled vested performance-based restricted stock units that were considered participating securities for purposes of calculating earnings per share in accordance with the two-class method. For the year ended December 31, 2023 the Company’s diluted earnings per share calculation also includes 1,872,006 of weighted average shares resulting from the dilutive effect of its equity incentive plans. See Note 18 – Earnings Per Share for additional details.</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the December 31, 2022 consolidated statement of financial condition, and related financial information, to conform to the current period presentation. These primarily include reclassifying approximately $2.7 million of related party balances from other assets to receivable and due from affiliates and $5.8 million of related party balances from accounts payable, accrued expenses and other liabilities to payable and due to affiliates.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 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See Note 16 – Credit Risk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6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accumulated depreciation related to furniture, equipment, purchased software and leasehold improvements totaled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$95.8 million and $73.8 million, respectively. Depreciation expense for furniture, equipment, purchased software and leasehold improvements for the years ended December 31, 2023, 2022 and 2021 was $21.3 million, $19.5 million and $20.9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Yieldbroker Acquisition and the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Yieldbroker Acquisition and the NFI Acquisition.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2023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8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consolidated statements of financial condition at the amounts of cash received. Receivables and payables arising from these agreements are not offset in the consolidated statements of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directly related to the Company’s efforts to raise capital. These costs are recognized as a reduction in additional paid-in capital within the consolidated statements of financial condition when the offering is effective. No offering costs were incurred during the years ended December 31, 2023, 2022 and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loss of $1.6 million, $2.3 million and $4.0 million for the years ended December 31, 2023, 2022 and 2021,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4 – Acquisitions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consolidated statements of income within general and administrative expenses and related cash flows are included in cash flows from operating activities, and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totaled a gain of $0.8 million, $4.9 million and</w:t>
      </w:r>
    </w:p>
    <w:p>
      <w:pPr>
        <w:spacing w:after="0" w:line="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$9.0 million for the years ended December 31, 2023, 2022 and 2021, respectively. Realized losses on the foreign currency call option on the Australian dollar call option during the year ended December 31, 2023 totaled $1.3 million. As of December 31, 2023 and 2022,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 See Note 15 – Fair Value of Financial Instruments for additional details on the Company’s derivative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3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year ended December 31, 2023. The Company will be subject to the 15% CAMT, which is expected to change the estimated period in which the tax receivable agreement liability payments will be made. However, it is not expected to have a material impact on the Company’s effective tax rate.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does not expect to have material impact of the Two Pillar Plan, but will continue to monitor legislative development.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98"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ASU requires disaggregated information about a reporting entity’s effective tax rate reconciliation and income taxes paid. The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Company’s Annual Report on Form 10-K for the fiscal year ended December 31, 2025. The guidance may be applied on a prospective or retrospective basis and early adoption is permitted. The Company is currently evaluating the impact of adopting this ASU on its consolidated financial statements.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also requires the disclosure of the title and position of the CODM and an explanation of how the CODM uses the reported measure(s) of segment profit or loss in assessing segment performance and deciding how to to allocate resources. All disclosure requirements under ASU 2023-07 and existing segment disclosures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are also required for public entities with a single reportable segment. The ASU is effective for the Company’s Annual Report on Form 10-K for the fiscal year ended December 31, 2024, and subsequent interim periods, with early adoption permitted. The ASU is to be applied retrospectively to all periods presented in the financial statements. The Company is currently evaluating the impact of adopting this ASU on its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December 31, 2023, the Company has not yet adopted ASU 2022-03 and does not expect that the adoption of this ASU will have a material impact on the Company’s consolidated financial statements.</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2023 and 2022, cash in the amount of $1.0 million, has been segregated in the PAB reserve account, exceeding the requirements pursuant to SEC Rule 15c3-3.</w:t>
      </w:r>
    </w:p>
    <w:p>
      <w:pPr>
        <w:spacing w:after="0" w:line="135"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Yieldbroker</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31, 2023, the Company completed its acquisition of all of the outstanding equity interests of Tradeweb Australia Pty Ltd (Tradeweb Australia Pty Ltd changed its name from Yieldbroker Pty Limited in January 2024). The all-cash purchase price of A$123.6 million ($80.1 million U.S. dollars as translated as of August 31, 2023) was net of cash acquired and prior to working capital and other closing adjustments. During the fourth quarter of 2023, the Company recorded final working capital and purchase price adjustments which resulted in a $0.5 million increase in total assets, a $0.4 million decrease in total liabilities and a $0.1 million increase in total cash paid.</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Tradeweb Australia Pty Ltd is a corporation registered under the Corporations Act 2001 in Australia and a Tier 1 Australian Markets Licensee in Australia, regulated by the ASIC, that maintains a branch in Singapore which is regulated by the MAS as a Regulated Market Operator. Yieldbroker operates a leading Australian trading platform for Australian and New Zealand government bonds and interest rate derivatives, covering the institutional and wholesale client sectors.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Company utilized the assistance of a third-party valuation specialist to determine the fair value of the assets acquired and liabilities assumed at the date of the closing of the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purchase price was allocated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51"/>
        </w:trPr>
        <w:tc>
          <w:tcPr>
            <w:tcW w:w="98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27"/>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35,265</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Tradename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82,465</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Working capital and other closing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 net of cash acquired and excluding working capital and other closing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80,080</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one year, the acquired tradename will be amortized over a useful life of four years and the customer relationships will be amortized over a useful life of 13 years. The goodwill recognized in connection with the Yieldbroker Acquisition is primarily attributable to the acquisition of an assembled workforce and expected future customers, future technology and synergies from the integration of the operations of Yieldbroker into the Company's operations and its single business segment. All of the goodwill recognized in connection with the Yieldbroker Acquisition is expected to be deductible for income tax purposes.</w:t>
      </w:r>
    </w:p>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$2.3 million in transaction costs incurred to effect the Yieldbroker Acquisition, which are included as a component of professional fees in the accompanying consolidated statements of income. During the year ended December 31, 2023, the Company also recognized $0.9 million in transaction costs incurred to effect the Yieldbroker Acquisition, which are included as a component of general and administrative expenses in the accompanying consolidated statements of income. There were no acquisitions completed during the year ended December 31, 2022. During the year ended December 31, 2021, the Company recognized $5.1 million in transaction costs incurred to effect the NFI Acquisition, which are included as a component of professional fees in the accompanying consolidated statements of income.</w:t>
      </w:r>
    </w:p>
    <w:p>
      <w:pPr>
        <w:spacing w:after="0" w:line="1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Yieldbroker Acquisition was not material to the Company’s consolidated financial statements and therefore pro forma and current period results of this acquisition have not been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pacing w:after="0" w:line="3"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Realized losses on the Australian dollar call option during the year ended December 31, 2023 totaled $1.3 million, which is included within other income/loss in the accompanying consolidated statements of income. See Note 15 – Fair Value of Financial Instruments for additional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16, 2023, TWM LLC and the Corporation entered into a definitive agreement for TWM LLC to acquire all of the outstanding equity interests of R8FIN Holdings LP (together with its subsidiaries, “r8fin”) in exchange for total consideration of $125 million, consisting of $90 million in cash and $35 million in shares of Class A common stock of the Corporation, subject to working capital and other adjustments.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The acquisition closed on January 19, 2024, following the satisfaction of closing conditions and regulatory reviews. On the closing date, the Corporation issued a total of 374,601 shares of Class A common stock as partial consideration for the acquisition.</w:t>
      </w:r>
    </w:p>
    <w:p>
      <w:pPr>
        <w:spacing w:after="0" w:line="1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Software Development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software development costs, net of accumulated amortization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3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 Refinitiv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88,931</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 Other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52,902</w:t>
            </w:r>
          </w:p>
        </w:tc>
      </w:tr>
      <w:tr>
        <w:trPr>
          <w:trHeight w:val="27"/>
        </w:trPr>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software development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353,790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131,332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(166,649)</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141,833</w:t>
            </w:r>
          </w:p>
        </w:tc>
      </w:tr>
      <w:tr>
        <w:trPr>
          <w:trHeight w:val="20"/>
        </w:trPr>
        <w:tc>
          <w:tcPr>
            <w:tcW w:w="34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Capitalized software development costs and amortization expense are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3"/>
        </w:trPr>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
        </w:trPr>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9"/>
        </w:trPr>
        <w:tc>
          <w:tcPr>
            <w:tcW w:w="3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Software development costs capitalized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44,720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w:t>
            </w:r>
          </w:p>
        </w:tc>
      </w:tr>
      <w:tr>
        <w:trPr>
          <w:trHeight w:val="234"/>
        </w:trPr>
        <w:tc>
          <w:tcPr>
            <w:tcW w:w="61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Amortization expense related to capitalized software development costs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55,810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47,116</w:t>
            </w:r>
          </w:p>
        </w:tc>
      </w:tr>
    </w:tbl>
    <w:p>
      <w:pPr>
        <w:spacing w:after="0" w:line="67" w:lineRule="exact"/>
        <w:rPr>
          <w:sz w:val="20"/>
          <w:szCs w:val="20"/>
          <w:color w:val="auto"/>
        </w:rPr>
      </w:pPr>
    </w:p>
    <w:p>
      <w:pPr>
        <w:ind w:left="340" w:right="320" w:hanging="332"/>
        <w:spacing w:after="0" w:line="282"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development costs capitalized does not include the $0.6 million and $0.8 million in acquired software development costs acquired in connection with the Yieldbroker and NFI acquisitions during the years ended December 31, 2023 and 2021, respectively. See Note 4 – Acquisitions.</w:t>
      </w:r>
    </w:p>
    <w:p>
      <w:pPr>
        <w:spacing w:after="0" w:line="15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software development costs as of December 31, 2023 through December 31, 2028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51,970</w:t>
            </w:r>
          </w:p>
        </w:tc>
      </w:tr>
      <w:tr>
        <w:trPr>
          <w:trHeight w:val="229"/>
        </w:trPr>
        <w:tc>
          <w:tcPr>
            <w:tcW w:w="988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39,560</w:t>
            </w:r>
          </w:p>
        </w:tc>
      </w:tr>
      <w:tr>
        <w:trPr>
          <w:trHeight w:val="230"/>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r>
      <w:tr>
        <w:trPr>
          <w:trHeight w:val="229"/>
        </w:trPr>
        <w:tc>
          <w:tcPr>
            <w:tcW w:w="988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r>
      <w:tr>
        <w:trPr>
          <w:trHeight w:val="230"/>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includes the following activity during the years ended December 31, 2023 and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2,780,259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2,780,259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recognized in connection with the Yieldbroker Acquisition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35,265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2,815,524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2,780,259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goodwill are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Goodwill – Refinitiv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 Acquisitions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an indefinite useful life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2,694,797</w:t>
            </w:r>
          </w:p>
        </w:tc>
      </w:tr>
      <w:tr>
        <w:trPr>
          <w:trHeight w:val="234"/>
        </w:trPr>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85,462</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2,815,524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2,780,259</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17741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54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17741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Licenses – Refinitiv Transaction</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Tradename – Refinitiv Transaction</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10"/>
            <w:vMerge w:val="restart"/>
          </w:tcPr>
          <w:p>
            <w:pPr>
              <w:spacing w:after="0"/>
              <w:rPr>
                <w:sz w:val="20"/>
                <w:szCs w:val="20"/>
                <w:color w:val="auto"/>
              </w:rPr>
            </w:pPr>
            <w:r>
              <w:rPr>
                <w:rFonts w:ascii="Times New Roman" w:cs="Times New Roman" w:eastAsia="Times New Roman" w:hAnsi="Times New Roman"/>
                <w:sz w:val="18"/>
                <w:szCs w:val="18"/>
                <w:color w:val="auto"/>
              </w:rPr>
              <w:t>Intangible assets that are subject to amortization consisted of the following:</w:t>
            </w: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100" w:type="dxa"/>
            <w:vAlign w:val="bottom"/>
            <w:gridSpan w:val="10"/>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Refinitiv Transaction</w:t>
            </w:r>
          </w:p>
        </w:tc>
        <w:tc>
          <w:tcPr>
            <w:tcW w:w="11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12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(328,737)</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599,463</w:t>
            </w:r>
          </w:p>
        </w:tc>
        <w:tc>
          <w:tcPr>
            <w:tcW w:w="0" w:type="dxa"/>
            <w:vAlign w:val="bottom"/>
          </w:tcPr>
          <w:p>
            <w:pPr>
              <w:spacing w:after="0"/>
              <w:rPr>
                <w:sz w:val="1"/>
                <w:szCs w:val="1"/>
                <w:color w:val="auto"/>
              </w:rPr>
            </w:pPr>
          </w:p>
        </w:tc>
      </w:tr>
      <w:tr>
        <w:trPr>
          <w:trHeight w:val="22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13 years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and data – Refinitiv</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11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Tradename – Acquisitions</w:t>
            </w:r>
          </w:p>
        </w:tc>
        <w:tc>
          <w:tcPr>
            <w:tcW w:w="112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9"/>
        </w:trPr>
        <w:tc>
          <w:tcPr>
            <w:tcW w:w="2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1,224,123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681,697</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1,183,885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(434,167)</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749,718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during the years ended December 31, 2023, 2022 and 2021 was $108.3 million, $107.2 million and $103.3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future amortization for definite-lived intangible assets as of December 31, 2023 through December 31, 2028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110,379</w:t>
            </w:r>
          </w:p>
        </w:tc>
      </w:tr>
      <w:tr>
        <w:trPr>
          <w:trHeight w:val="229"/>
        </w:trPr>
        <w:tc>
          <w:tcPr>
            <w:tcW w:w="988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104,864</w:t>
            </w:r>
          </w:p>
        </w:tc>
      </w:tr>
      <w:tr>
        <w:trPr>
          <w:trHeight w:val="230"/>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88,321</w:t>
            </w:r>
          </w:p>
        </w:tc>
      </w:tr>
      <w:tr>
        <w:trPr>
          <w:trHeight w:val="229"/>
        </w:trPr>
        <w:tc>
          <w:tcPr>
            <w:tcW w:w="988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88,280</w:t>
            </w:r>
          </w:p>
        </w:tc>
      </w:tr>
      <w:tr>
        <w:trPr>
          <w:trHeight w:val="230"/>
        </w:trPr>
        <w:tc>
          <w:tcPr>
            <w:tcW w:w="988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w w:val="99"/>
              </w:rPr>
              <w:t>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88,199</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20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is a summary of lease right-of-use assets and lease liabilities related to operating leases as of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25,206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27,463</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27,943</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leases for the years ended December 31, 2023, 2022 and 2021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3"/>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included as a component of occupancy expense on the accompanying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10,842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11,940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the weighted average borrowing rate and weighted average remaining lease term are as follows:</w:t>
      </w:r>
    </w:p>
    <w:p>
      <w:pPr>
        <w:spacing w:after="0" w:line="232"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8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1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and the maturity of lease liabilities as of December 31, 2023: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5"/>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8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7"/>
        </w:trPr>
        <w:tc>
          <w:tcPr>
            <w:tcW w:w="91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w:t>
            </w: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7"/>
        </w:trPr>
        <w:tc>
          <w:tcPr>
            <w:tcW w:w="918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one U.S. lease was secured by a $0.5 million letter of credit issued under the Company’s 2023 and 2019 Revolving Credit Facility (as defined in Note 17 – Commitments and Contingencies), respectively.</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November 1, 2023, the Company amended and restated its market data agreement with an affiliate of LSEG (formerly referred to as Refinitiv), pursuant to which the Company will continue to earn fees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transaction-based fees. The breakdown of revenues between fixed and variable revenues for the years ended December 31, 2023, 2022 and 2021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7"/>
                <w:szCs w:val="17"/>
                <w:color w:val="auto"/>
              </w:rPr>
            </w:pPr>
          </w:p>
        </w:tc>
        <w:tc>
          <w:tcPr>
            <w:tcW w:w="2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7"/>
                <w:szCs w:val="17"/>
                <w:color w:val="auto"/>
              </w:rPr>
            </w:pPr>
          </w:p>
        </w:tc>
        <w:tc>
          <w:tcPr>
            <w:tcW w:w="25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2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2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930,247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690,592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155,762</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156,636</w:t>
            </w:r>
          </w:p>
        </w:tc>
      </w:tr>
      <w:tr>
        <w:trPr>
          <w:trHeight w:val="229"/>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61,161</w:t>
            </w:r>
          </w:p>
        </w:tc>
      </w:tr>
      <w:tr>
        <w:trPr>
          <w:trHeight w:val="23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2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806,200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383,222</w:t>
            </w:r>
          </w:p>
        </w:tc>
      </w:tr>
      <w:tr>
        <w:trPr>
          <w:trHeight w:val="21"/>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129,193</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acquired in connection with the Yieldbroker Acquisition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into revenue all of the $22.8 million in deferred revenue that was deferred as of December 31, 2022. During the year ended December 31, 2022, the Company recognized into revenue $23.5 million in deferred revenue that was deferred as of December 31, 2021.</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total income before the provision for income taxes amounted to $548.0 million, consisting of $533.7 million in the United States and $14.3 million in foreign locations.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37"/>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89,896</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effective rate is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2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was approximately 23.4%, compared with 17.7% for the year ended December 31, 2022 and 26.2% for the year ended December 31, 2021. The effective tax rate for the year ended December 31, 2023 differed from the U.S. federal statutory rate of</w:t>
      </w:r>
    </w:p>
    <w:p>
      <w:pPr>
        <w:ind w:right="180"/>
        <w:spacing w:after="0" w:line="253" w:lineRule="auto"/>
        <w:rPr>
          <w:sz w:val="20"/>
          <w:szCs w:val="20"/>
          <w:color w:val="auto"/>
        </w:rPr>
      </w:pPr>
      <w:r>
        <w:rPr>
          <w:rFonts w:ascii="Times New Roman" w:cs="Times New Roman" w:eastAsia="Times New Roman" w:hAnsi="Times New Roman"/>
          <w:sz w:val="18"/>
          <w:szCs w:val="18"/>
          <w:color w:val="auto"/>
        </w:rPr>
        <w:t>21.0% primarily due to state and local taxes net of the benefit related to the effect of non-controlling interest. The effective tax rates for the years ended December 31, 2022 and 2021 differed from the U.S. federal statutory rate of 21.0% primarily due to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deferred tax asset (liability)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7"/>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602,936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566,524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57,247</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Receivable Agreement -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r>
      <w:tr>
        <w:trPr>
          <w:trHeight w:val="237"/>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687,391</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698,104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687,391</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698,104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8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37"/>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6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asset (liability)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663,483</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668,191</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 of financial condition.</w:t>
      </w:r>
    </w:p>
    <w:p>
      <w:pPr>
        <w:spacing w:after="0" w:line="1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 tax effected U.S. federal net operating loss carryforwards for income tax purposes, state and local net operating loss carryforwards of $1.7 million, and foreign net operating loss carryforwards of $2.1 million. If not utilized, the state and local net operating loss carryforwards will begin to expire in 2035. The foreign net operating loss carryforwards can be carried forward indefinitely.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uncertain tax positions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January 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43"/>
        </w:trPr>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current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prior year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prior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2023 was $1.2 million and $0.1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During the year ended December 31, 2023, the contributed entity reached an audit settlement with the State of New Jersey for the tax years 2008 - 2015. As of December 31, 2023 and 2022, none and $2.7 million, respectively, is included in accounts payable, accrued expenses and other liabilities on the consolidated statements of financial condition relating to these tax liabilities. The Company is indemnified by Refinitiv for these tax liabilities that were assumed by the Company as a result of the Refinitiv Contribution. As of December 31, 2023 and 2022, none and $2.7 million, respectively, is included in receivable and due from affiliates on the consolidated statements of financial condition associated with this related party indemnification.</w:t>
      </w:r>
    </w:p>
    <w:p>
      <w:pPr>
        <w:spacing w:after="0" w:line="1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the Company does not anticipate any material changes to net uncertain tax benefits within the next twelve months.</w:t>
      </w:r>
    </w:p>
    <w:p>
      <w:pPr>
        <w:spacing w:after="0" w:line="1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As of December 31, 2023 and 2022, the tax receivable agreement liability on the consolidated statements of financial condition totaled $457.5 million and $425.7 million, respectively. During the years ended December 31, 2023, 2022 and 2021, the Company recognized a tax receivable agreement liability adjustment of $9.5 million of expense and $13.7 million and $12.7 million of income, respectively, in the consolidated statements of income.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220" w:firstLine="8"/>
        <w:spacing w:after="0" w:line="464" w:lineRule="auto"/>
        <w:tabs>
          <w:tab w:leader="none" w:pos="39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gridSpan w:val="2"/>
          </w:tcPr>
          <w:p>
            <w:pPr>
              <w:ind w:left="2740"/>
              <w:spacing w:after="0"/>
              <w:rPr>
                <w:sz w:val="20"/>
                <w:szCs w:val="20"/>
                <w:color w:val="auto"/>
              </w:rPr>
            </w:pPr>
            <w:r>
              <w:rPr>
                <w:rFonts w:ascii="Times New Roman" w:cs="Times New Roman" w:eastAsia="Times New Roman" w:hAnsi="Times New Roman"/>
                <w:sz w:val="14"/>
                <w:szCs w:val="14"/>
                <w:b w:val="1"/>
                <w:bCs w:val="1"/>
                <w:color w:val="auto"/>
              </w:rPr>
              <w:t>Class of Common Stock</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Economic Rights</w:t>
            </w:r>
          </w:p>
        </w:tc>
      </w:tr>
      <w:tr>
        <w:trPr>
          <w:trHeight w:val="37"/>
        </w:trPr>
        <w:tc>
          <w:tcPr>
            <w:tcW w:w="6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D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98,075,465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3,139,821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30,871,381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229,019,859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3,483,238</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(1,484,996)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(1,998,242)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5,630,086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5,630,086</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(901,968)</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(901,968)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106,286,821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233,747,977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4,184,083</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1,596,352</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(5,780,435)</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1,622,769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1,622,769</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(1,347,067)</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(1,347,067)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3,265,908</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14,748,823</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(18,014,731)</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1,564,003</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(485,730)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 Interests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and Exchanges of LLC Interests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2021, the Company announced that its board of directors authorized a share repurchase program (the “2021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to offset annual dilution from stock-based compensation plans. The 2021 Share Repurchase Program authorized the purchase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million of the Company’s Class A common stock at the Company’s discretion through the end of fiscal year 2023. The 2021 Share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was effected through regular open-market purchases (which included repurchase plans designed to comply with Rule 10b5-1). The amounts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timing of the repurchases were subject to general market conditions and the prevailing price and trading volumes of the Company’s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Share Repurchase Program did not require the Company to acquire a specific number of shares and was able to be suspended,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at any time.</w:t>
      </w:r>
    </w:p>
    <w:p>
      <w:pPr>
        <w:spacing w:after="0" w:line="16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began buying back shares pursuant to the 2021 Share Repurchase Program during the second quarter of 2021. During the years ended December 31, 2022 and 2021, the Company acquired a total of 959,869 and 901,968 shares of Class A common stock, respectively, at an average price of $77.43 and $83.90, respectively, for purchases totaling $74.3 million and $75.7 million, respectively, pursuant to the 2021 Share Repurchase Program. As of December 31, 2022, no shares remained available for repurchase pursuant to the 2021 Share Repurchase Program.</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to continue to offset annual dilution from stock-based compensation plans, as well as to opportunistically repurchase the Company’s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years ended December 31, 2023 and 2022, the Company acquired a total of 485,730 and 387,198 shares of Class A common stock, at an average price of $72.48 and $64.57, respectively, for purchases totaling $35.2 million and $25.0 million, respectively, pursuant to the 2022 Share Repurchase Program.</w:t>
      </w:r>
    </w:p>
    <w:p>
      <w:pPr>
        <w:spacing w:after="0" w:line="1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2023, a total of $239.8 million remained available for repurchase pursuant to the 2022 Share Repurchase Program.</w:t>
      </w:r>
    </w:p>
    <w:p>
      <w:pPr>
        <w:spacing w:after="0" w:line="1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2021 and 2022 Share Repurchase Programs, the excess of the repurchase price paid over the par value of the Class A common stock will be recorded as a reduction to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 Repurchases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withheld 715,101, 1,074,467 and 983,072 shares, respectively, of Class A common stock from employee stock option, PRSU and RSU awards, at an average price per share of $72.02, $94.64 and $72.25, respectively, and an aggregate value of $51.5 million, $101.7 million and $71.0 million, respectively, based on the price of the Class A common stock on the date the relevant withholding occurred.</w:t>
      </w:r>
    </w:p>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90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8"/>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212,023,979</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207,679,798</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26,343,881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226,828</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0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changes in TWM LLC</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0" w:type="dxa"/>
            <w:vAlign w:val="bottom"/>
          </w:tcPr>
          <w:p>
            <w:pPr>
              <w:spacing w:after="0"/>
              <w:rPr>
                <w:sz w:val="1"/>
                <w:szCs w:val="1"/>
                <w:color w:val="auto"/>
              </w:rPr>
            </w:pPr>
          </w:p>
        </w:tc>
      </w:tr>
      <w:tr>
        <w:trPr>
          <w:trHeight w:val="164"/>
        </w:trPr>
        <w:tc>
          <w:tcPr>
            <w:tcW w:w="7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418,017</w:t>
            </w:r>
          </w:p>
        </w:tc>
        <w:tc>
          <w:tcPr>
            <w:tcW w:w="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313,834</w:t>
            </w:r>
          </w:p>
        </w:tc>
        <w:tc>
          <w:tcPr>
            <w:tcW w:w="0" w:type="dxa"/>
            <w:vAlign w:val="bottom"/>
          </w:tcPr>
          <w:p>
            <w:pPr>
              <w:spacing w:after="0"/>
              <w:rPr>
                <w:sz w:val="1"/>
                <w:szCs w:val="1"/>
                <w:color w:val="auto"/>
              </w:rPr>
            </w:pPr>
          </w:p>
        </w:tc>
      </w:tr>
      <w:tr>
        <w:trPr>
          <w:trHeight w:val="227"/>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Plans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stock options, restricted stock units (“RSUs”) and dividend equivalent rights. The awards may have performance-based and/or time-based vesting conditions. Stock options have a maximum contractual term of 10 years.</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16, 2022, the Company announced that Mr. Olesky would retire as Chief Executive Officer (“CEO”)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 were granted to Mr. Olesky and immediately recognized into expense upon grant.</w:t>
      </w:r>
    </w:p>
    <w:p>
      <w:pPr>
        <w:spacing w:after="0" w:line="14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a total of $15.0 million in accelerated stock-based compensation expenses (“CEO Retirement Accelerated Stock-Based Compensation Expense”) and related payroll that would not have been recognized if Mr. Olesky had not announced his retirement. There was no CEO Retirement Accelerated Stock-Based Compensation Expense recorded during the year ended December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PRSU</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the financial performance of the Company are referred to as “PRSUs”. PRSUs generally cliff vest on January 1 of the third calendar year from the calendar year of the date of grant. The fair value of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 for awards granted during 2022 and prior years. PRSUs granted during 2023 had a 250% maximum performance modifier.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PRSUs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PRSUs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1,422,421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 and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6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outstanding at December 31, 2023</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PRSU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equity-settled PRSUs granted during the years ended December 31, 2022 and 2021 was $83.74 and $74.29, respectively.</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total fair value of PRSUs vested during the years ended December 31, 2023, 2022 and 2021 was $46.2 million, $152.8 million and $67.4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Performance-based restricted stock units that are promises to issue actual shares of Class A common stock based on market conditions are referred to as “PSUs”. PSUs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can vary between 0% (minimum) and 250% (maximum) of the target (100%) award amount. The grant date fair value of the PSUs, determined using the Monte Carlo simulation model, is recognized as compensation expense on a straight-line basis over the vesting period for the entire award, regardless of the number of shares received by the participant at vesting.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PSUs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251,113</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 and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2023</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PSUs granted during the years ended December 31, 2022 and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to estimate the fair value of PSUs estimated using the Monte Carlo simulation model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9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7"/>
        </w:trPr>
        <w:tc>
          <w:tcPr>
            <w:tcW w:w="9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w:t>
      </w:r>
    </w:p>
    <w:p>
      <w:pPr>
        <w:spacing w:after="0" w:line="1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grant-date fair value of the time-based options related to the Special Option Award and the July 2019 Grants are amortized into expense over the requisite service period on a straight-line basis, with each tranche separately measured. The grant-date fair value of the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December 2019 Grants are amortized into expense on a straight-line basis over the requisite service period for the entire award.</w:t>
      </w:r>
    </w:p>
    <w:p>
      <w:pPr>
        <w:spacing w:after="0" w:line="13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condition. If in a reporting period it is determined that the achievement of a performance target for a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tranche is not probable, then no expense is recognized for that tranche and any expenses already recognized relating to that tranche in prior reporting periods are reversed in the current reporting period.</w:t>
      </w:r>
    </w:p>
    <w:p>
      <w:pPr>
        <w:spacing w:after="0" w:line="14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Company can elect to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options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2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7"/>
                <w:szCs w:val="17"/>
                <w:color w:val="auto"/>
              </w:rPr>
            </w:pP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2,365,813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(1,353,637)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Forfeitures and adjustments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options outstanding at December 31, 2023 - all exercisable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887,174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70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awards: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9"/>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compensation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2022 and 2021.</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2022 and 2021 was $77.4 million, $59.3 million and $333.8 million, respectively.</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options outstanding as of December 31, 2023 was $67.3 million. The weighted average remaining contractual life of all options outstanding as of December 31, 2023 was 5.0 years.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vested options outstanding as of December 31, 2023 was $61.7 million, all of which are currently exercisable. The weighted average remaining contractual life of all vested options outstanding as of December 31, 2023 was 4.9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RSUs are promises to issue shares of Class A common stock at the end of a vesting period. RSUs granted to employees generally vest one-third each year over a three-year period. RSUs granted to non-employee directors generally vest after one year. The fair value of RSUs is calculated on the grant date using the stock price of the Class A common stock. The grant-date fair value of RSUs are amortized into expense on a straight-line basis over the requisite service period for the entire award.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RSUs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8440" w:type="dxa"/>
            <w:vAlign w:val="bottom"/>
          </w:tcPr>
          <w:p>
            <w:pPr>
              <w:spacing w:after="0"/>
              <w:rPr>
                <w:sz w:val="16"/>
                <w:szCs w:val="16"/>
                <w:color w:val="auto"/>
              </w:rPr>
            </w:pPr>
          </w:p>
        </w:tc>
        <w:tc>
          <w:tcPr>
            <w:tcW w:w="13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4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864,663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r>
      <w:tr>
        <w:trPr>
          <w:trHeight w:val="27"/>
        </w:trPr>
        <w:tc>
          <w:tcPr>
            <w:tcW w:w="8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(411,391)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7"/>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1,023,384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30,315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33,902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15,983</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(7,952)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(5,416)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during the years ended December 31, 2022 and 2021 was $80.27 and $75.09, respectively.</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2023, 2022 and 2021 was $30.7 million, $25.6 million, and $12.5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expense for employees and directors in the consolidated statements of income. A summary of the Company’s total stock-based compensation expense relating to its equity-settled PRSUs, options and RSUs, including the CEO Retirement Accelerated Stock-Based Compensation Expense, is presented below:</w:t>
      </w:r>
    </w:p>
    <w:p>
      <w:pPr>
        <w:spacing w:after="0" w:line="16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33655</wp:posOffset>
            </wp:positionV>
            <wp:extent cx="2691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66,644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51,943</w:t>
            </w:r>
          </w:p>
        </w:tc>
      </w:tr>
    </w:tbl>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$1.5 million and $0.9 million of stock-based compensation expense capitalized to software development costs during the years ended December 31, 2023 and 2022, respectively.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unvested stock-based compensation arrangements and the expected recognition period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3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37"/>
        </w:trPr>
        <w:tc>
          <w:tcPr>
            <w:tcW w:w="5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recognition period (in years)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following balances with such affiliates were included in the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8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7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61,161</w:t>
            </w:r>
          </w:p>
        </w:tc>
      </w:tr>
      <w:tr>
        <w:trPr>
          <w:trHeight w:val="27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3" w:lineRule="exact"/>
        <w:rPr>
          <w:sz w:val="20"/>
          <w:szCs w:val="20"/>
          <w:color w:val="auto"/>
        </w:rPr>
      </w:pPr>
    </w:p>
    <w:p>
      <w:pPr>
        <w:ind w:left="340" w:right="120" w:hanging="332"/>
        <w:spacing w:after="0" w:line="27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(formerly referred to as Refinitiv).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real estate, payroll, benefits administration and other administrative services.</w:t>
      </w:r>
    </w:p>
    <w:p>
      <w:pPr>
        <w:spacing w:after="0" w:line="18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none, $3.1 million and $1.6 million, respectively of previously accrued expenses payable to affiliates of LSEG were waived and the liabilities were reversed through an increase to additional paid-in capital.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measured at fair value on the consolidated statements of financial condition as of December 31, 2023 and 2022 have been categorized based upon the fair value hierarchy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Payable and due to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December 31, 2023 and 2022,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consolidated statements of financial condition.</w:t>
      </w:r>
    </w:p>
    <w:p>
      <w:pPr>
        <w:spacing w:after="0" w:line="1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5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440" w:val="left"/>
          <w:tab w:leader="none" w:pos="9120" w:val="left"/>
          <w:tab w:leader="none" w:pos="9880" w:val="left"/>
          <w:tab w:leader="none" w:pos="10560" w:val="left"/>
        </w:tabs>
        <w:rPr>
          <w:sz w:val="20"/>
          <w:szCs w:val="20"/>
          <w:color w:val="auto"/>
        </w:rPr>
      </w:pPr>
      <w:r>
        <w:rPr>
          <w:rFonts w:ascii="Times New Roman" w:cs="Times New Roman" w:eastAsia="Times New Roman" w:hAnsi="Times New Roman"/>
          <w:sz w:val="18"/>
          <w:szCs w:val="18"/>
          <w:color w:val="auto"/>
        </w:rPr>
        <w:t>Foreign currency forward contracts – Gross notional amount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192,877</w:t>
        <w:tab/>
        <w:t>$</w:t>
      </w:r>
      <w:r>
        <w:rPr>
          <w:sz w:val="20"/>
          <w:szCs w:val="20"/>
          <w:color w:val="auto"/>
        </w:rPr>
        <w:tab/>
      </w:r>
      <w:r>
        <w:rPr>
          <w:rFonts w:ascii="Times New Roman" w:cs="Times New Roman" w:eastAsia="Times New Roman" w:hAnsi="Times New Roman"/>
          <w:sz w:val="17"/>
          <w:szCs w:val="17"/>
          <w:color w:val="auto"/>
        </w:rPr>
        <w:t>162,845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consolidated statements of income. The total realized and unrealized gains (losses) on foreign exchange derivative contracts recorded within the consolidated statements of income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administrative (expenses)/income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4,871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r>
      <w:tr>
        <w:trPr>
          <w:trHeight w:val="176"/>
        </w:trPr>
        <w:tc>
          <w:tcPr>
            <w:tcW w:w="7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call option contract not designated in accounting hedge relationship – Other</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income/(loss)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left="340" w:right="200" w:hanging="332"/>
        <w:spacing w:after="0" w:line="271" w:lineRule="auto"/>
        <w:tabs>
          <w:tab w:leader="none" w:pos="32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2023, the Company entered into a foreign currency call option on Australian dollars, in order to partially mitigate the Company’s U.S. dollar versus Australian dollar foreign exchange exposure on the then anticipated payment of the Australian dollar denominated purchase price for the Yieldbroker Acquisition. On August 25, 2023, the Company unwound the out-of-the-money foreign currency call option and received $1.1 million. See Note 4 – Acquisitions for additional details.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on the consolidated statements of financial condition as of December 31, 2023 and 2022 have been categorized based upon the fair value hierarchy as follows:</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 sold under agreements to repurchase</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20" w:hanging="332"/>
        <w:spacing w:after="0" w:line="281" w:lineRule="auto"/>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Treasury securities with a fair value of $21.6 million collateralized the securities sold under agreements to repurchase liability. The liability amount presented represents the gross liability and is not offset on the consolidated statement of financial condition. The securities sold under agreements to repurchase liability were subsequently settled on January 2, 2024.</w:t>
      </w:r>
    </w:p>
    <w:p>
      <w:pPr>
        <w:spacing w:after="0" w:line="1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Without Readily Determinable Fair Values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assets on the consolidated statements of financial condition are equity investments without readily determinable fair values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$8.9 million and $20.0 million as of December 31, 2023 and 2022, respectively. During the year ended December 31, 2023, and as of December 31, 2023, the Company recorded an impairment on its equity investment totaling $11.1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losses totaling $1.0 million included in other income (loss) in the consolidated statements of income, related to the write-off of an investment that was determined to be uncollectible.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20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maintained an allowance for credit losses with regard to these receivables of $0.3 million and $0.1 million, respectively. For the years ended December 31, 2023 and 2021 credit loss expense was $208,000 and $13,000, respectively. For the year ended December 31, 2022, recoveries resulted in a reversal of credit loss expense of $14,000.</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3"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2022. Oral argument in the appeal was held on October 3, 2023, and by order and opinion issued on February 1, 2024, the Second Circuit affirmed the District Court’s order dismissing all claims against all defendants, including the claims against the Company.</w:t>
      </w:r>
    </w:p>
    <w:p>
      <w:pPr>
        <w:spacing w:after="0" w:line="1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 and as amended on March 31, 2023 (the “2019 Revolving Credit Facility”). The 2019 Revolving Credit Facility had a scheduled maturity date of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both December 31, 2023 and 2022, there were $0.5 million in letters of credit issued under the 2023 and 2019 Revolving Credit Facility, respectively and no borrowings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31, 2023, the Company entered into a joint venture agreement (the “JV Agreement”) with subsidiaries of Bloomberg Inc. and MarketAxess Holdings Inc. to jointly establish and fund an independent company (the “CTP JV”) for the purpose of participating in the public procurement procedure to become the fixed income consolidated tape (“CTP”) provider in the European Union. The CTP JV was to be incorporated prior to the European Securities and Markets Authority (“ESMA”) tender process and in accordance with project planning. The operation of the CTP JV was contingent upon selection through the ESMA tender process and regulatory approvals. In December 2023, the joint venture agreement was terminated.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7"/>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Numerator:</w:t>
            </w:r>
          </w:p>
        </w:tc>
        <w:tc>
          <w:tcPr>
            <w:tcW w:w="614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309,338</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226,828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unvested RSUs and unsettled vested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PRSUs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364,399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309,094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210,796,802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205,576,637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201,419,081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Dilutive effect of 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212,668,808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208,400,040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207,254,840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360" w:hanging="332"/>
        <w:spacing w:after="0" w:line="282"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2023 and 2022, there was a total of 270,249 and 193,441, respectively, weighted average unvested RSUs and unsettled vested PRSUs that were considered a participating security for purposes of calculating earnings per share in accordance with the two-class method. There were none during the year ended December 31, 2021.</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54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23,902,379</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28,830,686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30,699,577</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TWEU and TESBV are subject to certain finance resource requirements with the AFM in the Netherlands, YB is subject to certain financial resource requirements with ASIC in Australia and TDIFC is subject to certain financial resource requirements with DFSA in the Dubai International Financial Centre. At December 31, 2023 and 2022, the regulatory capital requirements and regulatory capital for these entities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8"/>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380" w:type="dxa"/>
            <w:vAlign w:val="bottom"/>
          </w:tcPr>
          <w:p>
            <w:pPr>
              <w:jc w:val="right"/>
              <w:ind w:right="113"/>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204"/>
        </w:trPr>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127,452</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2023 and 2022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931"/>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2"/>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797,038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719,211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668,812</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254,927</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70,566</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82,142</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1,076,447</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832,950</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776,208</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717,619</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412,573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358,828</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760,642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673,223</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403,224</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1,338,219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1,188,781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1,076,447</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4,044,230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4,057,256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02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February 2, 2024, the board of directors of Tradeweb Markets Inc. declared a cash dividend of $0.10 per share of Class A common stock and Class B common stock for the first quarter of 2024. This dividend will be payable on March 15, 2024 to stockholders of record as of March 1,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 2024, Tradeweb Markets Inc., as the sole manager, approved a distribution by TWM LLC to its equityholders, including Tradeweb Markets Inc., in an aggregate amount of $62.1 million, as adjusted by required state and local tax withholdings that will be determined prior to the record date of March 1, 2024, payable on March 13, 2024.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Based on that evaluation, our CEO and CFO have concluded that our disclosure controls and procedures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us as defined in Rule 13a-15(f) or 15d-15(f) under the Exchange Act.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Our management, under the supervision and with the participation of our CEO and CFO, evaluated the effectiveness of our internal control over financial reporting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using criteria established in Internal Control – Integrated Framework (2013) issued by the Committee of Sponsoring Organizations of the Treadway Commission (COSO).</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Management, including our CEO and CFO, based on its assessment and those criteria, has concluded that our internal control over financial reporting was effective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has been audited by Deloitte &amp; Touche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during the quarter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that have materially affected, or that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4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6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69"/>
        </w:trPr>
        <w:tc>
          <w:tcPr>
            <w:tcW w:w="26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Douglas Friedman Adoption</w:t>
            </w:r>
          </w:p>
        </w:tc>
        <w:tc>
          <w:tcPr>
            <w:tcW w:w="148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November 24,</w:t>
            </w:r>
          </w:p>
        </w:tc>
        <w:tc>
          <w:tcPr>
            <w:tcW w:w="556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Sale of an amount equal to up to: (A) 26,232 shares of Class A common</w:t>
            </w:r>
          </w:p>
        </w:tc>
        <w:tc>
          <w:tcPr>
            <w:tcW w:w="160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May 24, 2024</w:t>
            </w: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General Counsel</w:t>
            </w: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55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stock to be issued upon the exercise of options in accordance with the</w:t>
            </w:r>
          </w:p>
        </w:tc>
        <w:tc>
          <w:tcPr>
            <w:tcW w:w="1600" w:type="dxa"/>
            <w:vAlign w:val="bottom"/>
            <w:shd w:val="clear" w:color="auto" w:fill="CCEEFF"/>
          </w:tcPr>
          <w:p>
            <w:pPr>
              <w:spacing w:after="0"/>
              <w:rPr>
                <w:sz w:val="15"/>
                <w:szCs w:val="15"/>
                <w:color w:val="auto"/>
              </w:rPr>
            </w:pP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and Secretary</w:t>
            </w: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terms of the Rule 10b5-1 trading arrangement and (B) (i) 5,955 shares of</w:t>
            </w:r>
          </w:p>
        </w:tc>
        <w:tc>
          <w:tcPr>
            <w:tcW w:w="1600" w:type="dxa"/>
            <w:vAlign w:val="bottom"/>
            <w:shd w:val="clear" w:color="auto" w:fill="CCEEFF"/>
          </w:tcPr>
          <w:p>
            <w:pPr>
              <w:spacing w:after="0"/>
              <w:rPr>
                <w:sz w:val="15"/>
                <w:szCs w:val="15"/>
                <w:color w:val="auto"/>
              </w:rPr>
            </w:pPr>
          </w:p>
        </w:tc>
      </w:tr>
      <w:tr>
        <w:trPr>
          <w:trHeight w:val="176"/>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to be issued upon the vesting on March 15, 2024</w:t>
            </w:r>
          </w:p>
        </w:tc>
        <w:tc>
          <w:tcPr>
            <w:tcW w:w="160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of previously awarded restricted stock units, plus (ii) the number of</w:t>
            </w:r>
          </w:p>
        </w:tc>
        <w:tc>
          <w:tcPr>
            <w:tcW w:w="160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shares issued upon vesting on March 15, 2024 in settlement of dividend</w:t>
            </w:r>
          </w:p>
        </w:tc>
        <w:tc>
          <w:tcPr>
            <w:tcW w:w="1600" w:type="dxa"/>
            <w:vAlign w:val="bottom"/>
            <w:shd w:val="clear" w:color="auto" w:fill="CCEEFF"/>
          </w:tcPr>
          <w:p>
            <w:pPr>
              <w:spacing w:after="0"/>
              <w:rPr>
                <w:sz w:val="15"/>
                <w:szCs w:val="15"/>
                <w:color w:val="auto"/>
              </w:rPr>
            </w:pPr>
          </w:p>
        </w:tc>
      </w:tr>
      <w:tr>
        <w:trPr>
          <w:trHeight w:val="176"/>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equivalent rights in respect of the 5,955 shares subject to the restricted</w:t>
            </w:r>
          </w:p>
        </w:tc>
        <w:tc>
          <w:tcPr>
            <w:tcW w:w="160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units that accrued during the award’s vesting period of March 15,</w:t>
            </w:r>
          </w:p>
        </w:tc>
        <w:tc>
          <w:tcPr>
            <w:tcW w:w="160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2021 - March 15, 2024, as applicable, pursuant to the terms of the award</w:t>
            </w:r>
          </w:p>
        </w:tc>
        <w:tc>
          <w:tcPr>
            <w:tcW w:w="160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agreement and determined on the vesting date, less (iii) the number of</w:t>
            </w:r>
          </w:p>
        </w:tc>
        <w:tc>
          <w:tcPr>
            <w:tcW w:w="160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shares withheld for taxes, to be determined on the vesting date, less (iii)</w:t>
            </w:r>
          </w:p>
        </w:tc>
        <w:tc>
          <w:tcPr>
            <w:tcW w:w="160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the number of shares withheld for taxes, to be determined on the vesting</w:t>
            </w:r>
          </w:p>
        </w:tc>
        <w:tc>
          <w:tcPr>
            <w:tcW w:w="1600" w:type="dxa"/>
            <w:vAlign w:val="bottom"/>
            <w:shd w:val="clear" w:color="auto" w:fill="CCEEFF"/>
          </w:tcPr>
          <w:p>
            <w:pPr>
              <w:spacing w:after="0"/>
              <w:rPr>
                <w:sz w:val="15"/>
                <w:szCs w:val="15"/>
                <w:color w:val="auto"/>
              </w:rPr>
            </w:pPr>
          </w:p>
        </w:tc>
      </w:tr>
      <w:tr>
        <w:trPr>
          <w:trHeight w:val="229"/>
        </w:trPr>
        <w:tc>
          <w:tcPr>
            <w:tcW w:w="1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600" w:type="dxa"/>
            <w:vAlign w:val="bottom"/>
            <w:shd w:val="clear" w:color="auto" w:fill="CCEEFF"/>
          </w:tcPr>
          <w:p>
            <w:pPr>
              <w:spacing w:after="0"/>
              <w:rPr>
                <w:sz w:val="19"/>
                <w:szCs w:val="19"/>
                <w:color w:val="auto"/>
              </w:rPr>
            </w:pPr>
          </w:p>
        </w:tc>
      </w:tr>
      <w:tr>
        <w:trPr>
          <w:trHeight w:val="176"/>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Justin Peterson</w:t>
            </w:r>
          </w:p>
        </w:tc>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4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November 30,</w:t>
            </w:r>
          </w:p>
        </w:tc>
        <w:tc>
          <w:tcPr>
            <w:tcW w:w="5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10,000 shares of Class A common</w:t>
            </w:r>
          </w:p>
        </w:tc>
        <w:tc>
          <w:tcPr>
            <w:tcW w:w="1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September 25,</w:t>
            </w:r>
          </w:p>
        </w:tc>
      </w:tr>
      <w:tr>
        <w:trPr>
          <w:trHeight w:val="182"/>
        </w:trPr>
        <w:tc>
          <w:tcPr>
            <w:tcW w:w="13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Technology</w:t>
            </w:r>
          </w:p>
        </w:tc>
        <w:tc>
          <w:tcPr>
            <w:tcW w:w="1240" w:type="dxa"/>
            <w:vAlign w:val="bottom"/>
          </w:tcPr>
          <w:p>
            <w:pPr>
              <w:spacing w:after="0"/>
              <w:rPr>
                <w:sz w:val="15"/>
                <w:szCs w:val="15"/>
                <w:color w:val="auto"/>
              </w:rPr>
            </w:pPr>
          </w:p>
        </w:tc>
        <w:tc>
          <w:tcPr>
            <w:tcW w:w="14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55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stock to be issued upon the exercise of options in accordance with the</w:t>
            </w:r>
          </w:p>
        </w:tc>
        <w:tc>
          <w:tcPr>
            <w:tcW w:w="16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2"/>
        </w:trPr>
        <w:tc>
          <w:tcPr>
            <w:tcW w:w="13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5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terms of the Rule 10b5-1 trading arrangement, (B) (i) 14,832 shares of</w:t>
            </w:r>
          </w:p>
        </w:tc>
        <w:tc>
          <w:tcPr>
            <w:tcW w:w="160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to be issued upon the vesting on January 1, 2024</w:t>
            </w:r>
          </w:p>
        </w:tc>
        <w:tc>
          <w:tcPr>
            <w:tcW w:w="1600" w:type="dxa"/>
            <w:vAlign w:val="bottom"/>
          </w:tcPr>
          <w:p>
            <w:pPr>
              <w:spacing w:after="0"/>
              <w:rPr>
                <w:sz w:val="15"/>
                <w:szCs w:val="15"/>
                <w:color w:val="auto"/>
              </w:rPr>
            </w:pPr>
          </w:p>
        </w:tc>
      </w:tr>
      <w:tr>
        <w:trPr>
          <w:trHeight w:val="204"/>
        </w:trPr>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56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of previously awarded performance-based restricted stock units, plus (ii)</w:t>
            </w:r>
          </w:p>
        </w:tc>
        <w:tc>
          <w:tcPr>
            <w:tcW w:w="1600" w:type="dxa"/>
            <w:vAlign w:val="bottom"/>
          </w:tcPr>
          <w:p>
            <w:pPr>
              <w:spacing w:after="0"/>
              <w:rPr>
                <w:sz w:val="17"/>
                <w:szCs w:val="17"/>
                <w:color w:val="auto"/>
              </w:rPr>
            </w:pPr>
          </w:p>
        </w:tc>
      </w:tr>
    </w:tbl>
    <w:p>
      <w:pPr>
        <w:ind w:left="4260"/>
        <w:spacing w:after="0" w:line="203" w:lineRule="auto"/>
        <w:rPr>
          <w:sz w:val="20"/>
          <w:szCs w:val="20"/>
          <w:color w:val="auto"/>
        </w:rPr>
      </w:pPr>
      <w:r>
        <w:rPr>
          <w:rFonts w:ascii="Times New Roman" w:cs="Times New Roman" w:eastAsia="Times New Roman" w:hAnsi="Times New Roman"/>
          <w:sz w:val="18"/>
          <w:szCs w:val="18"/>
          <w:color w:val="auto"/>
        </w:rPr>
        <w:t>the number of shares issued upon vesting on January 1, 2024 in</w:t>
      </w:r>
    </w:p>
    <w:p>
      <w:pPr>
        <w:ind w:left="4260"/>
        <w:spacing w:after="0" w:line="203" w:lineRule="auto"/>
        <w:rPr>
          <w:sz w:val="20"/>
          <w:szCs w:val="20"/>
          <w:color w:val="auto"/>
        </w:rPr>
      </w:pPr>
      <w:r>
        <w:rPr>
          <w:rFonts w:ascii="Times New Roman" w:cs="Times New Roman" w:eastAsia="Times New Roman" w:hAnsi="Times New Roman"/>
          <w:sz w:val="18"/>
          <w:szCs w:val="18"/>
          <w:color w:val="auto"/>
        </w:rPr>
        <w:t>settlement of dividend equivalent rights in respect of the 14,832 shares</w:t>
      </w:r>
    </w:p>
    <w:p>
      <w:pPr>
        <w:ind w:left="4260"/>
        <w:spacing w:after="0" w:line="220" w:lineRule="auto"/>
        <w:rPr>
          <w:sz w:val="20"/>
          <w:szCs w:val="20"/>
          <w:color w:val="auto"/>
        </w:rPr>
      </w:pPr>
      <w:r>
        <w:rPr>
          <w:rFonts w:ascii="Times New Roman" w:cs="Times New Roman" w:eastAsia="Times New Roman" w:hAnsi="Times New Roman"/>
          <w:sz w:val="18"/>
          <w:szCs w:val="18"/>
          <w:color w:val="auto"/>
        </w:rPr>
        <w:t>subject to the performance-based restricted stock units that accrued</w:t>
      </w:r>
    </w:p>
    <w:p>
      <w:pPr>
        <w:ind w:left="4260"/>
        <w:spacing w:after="0" w:line="203" w:lineRule="auto"/>
        <w:rPr>
          <w:sz w:val="20"/>
          <w:szCs w:val="20"/>
          <w:color w:val="auto"/>
        </w:rPr>
      </w:pPr>
      <w:r>
        <w:rPr>
          <w:rFonts w:ascii="Times New Roman" w:cs="Times New Roman" w:eastAsia="Times New Roman" w:hAnsi="Times New Roman"/>
          <w:sz w:val="18"/>
          <w:szCs w:val="18"/>
          <w:color w:val="auto"/>
        </w:rPr>
        <w:t>during the award’s vesting period of March 15, 2021 – January 1, 2024,</w:t>
      </w:r>
    </w:p>
    <w:p>
      <w:pPr>
        <w:ind w:left="4260"/>
        <w:spacing w:after="0" w:line="204" w:lineRule="auto"/>
        <w:rPr>
          <w:sz w:val="20"/>
          <w:szCs w:val="20"/>
          <w:color w:val="auto"/>
        </w:rPr>
      </w:pPr>
      <w:r>
        <w:rPr>
          <w:rFonts w:ascii="Times New Roman" w:cs="Times New Roman" w:eastAsia="Times New Roman" w:hAnsi="Times New Roman"/>
          <w:sz w:val="18"/>
          <w:szCs w:val="18"/>
          <w:color w:val="auto"/>
        </w:rPr>
        <w:t>pursuant to the terms of the award agreement and determined on the</w:t>
      </w:r>
    </w:p>
    <w:p>
      <w:pPr>
        <w:ind w:left="4260"/>
        <w:spacing w:after="0" w:line="219" w:lineRule="auto"/>
        <w:rPr>
          <w:sz w:val="20"/>
          <w:szCs w:val="20"/>
          <w:color w:val="auto"/>
        </w:rPr>
      </w:pPr>
      <w:r>
        <w:rPr>
          <w:rFonts w:ascii="Times New Roman" w:cs="Times New Roman" w:eastAsia="Times New Roman" w:hAnsi="Times New Roman"/>
          <w:sz w:val="18"/>
          <w:szCs w:val="18"/>
          <w:color w:val="auto"/>
        </w:rPr>
        <w:t>vesting date, less (iii) the number of shares withheld for taxes, to be</w:t>
      </w:r>
    </w:p>
    <w:p>
      <w:pPr>
        <w:ind w:left="4260"/>
        <w:spacing w:after="0" w:line="203" w:lineRule="auto"/>
        <w:rPr>
          <w:sz w:val="20"/>
          <w:szCs w:val="20"/>
          <w:color w:val="auto"/>
        </w:rPr>
      </w:pPr>
      <w:r>
        <w:rPr>
          <w:rFonts w:ascii="Times New Roman" w:cs="Times New Roman" w:eastAsia="Times New Roman" w:hAnsi="Times New Roman"/>
          <w:sz w:val="18"/>
          <w:szCs w:val="18"/>
          <w:color w:val="auto"/>
        </w:rPr>
        <w:t>determined on the vesting date, and (C) (i) 11,152 shares of Class A</w:t>
      </w:r>
    </w:p>
    <w:p>
      <w:pPr>
        <w:ind w:left="4260"/>
        <w:spacing w:after="0" w:line="204" w:lineRule="auto"/>
        <w:rPr>
          <w:sz w:val="20"/>
          <w:szCs w:val="20"/>
          <w:color w:val="auto"/>
        </w:rPr>
      </w:pPr>
      <w:r>
        <w:rPr>
          <w:rFonts w:ascii="Times New Roman" w:cs="Times New Roman" w:eastAsia="Times New Roman" w:hAnsi="Times New Roman"/>
          <w:sz w:val="18"/>
          <w:szCs w:val="18"/>
          <w:color w:val="auto"/>
        </w:rPr>
        <w:t>common stock to be issued upon the vesting on March 15, 2024 of</w:t>
      </w:r>
    </w:p>
    <w:p>
      <w:pPr>
        <w:ind w:left="4260"/>
        <w:spacing w:after="0" w:line="219" w:lineRule="auto"/>
        <w:rPr>
          <w:sz w:val="20"/>
          <w:szCs w:val="20"/>
          <w:color w:val="auto"/>
        </w:rPr>
      </w:pPr>
      <w:r>
        <w:rPr>
          <w:rFonts w:ascii="Times New Roman" w:cs="Times New Roman" w:eastAsia="Times New Roman" w:hAnsi="Times New Roman"/>
          <w:sz w:val="18"/>
          <w:szCs w:val="18"/>
          <w:color w:val="auto"/>
        </w:rPr>
        <w:t>previously awarded restricted stock units, plus (ii) the number of shares</w:t>
      </w:r>
    </w:p>
    <w:p>
      <w:pPr>
        <w:ind w:left="4260"/>
        <w:spacing w:after="0" w:line="203" w:lineRule="auto"/>
        <w:rPr>
          <w:sz w:val="20"/>
          <w:szCs w:val="20"/>
          <w:color w:val="auto"/>
        </w:rPr>
      </w:pPr>
      <w:r>
        <w:rPr>
          <w:rFonts w:ascii="Times New Roman" w:cs="Times New Roman" w:eastAsia="Times New Roman" w:hAnsi="Times New Roman"/>
          <w:sz w:val="18"/>
          <w:szCs w:val="18"/>
          <w:color w:val="auto"/>
        </w:rPr>
        <w:t>issued upon vesting on March 15, 2024 in settlement of dividend</w:t>
      </w:r>
    </w:p>
    <w:p>
      <w:pPr>
        <w:ind w:left="4260"/>
        <w:spacing w:after="0" w:line="204" w:lineRule="auto"/>
        <w:rPr>
          <w:sz w:val="20"/>
          <w:szCs w:val="20"/>
          <w:color w:val="auto"/>
        </w:rPr>
      </w:pPr>
      <w:r>
        <w:rPr>
          <w:rFonts w:ascii="Times New Roman" w:cs="Times New Roman" w:eastAsia="Times New Roman" w:hAnsi="Times New Roman"/>
          <w:sz w:val="18"/>
          <w:szCs w:val="18"/>
          <w:color w:val="auto"/>
        </w:rPr>
        <w:t>equivalent rights in respect of the 11,152 shares subject to the restricted</w:t>
      </w:r>
    </w:p>
    <w:p>
      <w:pPr>
        <w:ind w:left="4260"/>
        <w:spacing w:after="0" w:line="219" w:lineRule="auto"/>
        <w:rPr>
          <w:sz w:val="20"/>
          <w:szCs w:val="20"/>
          <w:color w:val="auto"/>
        </w:rPr>
      </w:pPr>
      <w:r>
        <w:rPr>
          <w:rFonts w:ascii="Times New Roman" w:cs="Times New Roman" w:eastAsia="Times New Roman" w:hAnsi="Times New Roman"/>
          <w:sz w:val="18"/>
          <w:szCs w:val="18"/>
          <w:color w:val="auto"/>
        </w:rPr>
        <w:t>stock units that accrued during the award’s vesting period of March 15,</w:t>
      </w:r>
    </w:p>
    <w:p>
      <w:pPr>
        <w:ind w:left="4260"/>
        <w:spacing w:after="0" w:line="204" w:lineRule="auto"/>
        <w:rPr>
          <w:sz w:val="20"/>
          <w:szCs w:val="20"/>
          <w:color w:val="auto"/>
        </w:rPr>
      </w:pPr>
      <w:r>
        <w:rPr>
          <w:rFonts w:ascii="Times New Roman" w:cs="Times New Roman" w:eastAsia="Times New Roman" w:hAnsi="Times New Roman"/>
          <w:sz w:val="18"/>
          <w:szCs w:val="18"/>
          <w:color w:val="auto"/>
        </w:rPr>
        <w:t>2021 – March 15, 2024, as applicable, pursuant to the terms of the award</w:t>
      </w:r>
    </w:p>
    <w:p>
      <w:pPr>
        <w:ind w:left="4260"/>
        <w:spacing w:after="0" w:line="203" w:lineRule="auto"/>
        <w:rPr>
          <w:sz w:val="20"/>
          <w:szCs w:val="20"/>
          <w:color w:val="auto"/>
        </w:rPr>
      </w:pPr>
      <w:r>
        <w:rPr>
          <w:rFonts w:ascii="Times New Roman" w:cs="Times New Roman" w:eastAsia="Times New Roman" w:hAnsi="Times New Roman"/>
          <w:sz w:val="18"/>
          <w:szCs w:val="18"/>
          <w:color w:val="auto"/>
        </w:rPr>
        <w:t>agreement and determined on the vesting date, less (iii) the number of</w:t>
      </w:r>
    </w:p>
    <w:p>
      <w:pPr>
        <w:ind w:left="4260"/>
        <w:spacing w:after="0"/>
        <w:rPr>
          <w:sz w:val="20"/>
          <w:szCs w:val="20"/>
          <w:color w:val="auto"/>
        </w:rPr>
      </w:pPr>
      <w:r>
        <w:rPr>
          <w:rFonts w:ascii="Times New Roman" w:cs="Times New Roman" w:eastAsia="Times New Roman" w:hAnsi="Times New Roman"/>
          <w:sz w:val="18"/>
          <w:szCs w:val="18"/>
          <w:color w:val="auto"/>
        </w:rPr>
        <w:t>shares withheld for taxes, to be determined on the vesting date.</w:t>
      </w:r>
    </w:p>
    <w:p>
      <w:pPr>
        <w:spacing w:after="0" w:line="93" w:lineRule="exact"/>
        <w:rPr>
          <w:sz w:val="20"/>
          <w:szCs w:val="20"/>
          <w:color w:val="auto"/>
        </w:rPr>
      </w:pPr>
    </w:p>
    <w:p>
      <w:pPr>
        <w:ind w:left="340" w:right="120" w:hanging="332"/>
        <w:spacing w:after="0" w:line="282" w:lineRule="auto"/>
        <w:tabs>
          <w:tab w:leader="none" w:pos="32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 10b5-1 trading arrangement may also expire on such earlier date as all such transactions under the trading arrangement are completed or at such time as such trading arrangement is otherwise terminated in accordance with its terms.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executive officers adopted, modified or terminated a non-Rule 10b5-1 trading arrangement (as defined in Item 408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2024 Annual Meeting of Stockholders and is incorporated herein by reference. We will file such definitive proxy statement with the SEC pursuant to Regulation 14A within 120 days after the fiscal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2024 Annual Meeting of Stockholders and is incorporated herein by reference. We will file such definitive proxy statement with the SEC pursuant to Regulation 14A within 120 days after the fiscal year ended December 31, 2023.</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231F20"/>
        </w:rPr>
        <w:t>ITEM 12. SECURITIES OWNERSHIP OF CERTAIN BENEFICIAL OWNERS AND MANAGEMENT AND RELATED STOCKHOLDER MATTERS.</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2024 Annual Meeting of Stockholders and is incorporated herein by reference. We will file such definitive proxy statement with the SEC pursuant to Regulation 14A within 120 days after the fiscal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2024 Annual Meeting of Stockholders and is incorporated herein by reference. We will file such definitive proxy statement with the SEC pursuant to Regulation 14A within 120 days after the fiscal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information required by this item will be included in our definitive proxy statement for the 2024 Annual Meeting of Stockholders and is incorporated herein by reference. We will file such definitive proxy statement with the SEC pursuant to Regulation 14A within 120 days after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financial statements are set forth under Part II, Item 8. – “Financial Statements and Supplementary Data”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 Financial Statement Schedules.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exhibits are filed or furnished as a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140" w:type="dxa"/>
            <w:vAlign w:val="bottom"/>
            <w:gridSpan w:val="14"/>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6"/>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Certificate of Incorporation of Tradeweb Markets Inc. (incorporated by reference to Exhibit 3.1 to the</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Company’s Current Report on Form 8-K filed on April 9, 2019 (File No. 001-38860)).</w:t>
              </w:r>
            </w:hyperlink>
          </w:p>
        </w:tc>
        <w:tc>
          <w:tcPr>
            <w:tcW w:w="760" w:type="dxa"/>
            <w:vAlign w:val="bottom"/>
            <w:gridSpan w:val="8"/>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Bylaws of Tradeweb Markets Inc. (incorporated by reference to Exhibit 3.2 to the Company’s Current Report</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on Form 8-K filed on April 9, 2019 (File No. 001-38860)).</w:t>
              </w:r>
            </w:hyperlink>
          </w:p>
        </w:tc>
        <w:tc>
          <w:tcPr>
            <w:tcW w:w="200" w:type="dxa"/>
            <w:vAlign w:val="bottom"/>
            <w:gridSpan w:val="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Specimen Common Stock Certificate of Tradeweb Markets Inc. (incorporated by reference to Exhibit 4.1 to the Company’s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Registration Statement on Form S-1 (File No. 333-230115)).</w:t>
              </w:r>
            </w:hyperlink>
          </w:p>
        </w:tc>
        <w:tc>
          <w:tcPr>
            <w:tcW w:w="900" w:type="dxa"/>
            <w:vAlign w:val="bottom"/>
            <w:gridSpan w:val="9"/>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w:t>
              </w:r>
            </w:hyperlink>
          </w:p>
        </w:tc>
        <w:tc>
          <w:tcPr>
            <w:tcW w:w="480" w:type="dxa"/>
            <w:vAlign w:val="bottom"/>
            <w:gridSpan w:val="6"/>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4.2 to the Company’s Annual Report on Form 10-K/A filed on March 4, 2020 (File No. 001-38860)).</w:t>
              </w:r>
            </w:hyperlink>
          </w:p>
        </w:tc>
        <w:tc>
          <w:tcPr>
            <w:tcW w:w="1880" w:type="dxa"/>
            <w:vAlign w:val="bottom"/>
            <w:gridSpan w:val="10"/>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Stockholders Agreement, dated as of April 8, 2019, by and among Tradeweb Markets Inc., Refinitiv US PME LLC and Refinitiv</w:t>
              </w:r>
            </w:hyperlink>
          </w:p>
        </w:tc>
        <w:tc>
          <w:tcPr>
            <w:tcW w:w="500" w:type="dxa"/>
            <w:vAlign w:val="bottom"/>
            <w:gridSpan w:val="7"/>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Parent Limited (incorporated by reference to Exhibit 10.1 to the Company’s Quarterly Report on Form 10-Q filed on May 20, 2019</w:t>
              </w:r>
            </w:hyperlink>
          </w:p>
        </w:tc>
        <w:tc>
          <w:tcPr>
            <w:tcW w:w="32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(File No. 001-38860)).</w:t>
              </w:r>
            </w:hyperlink>
          </w:p>
        </w:tc>
        <w:tc>
          <w:tcPr>
            <w:tcW w:w="8140" w:type="dxa"/>
            <w:vAlign w:val="bottom"/>
            <w:gridSpan w:val="14"/>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Registration Rights Agreement, dated as of April 8, 2019, by and among Tradeweb Markets Inc., the Refinitiv Holders (as defined</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120" w:type="dxa"/>
            <w:vAlign w:val="bottom"/>
            <w:gridSpan w:val="10"/>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therein), the Bank Holders (as defined therein) and the other holders of Registrable Securities (as defined therein) party thereto from</w:t>
              </w:r>
            </w:hyperlink>
          </w:p>
        </w:tc>
        <w:tc>
          <w:tcPr>
            <w:tcW w:w="260" w:type="dxa"/>
            <w:vAlign w:val="bottom"/>
            <w:gridSpan w:val="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time to time (incorporated by reference to Exhibit 10.2 to the Company’s Quarterly Report on Form 10-Q filed on May 20, 2019 (File</w:t>
              </w:r>
            </w:hyperlink>
          </w:p>
        </w:tc>
        <w:tc>
          <w:tcPr>
            <w:tcW w:w="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No. 001-38860)).</w:t>
              </w:r>
            </w:hyperlink>
          </w:p>
        </w:tc>
        <w:tc>
          <w:tcPr>
            <w:tcW w:w="8520" w:type="dxa"/>
            <w:vAlign w:val="bottom"/>
            <w:gridSpan w:val="15"/>
          </w:tcPr>
          <w:p>
            <w:pPr>
              <w:spacing w:after="0"/>
              <w:rPr>
                <w:sz w:val="17"/>
                <w:szCs w:val="17"/>
                <w:color w:val="auto"/>
              </w:rPr>
            </w:pPr>
          </w:p>
        </w:tc>
      </w:tr>
    </w:tbl>
    <w:p>
      <w:pPr>
        <w:spacing w:after="0" w:line="6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10.6.1</w:t>
      </w:r>
    </w:p>
    <w:p>
      <w:pPr>
        <w:spacing w:after="0" w:line="20" w:lineRule="exact"/>
        <w:rPr>
          <w:sz w:val="20"/>
          <w:szCs w:val="20"/>
          <w:color w:val="auto"/>
        </w:rPr>
      </w:pPr>
      <w:r>
        <w:rPr>
          <w:sz w:val="20"/>
          <w:szCs w:val="20"/>
          <w:color w:val="auto"/>
        </w:rPr>
        <w:br w:type="column"/>
      </w:r>
    </w:p>
    <w:p>
      <w:pPr>
        <w:ind w:right="140"/>
        <w:spacing w:after="0" w:line="281"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Fifth Amended and Restated LLC Agreement of Tradeweb Markets LLC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Quarterly Report on Form 10-Q filed on May 20, 2019 (File No. 001-38860)).</w:t>
        </w:r>
      </w:hyperlink>
    </w:p>
    <w:p>
      <w:pPr>
        <w:spacing w:after="0" w:line="1"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Tax Receivable Agreement, dated as of April 8, 2019, by and among Tradeweb Markets Inc., Tradeweb Markets LLC and the members</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of Tradeweb Markets LLC from time to time party thereto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Report on Form 10-Q filed on May 20, 2019 (File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Restrictive Covenant Agreement, dated as of April 8, 2019, by and among the Refinitiv Entities (as defined therein), Tradeweb</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Markets LLC and Tradeweb Markets Inc. (incorporated by reference to Exhibit 10.5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filed on May 20, 2019 (File No. 001-38860)).</w:t>
        </w:r>
      </w:hyperlink>
    </w:p>
    <w:p>
      <w:pPr>
        <w:spacing w:after="0" w:line="14" w:lineRule="exact"/>
        <w:rPr>
          <w:rFonts w:ascii="Times New Roman" w:cs="Times New Roman" w:eastAsia="Times New Roman" w:hAnsi="Times New Roman"/>
          <w:sz w:val="18"/>
          <w:szCs w:val="18"/>
          <w:u w:val="single" w:color="auto"/>
          <w:color w:val="0000FF"/>
        </w:rPr>
      </w:pPr>
    </w:p>
    <w:p>
      <w:pPr>
        <w:ind w:right="60"/>
        <w:spacing w:after="0" w:line="25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Credit Agreement, dated as of April 8, 2019, by and among Tradeweb Markets LLC, as borrower, the lenders party thereto and</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Citibank, N.A., as administrative agent, collateral agent, issuing bank and swing line lender, Citigroup Global Markets Inc., JPMorgan</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Chase Bank, N.A., Morgan Stanley Senior Funding, Inc. and Goldman Sachs Bank USA, as joint lead arrangers and joint bookrunners,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JPMorgan Chase Bank, N.A., as syndication agent, and Morgan Stanley Senior Funding, Inc. and Goldman Sachs Bank USA, as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documentation agents (incorporated by reference to Exhibit 10.6 to the Company’s Quarterly Report on Form 10-Q filed on May 20,</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2019 (File No. 001-38860)).</w:t>
        </w:r>
      </w:hyperlink>
    </w:p>
    <w:p>
      <w:pPr>
        <w:spacing w:after="0" w:line="25" w:lineRule="exact"/>
        <w:rPr>
          <w:rFonts w:ascii="Times New Roman" w:cs="Times New Roman" w:eastAsia="Times New Roman" w:hAnsi="Times New Roman"/>
          <w:sz w:val="18"/>
          <w:szCs w:val="18"/>
          <w:u w:val="single" w:color="auto"/>
          <w:color w:val="0000FF"/>
        </w:rPr>
      </w:pPr>
    </w:p>
    <w:p>
      <w:pPr>
        <w:ind w:right="200"/>
        <w:spacing w:after="0" w:line="261"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Amendment No.1, dated as of November 7, 2019, among Tradeweb Markets LLC and each lender party thereto, relating to Credit</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Agreement, dated as of April 8, 2019, among Tradeweb Markets LLC, the lenders party thereto and Citibank, N.A., as administrative</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agent, collateral agent, issuing bank and swing line lender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Report on Form 10-Q filed on November 8, 2019 (File No. 001-38860)).</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8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6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180"/>
        <w:spacing w:after="0" w:line="261"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Amendment No. 2, dated as of March 31, 2023, by and between Tradeweb Markets LLC and Citibank, N.A., as administrative agent,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relating to the Credit Agreement, dated as of April 8, 2019, among Tradeweb Markets LLC, the lenders party thereto and Citibank,</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N.A., as administrative agent, collateral agent, issuing bank and swing line lender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Company’s Current Report on Form 8-K filed on April 4, 2023 (File No. 001-38860)).</w:t>
        </w:r>
      </w:hyperlink>
    </w:p>
    <w:p>
      <w:pPr>
        <w:spacing w:after="0" w:line="18" w:lineRule="exact"/>
        <w:rPr>
          <w:rFonts w:ascii="Times New Roman" w:cs="Times New Roman" w:eastAsia="Times New Roman" w:hAnsi="Times New Roman"/>
          <w:sz w:val="18"/>
          <w:szCs w:val="18"/>
          <w:u w:val="single" w:color="auto"/>
          <w:color w:val="0000FF"/>
        </w:rPr>
      </w:pPr>
    </w:p>
    <w:p>
      <w:pPr>
        <w:ind w:right="360"/>
        <w:spacing w:after="0" w:line="26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Security Agreement, dated as of April 8, 2019, among the grantors identified therein and Citibank, N.A., as collateral agent</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(incorporated by reference to Exhibit 10.7 to the Company’s Quarterly Report on Form 10-Q filed on May 20, 2019 (File No. 001-</w:t>
        </w:r>
      </w:hyperlink>
      <w:hyperlink r:id="rId195">
        <w:r>
          <w:rPr>
            <w:rFonts w:ascii="Times New Roman" w:cs="Times New Roman" w:eastAsia="Times New Roman" w:hAnsi="Times New Roman"/>
            <w:sz w:val="18"/>
            <w:szCs w:val="18"/>
            <w:u w:val="single" w:color="auto"/>
            <w:color w:val="0000FF"/>
          </w:rPr>
          <w:t>38860)).</w:t>
        </w:r>
      </w:hyperlink>
    </w:p>
    <w:p>
      <w:pPr>
        <w:spacing w:after="0" w:line="14" w:lineRule="exact"/>
        <w:rPr>
          <w:rFonts w:ascii="Times New Roman" w:cs="Times New Roman" w:eastAsia="Times New Roman" w:hAnsi="Times New Roman"/>
          <w:sz w:val="18"/>
          <w:szCs w:val="18"/>
          <w:u w:val="single" w:color="auto"/>
          <w:color w:val="0000FF"/>
        </w:rPr>
      </w:pPr>
    </w:p>
    <w:p>
      <w:pPr>
        <w:ind w:right="220"/>
        <w:spacing w:after="0" w:line="273"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Employment Agreement by and between William Hult and Tradeweb Markets LLC (incorporated by reference to Exhibit 10.9 to the</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Company’s Registration Statement on Form S-1 (File No. 333-230115)).</w:t>
        </w:r>
      </w:hyperlink>
    </w:p>
    <w:p>
      <w:pPr>
        <w:spacing w:after="0" w:line="2" w:lineRule="exact"/>
        <w:rPr>
          <w:sz w:val="20"/>
          <w:szCs w:val="20"/>
          <w:color w:val="auto"/>
        </w:rPr>
      </w:pPr>
    </w:p>
    <w:p>
      <w:pPr>
        <w:sectPr>
          <w:pgSz w:w="11900" w:h="16838" w:orient="portrait"/>
          <w:cols w:equalWidth="0" w:num="2">
            <w:col w:w="740" w:space="720"/>
            <w:col w:w="97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Amended and Restated Tradeweb Markets Inc. 2018 Share Option Plan (incorporated by reference to Exhibit 10.8 to the Company’s</w:t>
              </w:r>
            </w:hyperlink>
          </w:p>
        </w:tc>
      </w:tr>
      <w:tr>
        <w:trPr>
          <w:trHeight w:val="196"/>
        </w:trPr>
        <w:tc>
          <w:tcPr>
            <w:tcW w:w="1440" w:type="dxa"/>
            <w:vAlign w:val="bottom"/>
          </w:tcPr>
          <w:p>
            <w:pPr>
              <w:spacing w:after="0"/>
              <w:rPr>
                <w:sz w:val="17"/>
                <w:szCs w:val="17"/>
                <w:color w:val="auto"/>
              </w:rPr>
            </w:pPr>
          </w:p>
        </w:tc>
        <w:tc>
          <w:tcPr>
            <w:tcW w:w="9540" w:type="dxa"/>
            <w:vAlign w:val="bottom"/>
            <w:gridSpan w:val="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Quarterly Report on Form 10-Q filed on May 20, 2019 (File No. 001-38860)).</w:t>
              </w:r>
            </w:hyperlink>
          </w:p>
        </w:tc>
      </w:tr>
      <w:tr>
        <w:trPr>
          <w:trHeight w:val="20"/>
        </w:trPr>
        <w:tc>
          <w:tcPr>
            <w:tcW w:w="144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 w:lineRule="exact"/>
        <w:rPr>
          <w:sz w:val="20"/>
          <w:szCs w:val="20"/>
          <w:color w:val="auto"/>
        </w:rPr>
      </w:pPr>
      <w:r>
        <w:rPr>
          <w:sz w:val="20"/>
          <w:szCs w:val="20"/>
          <w:color w:val="auto"/>
        </w:rPr>
        <w:br w:type="column"/>
      </w:r>
    </w:p>
    <w:p>
      <w:pPr>
        <w:ind w:right="640"/>
        <w:spacing w:after="0" w:line="281"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Form of Option Agreement under the Amended and Restated Tradeweb Markets Inc. 2018 Share Option Plan (incorporated by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reference to Exhibit 10.11 to the Company’s Registration Statement on Form S-1 (File No. 333-230115)).</w:t>
        </w:r>
      </w:hyperlink>
    </w:p>
    <w:p>
      <w:pPr>
        <w:spacing w:after="0" w:line="1" w:lineRule="exact"/>
        <w:rPr>
          <w:sz w:val="20"/>
          <w:szCs w:val="20"/>
          <w:color w:val="auto"/>
        </w:rPr>
      </w:pPr>
    </w:p>
    <w:p>
      <w:pPr>
        <w:ind w:right="520"/>
        <w:spacing w:after="0" w:line="281"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Amended &amp; Restated Tradeweb Markets Inc. PRSU Plan (incorporated by reference to Exhibit 10.9 to the Company’s Quarterly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Report on Form 10-Q filed on May 20, 2019 (File No. 001-38860)).</w:t>
        </w:r>
      </w:hyperlink>
    </w:p>
    <w:p>
      <w:pPr>
        <w:spacing w:after="0" w:line="1" w:lineRule="exact"/>
        <w:rPr>
          <w:sz w:val="20"/>
          <w:szCs w:val="20"/>
          <w:color w:val="auto"/>
        </w:rPr>
      </w:pPr>
    </w:p>
    <w:p>
      <w:pPr>
        <w:ind w:right="240"/>
        <w:spacing w:after="0" w:line="281"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Form of PRSU Agreement under the Amended &amp; Restated Tradeweb Markets Inc. PRSU Plan (incorporated by reference to Exhibit</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10.13 to the Company’s Registration Statement on Form S-1 (File No. 333-230115)).</w:t>
        </w:r>
      </w:hyperlink>
    </w:p>
    <w:p>
      <w:pPr>
        <w:spacing w:after="0" w:line="1"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Tradeweb Markets Inc. 2019 Omnibus Equity Incentive Plan PRSU Award Agreement (Form of PRSU Agreement for Messrs. Olesky</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and Hult) (incorporated by reference to Exhibit 10.3 to the Company’s Quarterly Report on Form 10-Q filed on May 12, 2020 (File No.</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001-38860)).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1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Tradeweb Markets Inc. 2019</w:t>
              </w:r>
            </w:hyperlink>
          </w:p>
        </w:tc>
        <w:tc>
          <w:tcPr>
            <w:tcW w:w="7600" w:type="dxa"/>
            <w:vAlign w:val="bottom"/>
            <w:tcBorders>
              <w:bottom w:val="single" w:sz="8" w:color="0000FF"/>
            </w:tcBorders>
            <w:gridSpan w:val="2"/>
          </w:tcPr>
          <w:p>
            <w:pPr>
              <w:ind w:left="20"/>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Omnibus Equity Incentive Plan PRSU Award Agreement (Form of PRSU Agreement for other Executive</w:t>
              </w:r>
            </w:hyperlink>
          </w:p>
        </w:tc>
        <w:tc>
          <w:tcPr>
            <w:tcW w:w="20" w:type="dxa"/>
            <w:vAlign w:val="bottom"/>
          </w:tcPr>
          <w:p>
            <w:pPr>
              <w:spacing w:after="0"/>
              <w:rPr>
                <w:sz w:val="18"/>
                <w:szCs w:val="18"/>
                <w:color w:val="auto"/>
              </w:rPr>
            </w:pPr>
          </w:p>
        </w:tc>
      </w:tr>
      <w:tr>
        <w:trPr>
          <w:trHeight w:val="196"/>
        </w:trPr>
        <w:tc>
          <w:tcPr>
            <w:tcW w:w="14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Officers) (incorporated by reference to Exhibit 10.4 to the Company’s Quarterly Report on Form 10-Q filed on May 12, 2020 (File No.</w:t>
              </w:r>
            </w:hyperlink>
          </w:p>
        </w:tc>
      </w:tr>
      <w:tr>
        <w:trPr>
          <w:trHeight w:val="196"/>
        </w:trPr>
        <w:tc>
          <w:tcPr>
            <w:tcW w:w="144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02">
              <w:r>
                <w:rPr>
                  <w:rFonts w:ascii="Times New Roman" w:cs="Times New Roman" w:eastAsia="Times New Roman" w:hAnsi="Times New Roman"/>
                  <w:sz w:val="18"/>
                  <w:szCs w:val="18"/>
                  <w:color w:val="0000FF"/>
                  <w:w w:val="97"/>
                </w:rPr>
                <w:t>001-38860)).</w:t>
              </w:r>
            </w:hyperlink>
          </w:p>
        </w:tc>
        <w:tc>
          <w:tcPr>
            <w:tcW w:w="116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100" w:type="dxa"/>
            <w:vAlign w:val="bottom"/>
            <w:gridSpan w:val="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Tradeweb Markets Inc. 2019</w:t>
              </w:r>
            </w:hyperlink>
          </w:p>
        </w:tc>
        <w:tc>
          <w:tcPr>
            <w:tcW w:w="7620" w:type="dxa"/>
            <w:vAlign w:val="bottom"/>
            <w:gridSpan w:val="3"/>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Omnibus Equity Incentive Plan (incorporated by reference to Exhibit 10.10 to the Company’s Quarterly</w:t>
              </w:r>
            </w:hyperlink>
          </w:p>
        </w:tc>
      </w:tr>
      <w:tr>
        <w:trPr>
          <w:trHeight w:val="20"/>
        </w:trPr>
        <w:tc>
          <w:tcPr>
            <w:tcW w:w="14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46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Report on Form 10-Q filed on May 20, 2019 (File No. 001-38860)).</w:t>
        </w:r>
      </w:hyperlink>
    </w:p>
    <w:p>
      <w:pPr>
        <w:sectPr>
          <w:pgSz w:w="11900" w:h="16838" w:orient="portrait"/>
          <w:cols w:equalWidth="0" w:num="1">
            <w:col w:w="11220"/>
          </w:cols>
          <w:pgMar w:left="320" w:top="121" w:right="35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81"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Form of Director RSU Agreement under the Tradeweb Markets Inc. 2019 Omnibus Equity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Exhibit 10.11 to the Company’s Quarterly Report on Form 10-Q filed on May 20, 2019 (File No. 001-38860)).</w:t>
        </w:r>
      </w:hyperlink>
    </w:p>
    <w:p>
      <w:pPr>
        <w:spacing w:after="0" w:line="1" w:lineRule="exact"/>
        <w:rPr>
          <w:sz w:val="20"/>
          <w:szCs w:val="20"/>
          <w:color w:val="auto"/>
        </w:rPr>
      </w:pPr>
    </w:p>
    <w:p>
      <w:pPr>
        <w:jc w:val="both"/>
        <w:ind w:right="220"/>
        <w:spacing w:after="0" w:line="26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Tradeweb Markets Inc. 2019 Omnibus Equity Incentive Plan Restricted Stock Unit Award Agreement (Form of RSU Agreement for</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Messrs. Olesky and Hult) (incorporated by reference to Exhibit 10.1 to the Company’s Quarterly Report on Form 10-Q filed on May</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12, 2020 (File No. 001-38860)).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5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Tradeweb Markets Inc. 2019 Omnibus Equity Incentive Plan Restricted Stock Unit Award Agreement (Form of RSU Agreement for</w:t>
              </w:r>
            </w:hyperlink>
          </w:p>
        </w:tc>
      </w:tr>
      <w:tr>
        <w:trPr>
          <w:trHeight w:val="196"/>
        </w:trPr>
        <w:tc>
          <w:tcPr>
            <w:tcW w:w="1440" w:type="dxa"/>
            <w:vAlign w:val="bottom"/>
          </w:tcPr>
          <w:p>
            <w:pPr>
              <w:spacing w:after="0"/>
              <w:rPr>
                <w:sz w:val="17"/>
                <w:szCs w:val="17"/>
                <w:color w:val="auto"/>
              </w:rPr>
            </w:pPr>
          </w:p>
        </w:tc>
        <w:tc>
          <w:tcPr>
            <w:tcW w:w="9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other Executive Officers) (incorporated by reference to Exhibit 10.2 to the Company’s Quarterly Report on Form 10-Q filed on May</w:t>
              </w:r>
            </w:hyperlink>
          </w:p>
        </w:tc>
      </w:tr>
      <w:tr>
        <w:trPr>
          <w:trHeight w:val="196"/>
        </w:trPr>
        <w:tc>
          <w:tcPr>
            <w:tcW w:w="1440" w:type="dxa"/>
            <w:vAlign w:val="bottom"/>
          </w:tcPr>
          <w:p>
            <w:pPr>
              <w:spacing w:after="0"/>
              <w:rPr>
                <w:sz w:val="17"/>
                <w:szCs w:val="17"/>
                <w:color w:val="auto"/>
              </w:rPr>
            </w:pPr>
          </w:p>
        </w:tc>
        <w:tc>
          <w:tcPr>
            <w:tcW w:w="2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12, 2020 (File No. 001-38860)).</w:t>
              </w:r>
            </w:hyperlink>
          </w:p>
        </w:tc>
        <w:tc>
          <w:tcPr>
            <w:tcW w:w="7200" w:type="dxa"/>
            <w:vAlign w:val="bottom"/>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br w:type="column"/>
      </w:r>
    </w:p>
    <w:p>
      <w:pPr>
        <w:ind w:right="20"/>
        <w:spacing w:after="0" w:line="281"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Form of Indemnification Agreement (incorporated by reference to Exhibit 10.16 to the Company’s Registration Statement on Form S-1</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(File No. 333-230115)).</w:t>
        </w:r>
      </w:hyperlink>
    </w:p>
    <w:p>
      <w:pPr>
        <w:spacing w:after="0" w:line="1" w:lineRule="exact"/>
        <w:rPr>
          <w:sz w:val="20"/>
          <w:szCs w:val="20"/>
          <w:color w:val="auto"/>
        </w:rPr>
      </w:pPr>
    </w:p>
    <w:p>
      <w:pPr>
        <w:jc w:val="both"/>
        <w:ind w:right="200"/>
        <w:spacing w:after="0" w:line="26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Second Amended &amp; Restated Market Data Agreement, dated November 1, 2018, by and between Tradeweb Markets LLC, Thomson</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Reuters (Markets) LLC and Thomson Reuters (GRC) Inc. (incorporated by reference to Exhibit 10.14 to the Company’s Registration</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Statement on Form S-1 (File No. 333-230115)).</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6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Employment Offer Letter by and between Sara Furber and Tradeweb Markets LLC. (incorporated by reference to Exhibit 10.22 to the</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700" w:type="dxa"/>
            <w:vAlign w:val="bottom"/>
            <w:gridSpan w:val="8"/>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Company’s Quarterly Report on Form 10-Q filed on October 29, 2021 (File No. 001-38860))</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vMerge w:val="continue"/>
          </w:tcPr>
          <w:p>
            <w:pPr>
              <w:spacing w:after="0"/>
              <w:rPr>
                <w:sz w:val="21"/>
                <w:szCs w:val="21"/>
                <w:color w:val="auto"/>
              </w:rPr>
            </w:pPr>
          </w:p>
        </w:tc>
        <w:tc>
          <w:tcPr>
            <w:tcW w:w="9700" w:type="dxa"/>
            <w:vAlign w:val="bottom"/>
            <w:gridSpan w:val="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to Second Amended &amp; Restated Market Data Agreement, dated July 24, 2020, by and among Tradeweb Markets LLC,</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7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700" w:type="dxa"/>
            <w:vAlign w:val="bottom"/>
            <w:gridSpan w:val="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Refinitiv US LLC (f/k/a Thomson Reuters (Markets) LLC) and Refinitiv US Organization LLC (f/k/a Thomson Reuters (GRC) Inc.)</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7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700" w:type="dxa"/>
            <w:vAlign w:val="bottom"/>
            <w:gridSpan w:val="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(incorporated by reference to Exhibit 10.23 to the Company’s Annual Report on Form 10-K filed on February 24, 2023 (File No. 001-</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38860)</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7"/>
                <w:szCs w:val="17"/>
                <w:color w:val="auto"/>
              </w:rPr>
            </w:pPr>
          </w:p>
        </w:tc>
        <w:tc>
          <w:tcPr>
            <w:tcW w:w="506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700" w:type="dxa"/>
            <w:vAlign w:val="bottom"/>
            <w:gridSpan w:val="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Second Amendment to the Second Amended &amp; Restated Market Data Agreement, dated March 26, 2021, by and among Tradeweb</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77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Markets LLC, Refinitiv US LLC (f/k/a Thomson Reuters (Markets) LLC) and Refinitiv US Organization LLC (f/k/a Thomson Reuters</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5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(GRC) Inc.) (incorporated by reference to Exhibit 10.24 to the Company’s Annual Report on Form 10-K filed on February 24, 2023</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1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11">
              <w:r>
                <w:rPr>
                  <w:rFonts w:ascii="Times New Roman" w:cs="Times New Roman" w:eastAsia="Times New Roman" w:hAnsi="Times New Roman"/>
                  <w:sz w:val="18"/>
                  <w:szCs w:val="18"/>
                  <w:color w:val="0000FF"/>
                  <w:w w:val="98"/>
                </w:rPr>
                <w:t>(File No. 001-38860)).</w:t>
              </w:r>
            </w:hyperlink>
          </w:p>
        </w:tc>
        <w:tc>
          <w:tcPr>
            <w:tcW w:w="80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40"/>
        <w:spacing w:after="0" w:line="261"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Third Amendment to the Second Amended &amp; Restated Market Data Agreement, dated April 21, 2021, by and among Tradeweb</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Markets LLC, Refinitiv US LLC (f/k/a Thomson Reuters (Markets) LLC) and Refinitiv US Organization LLC (f/k/a Thomson Reuters</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(GRC) Inc.) (incorporated by reference to Exhibit 10.25 to the Company’s Annual Report on Form 10-K filed on February 24, 2023</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(File No. 001-38860)).</w:t>
        </w:r>
      </w:hyperlink>
    </w:p>
    <w:p>
      <w:pPr>
        <w:spacing w:after="0" w:line="18" w:lineRule="exact"/>
        <w:rPr>
          <w:rFonts w:ascii="Times New Roman" w:cs="Times New Roman" w:eastAsia="Times New Roman" w:hAnsi="Times New Roman"/>
          <w:sz w:val="18"/>
          <w:szCs w:val="18"/>
          <w:u w:val="single" w:color="auto"/>
          <w:color w:val="0000FF"/>
        </w:rPr>
      </w:pPr>
    </w:p>
    <w:p>
      <w:pPr>
        <w:ind w:right="40"/>
        <w:spacing w:after="0" w:line="261"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Fourth Amendment to the Second Amended &amp; Restated Market Data Agreement, dated September 9, 2021, by and among Tradeweb</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Markets LLC, Refinitiv US LLC (f/k/a Thomson Reuters (Markets) LLC) and Refinitiv US Organization LLC (f/k/a Thomson Reuters</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(GRC) Inc.) (incorporated by reference to Exhibit 10.26 to the Company’s Annual Report on Form 10-K filed on February 24, 2023</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(File No. 001-38860)).</w:t>
        </w:r>
      </w:hyperlink>
    </w:p>
    <w:p>
      <w:pPr>
        <w:spacing w:after="0" w:line="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4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700" w:type="dxa"/>
            <w:vAlign w:val="bottom"/>
            <w:gridSpan w:val="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Fifth Amendment to the Second Amended &amp; Restated Market Data Agreement, dated August 1, 2021, by and among Tradeweb</w:t>
              </w:r>
            </w:hyperlink>
          </w:p>
        </w:tc>
      </w:tr>
      <w:tr>
        <w:trPr>
          <w:trHeight w:val="20"/>
        </w:trPr>
        <w:tc>
          <w:tcPr>
            <w:tcW w:w="14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Markets LLC, Refinitiv US LLC (f/k/a Thomson Reuters (Markets) LLC) and Refinitiv US Organization LLC (f/k/a Thomson Reuters</w:t>
              </w:r>
            </w:hyperlink>
          </w:p>
        </w:tc>
      </w:tr>
      <w:tr>
        <w:trPr>
          <w:trHeight w:val="196"/>
        </w:trPr>
        <w:tc>
          <w:tcPr>
            <w:tcW w:w="1440" w:type="dxa"/>
            <w:vAlign w:val="bottom"/>
          </w:tcPr>
          <w:p>
            <w:pPr>
              <w:spacing w:after="0"/>
              <w:rPr>
                <w:sz w:val="17"/>
                <w:szCs w:val="17"/>
                <w:color w:val="auto"/>
              </w:rPr>
            </w:pPr>
          </w:p>
        </w:tc>
        <w:tc>
          <w:tcPr>
            <w:tcW w:w="9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(GRC) Inc.) (incorporated by reference to Exhibit 10.27 to the Company’s Annual Report on Form 10-K filed on February 24, 2023</w:t>
              </w:r>
            </w:hyperlink>
          </w:p>
        </w:tc>
        <w:tc>
          <w:tcPr>
            <w:tcW w:w="200" w:type="dxa"/>
            <w:vAlign w:val="bottom"/>
            <w:gridSpan w:val="2"/>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(File No. 001-38860)).</w:t>
              </w:r>
            </w:hyperlink>
          </w:p>
        </w:tc>
        <w:tc>
          <w:tcPr>
            <w:tcW w:w="8060" w:type="dxa"/>
            <w:vAlign w:val="bottom"/>
            <w:gridSpan w:val="4"/>
          </w:tcPr>
          <w:p>
            <w:pPr>
              <w:spacing w:after="0"/>
              <w:rPr>
                <w:sz w:val="17"/>
                <w:szCs w:val="17"/>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5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Sixth Amendment to the Second Amended &amp; Restated Market Data Agreement, dated September 13, 2022, by and among Tradeweb</w:t>
              </w:r>
            </w:hyperlink>
          </w:p>
        </w:tc>
        <w:tc>
          <w:tcPr>
            <w:tcW w:w="140" w:type="dxa"/>
            <w:vAlign w:val="bottom"/>
          </w:tcPr>
          <w:p>
            <w:pPr>
              <w:spacing w:after="0"/>
              <w:rPr>
                <w:sz w:val="21"/>
                <w:szCs w:val="21"/>
                <w:color w:val="auto"/>
              </w:rPr>
            </w:pPr>
          </w:p>
        </w:tc>
      </w:tr>
      <w:tr>
        <w:trPr>
          <w:trHeight w:val="196"/>
        </w:trPr>
        <w:tc>
          <w:tcPr>
            <w:tcW w:w="1440" w:type="dxa"/>
            <w:vAlign w:val="bottom"/>
          </w:tcPr>
          <w:p>
            <w:pPr>
              <w:spacing w:after="0"/>
              <w:rPr>
                <w:sz w:val="17"/>
                <w:szCs w:val="17"/>
                <w:color w:val="auto"/>
              </w:rPr>
            </w:pPr>
          </w:p>
        </w:tc>
        <w:tc>
          <w:tcPr>
            <w:tcW w:w="9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Markets LLC, Refinitiv US LLC (f/k/a Thomson Reuters (Markets) LLC) and Refinitiv US Organization LLC (f/k/a Thomson Reuters</w:t>
              </w:r>
            </w:hyperlink>
          </w:p>
        </w:tc>
      </w:tr>
      <w:tr>
        <w:trPr>
          <w:trHeight w:val="196"/>
        </w:trPr>
        <w:tc>
          <w:tcPr>
            <w:tcW w:w="1440" w:type="dxa"/>
            <w:vAlign w:val="bottom"/>
          </w:tcPr>
          <w:p>
            <w:pPr>
              <w:spacing w:after="0"/>
              <w:rPr>
                <w:sz w:val="17"/>
                <w:szCs w:val="17"/>
                <w:color w:val="auto"/>
              </w:rPr>
            </w:pPr>
          </w:p>
        </w:tc>
        <w:tc>
          <w:tcPr>
            <w:tcW w:w="9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(GRC) Inc.) (incorporated by reference to Exhibit 10.28 to the Company’s Annual Report on Form 10-K filed on February 24, 2023</w:t>
              </w:r>
            </w:hyperlink>
          </w:p>
        </w:tc>
        <w:tc>
          <w:tcPr>
            <w:tcW w:w="200" w:type="dxa"/>
            <w:vAlign w:val="bottom"/>
            <w:gridSpan w:val="2"/>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(File No. 001-38860)).</w:t>
              </w:r>
            </w:hyperlink>
          </w:p>
        </w:tc>
        <w:tc>
          <w:tcPr>
            <w:tcW w:w="8060" w:type="dxa"/>
            <w:vAlign w:val="bottom"/>
            <w:gridSpan w:val="4"/>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0" w:lineRule="exact"/>
        <w:rPr>
          <w:sz w:val="20"/>
          <w:szCs w:val="20"/>
          <w:color w:val="auto"/>
        </w:rPr>
      </w:pPr>
      <w:r>
        <w:rPr>
          <w:sz w:val="20"/>
          <w:szCs w:val="20"/>
          <w:color w:val="auto"/>
        </w:rPr>
        <w:br w:type="column"/>
      </w:r>
    </w:p>
    <w:p>
      <w:pPr>
        <w:ind w:right="80"/>
        <w:spacing w:after="0" w:line="261"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Amended and Restated Fourth Amendment to the Second Amended &amp; Restated Market Data Agreement, dated February 1, 2023, by</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and among Tradeweb Markets LLC, Refinitiv US LLC (f/k/a Thomson Reuters (Markets) LLC) and Refinitiv US Organization LLC</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(f/k/a Thomson Reuters (GRC) Inc.) (incorporated by reference to Exhibit 10.29 to the Company’s Annual Report on Form 10-K filed</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on February 24, 2023 (File No. 001-38860)).</w:t>
        </w:r>
      </w:hyperlink>
    </w:p>
    <w:p>
      <w:pPr>
        <w:spacing w:after="0" w:line="18" w:lineRule="exact"/>
        <w:rPr>
          <w:rFonts w:ascii="Times New Roman" w:cs="Times New Roman" w:eastAsia="Times New Roman" w:hAnsi="Times New Roman"/>
          <w:sz w:val="18"/>
          <w:szCs w:val="18"/>
          <w:u w:val="single" w:color="auto"/>
          <w:color w:val="0000FF"/>
        </w:rPr>
      </w:pPr>
    </w:p>
    <w:p>
      <w:pPr>
        <w:jc w:val="both"/>
        <w:ind w:right="80"/>
        <w:spacing w:after="0" w:line="26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Amended and Restated Employment Agreement, dated as of February 21, 2023, by and between William Hult and Tradeweb Markets</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LLC (incorporated by reference to Exhibit 10.30 to the Company’s Annual Report on Form 10-K filed on February 24, 2023 (File No.</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001-38860)).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4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194"/>
        </w:trPr>
        <w:tc>
          <w:tcPr>
            <w:tcW w:w="1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10.30†</w:t>
            </w:r>
          </w:p>
        </w:tc>
        <w:tc>
          <w:tcPr>
            <w:tcW w:w="9720" w:type="dxa"/>
            <w:vAlign w:val="bottom"/>
            <w:gridSpan w:val="10"/>
          </w:tcPr>
          <w:p>
            <w:pPr>
              <w:spacing w:after="0" w:line="195"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Tradeweb Markets Inc. 2019 Omnibus Equity Incentive Plan Performance Stock Unit Award Agreement (Form of PSU Agreement for</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Mr. Hult) (incorporated by reference to Exhibit 10.31 to the Company’s Annual Report on Form 10-K filed on February 24, 2023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10.31†</w:t>
            </w:r>
          </w:p>
        </w:tc>
        <w:tc>
          <w:tcPr>
            <w:tcW w:w="12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20">
              <w:r>
                <w:rPr>
                  <w:rFonts w:ascii="Times New Roman" w:cs="Times New Roman" w:eastAsia="Times New Roman" w:hAnsi="Times New Roman"/>
                  <w:sz w:val="18"/>
                  <w:szCs w:val="18"/>
                  <w:color w:val="0000FF"/>
                  <w:w w:val="98"/>
                </w:rPr>
                <w:t>No. 001-38860)).</w:t>
              </w:r>
            </w:hyperlink>
          </w:p>
        </w:tc>
        <w:tc>
          <w:tcPr>
            <w:tcW w:w="84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vMerge w:val="continue"/>
          </w:tcPr>
          <w:p>
            <w:pPr>
              <w:spacing w:after="0"/>
              <w:rPr>
                <w:sz w:val="19"/>
                <w:szCs w:val="19"/>
                <w:color w:val="auto"/>
              </w:rPr>
            </w:pPr>
          </w:p>
        </w:tc>
        <w:tc>
          <w:tcPr>
            <w:tcW w:w="90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Tradeweb Markets Inc. 2019 Omnibus Equity Incentive Plan 2023 Performance Stock Unit Award Agreement (Form of PSU</w:t>
              </w:r>
            </w:hyperlink>
          </w:p>
        </w:tc>
        <w:tc>
          <w:tcPr>
            <w:tcW w:w="7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Agreement for other Executive Officers) (incorporated by reference to Exhibit 10.4 to the Company’s Quarterly Report on Form 10-Q</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33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filed on April 27, 2023 (File No. 001-38860)).</w:t>
              </w:r>
            </w:hyperlink>
          </w:p>
        </w:tc>
        <w:tc>
          <w:tcPr>
            <w:tcW w:w="6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720" w:type="dxa"/>
            <w:vAlign w:val="bottom"/>
            <w:gridSpan w:val="10"/>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Tradeweb Markets Inc. 2019 Omnibus Equity Incentive Plan 2023 PRSU Award Agreement (Form of PRSU Agreement for Mr. Hult)</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64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by reference to Exhibit 10.5 to the Company’s Quarterly Report on Form 10-Q filed on April 27, 2023 (File No. 001-</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38860)</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64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10.34†</w:t>
      </w:r>
    </w:p>
    <w:p>
      <w:pPr>
        <w:spacing w:after="0" w:line="20" w:lineRule="exact"/>
        <w:rPr>
          <w:sz w:val="20"/>
          <w:szCs w:val="20"/>
          <w:color w:val="auto"/>
        </w:rPr>
      </w:pPr>
      <w:r>
        <w:rPr>
          <w:sz w:val="20"/>
          <w:szCs w:val="20"/>
          <w:color w:val="auto"/>
        </w:rPr>
        <w:br w:type="column"/>
      </w:r>
    </w:p>
    <w:p>
      <w:pPr>
        <w:ind w:right="300"/>
        <w:spacing w:after="0" w:line="26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Tradeweb Markets Inc. 2019 Omnibus Equity Incentive Plan 2023 PRSU Award Agreement (Form of PRSU Agreement for other</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Executive Officers) (incorporated by reference to Exhibit 10.6 to the Company’s Quarterly Report on Form 10-Q filed on April 27,</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2023 (File No. 001-38860)).</w:t>
        </w:r>
      </w:hyperlink>
    </w:p>
    <w:p>
      <w:pPr>
        <w:spacing w:after="0" w:line="14"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Tradeweb Markets Inc. 2019 Omnibus Equity Incentive Plan 2023 Restricted Stock Unit Award Agreement (Form of RSU Agreement</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for Mr. Hult) (incorporated by reference to Exhibit 10.7 to the Company’s Quarterly Report on Form 10-Q filed on April 27, 2023 (File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No. 001-38860)).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40" w:space="720"/>
            <w:col w:w="974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740" w:type="dxa"/>
            <w:vAlign w:val="bottom"/>
            <w:gridSpan w:val="9"/>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Tradeweb Markets Inc. 2019 Omnibus Equity Incentive Plan 2023 Restricted Stock Unit Award Agreement (Form of RSU Agreement</w:t>
              </w:r>
            </w:hyperlink>
          </w:p>
        </w:tc>
      </w:tr>
      <w:tr>
        <w:trPr>
          <w:trHeight w:val="196"/>
        </w:trPr>
        <w:tc>
          <w:tcPr>
            <w:tcW w:w="1440" w:type="dxa"/>
            <w:vAlign w:val="bottom"/>
          </w:tcPr>
          <w:p>
            <w:pPr>
              <w:spacing w:after="0"/>
              <w:rPr>
                <w:sz w:val="17"/>
                <w:szCs w:val="17"/>
                <w:color w:val="auto"/>
              </w:rPr>
            </w:pPr>
          </w:p>
        </w:tc>
        <w:tc>
          <w:tcPr>
            <w:tcW w:w="966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 other Executive Officers) (incorporated by reference to Exhibit 10.8 to the Company’s Quarterly Report on Form 10-Q filed on</w:t>
              </w:r>
            </w:hyperlink>
          </w:p>
        </w:tc>
        <w:tc>
          <w:tcPr>
            <w:tcW w:w="80" w:type="dxa"/>
            <w:vAlign w:val="bottom"/>
            <w:gridSpan w:val="2"/>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2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April 27, 2023 (File No. 001-38860)).</w:t>
              </w:r>
            </w:hyperlink>
          </w:p>
        </w:tc>
        <w:tc>
          <w:tcPr>
            <w:tcW w:w="6660" w:type="dxa"/>
            <w:vAlign w:val="bottom"/>
            <w:tcBorders>
              <w:top w:val="single" w:sz="8" w:color="0000FF"/>
            </w:tcBorders>
            <w:gridSpan w:val="4"/>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Master Data License Agreement, effective as of November 1, 2023, between Tradeweb Markets LLC, Refinitiv US LLC and Refinitiv</w:t>
            </w:r>
          </w:p>
        </w:tc>
        <w:tc>
          <w:tcPr>
            <w:tcW w:w="60" w:type="dxa"/>
            <w:vAlign w:val="bottom"/>
          </w:tcPr>
          <w:p>
            <w:pPr>
              <w:spacing w:after="0"/>
              <w:rPr>
                <w:sz w:val="21"/>
                <w:szCs w:val="21"/>
                <w:color w:val="auto"/>
              </w:rPr>
            </w:pPr>
          </w:p>
        </w:tc>
      </w:tr>
      <w:tr>
        <w:trPr>
          <w:trHeight w:val="196"/>
        </w:trPr>
        <w:tc>
          <w:tcPr>
            <w:tcW w:w="1440" w:type="dxa"/>
            <w:vAlign w:val="bottom"/>
          </w:tcPr>
          <w:p>
            <w:pPr>
              <w:spacing w:after="0"/>
              <w:rPr>
                <w:sz w:val="17"/>
                <w:szCs w:val="17"/>
                <w:color w:val="auto"/>
              </w:rPr>
            </w:pPr>
          </w:p>
        </w:tc>
        <w:tc>
          <w:tcPr>
            <w:tcW w:w="54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US Organization LLC and related Data Schedules, as of November 1, 2023.</w:t>
            </w:r>
          </w:p>
        </w:tc>
        <w:tc>
          <w:tcPr>
            <w:tcW w:w="4280" w:type="dxa"/>
            <w:vAlign w:val="bottom"/>
            <w:gridSpan w:val="7"/>
          </w:tcPr>
          <w:p>
            <w:pPr>
              <w:spacing w:after="0"/>
              <w:rPr>
                <w:sz w:val="17"/>
                <w:szCs w:val="17"/>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Credit Agreement, dated as of November 21, 2023, by and among Tradeweb Markets LLC, the lenders party thereto, Citibank, N.A., as</w:t>
              </w:r>
            </w:hyperlink>
          </w:p>
        </w:tc>
      </w:tr>
      <w:tr>
        <w:trPr>
          <w:trHeight w:val="196"/>
        </w:trPr>
        <w:tc>
          <w:tcPr>
            <w:tcW w:w="1440" w:type="dxa"/>
            <w:vAlign w:val="bottom"/>
          </w:tcPr>
          <w:p>
            <w:pPr>
              <w:spacing w:after="0"/>
              <w:rPr>
                <w:sz w:val="17"/>
                <w:szCs w:val="17"/>
                <w:color w:val="auto"/>
              </w:rPr>
            </w:pPr>
          </w:p>
        </w:tc>
        <w:tc>
          <w:tcPr>
            <w:tcW w:w="9740" w:type="dxa"/>
            <w:vAlign w:val="bottom"/>
            <w:gridSpan w:val="9"/>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administrative agent, issuing bank and swing line lender, and Citigroup Global Markets Inc., J.P. Morgan Chase Bank, N.A. and</w:t>
              </w:r>
            </w:hyperlink>
          </w:p>
        </w:tc>
      </w:tr>
      <w:tr>
        <w:trPr>
          <w:trHeight w:val="20"/>
        </w:trPr>
        <w:tc>
          <w:tcPr>
            <w:tcW w:w="1440" w:type="dxa"/>
            <w:vAlign w:val="bottom"/>
          </w:tcPr>
          <w:p>
            <w:pPr>
              <w:spacing w:after="0" w:line="20" w:lineRule="exact"/>
              <w:rPr>
                <w:sz w:val="1"/>
                <w:szCs w:val="1"/>
                <w:color w:val="auto"/>
              </w:rPr>
            </w:pPr>
          </w:p>
        </w:tc>
        <w:tc>
          <w:tcPr>
            <w:tcW w:w="6700" w:type="dxa"/>
            <w:vAlign w:val="bottom"/>
            <w:gridSpan w:val="3"/>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5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Morgan Stanley Senior Funding, Inc., as joint lead arrangers and joint bookrunners (incorporated by reference to Exhibit 10.1 to the</w:t>
              </w:r>
            </w:hyperlink>
          </w:p>
        </w:tc>
        <w:tc>
          <w:tcPr>
            <w:tcW w:w="240" w:type="dxa"/>
            <w:vAlign w:val="bottom"/>
            <w:gridSpan w:val="3"/>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6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Company’s Current Report on Form 8-K filed on November 21, 2023 (File No. 001-38860)).</w:t>
              </w:r>
            </w:hyperlink>
          </w:p>
        </w:tc>
        <w:tc>
          <w:tcPr>
            <w:tcW w:w="3040" w:type="dxa"/>
            <w:vAlign w:val="bottom"/>
            <w:gridSpan w:val="6"/>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Tradeweb Markets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amended, as adopted pursuant to Section 302 of the Sarbanes-Oxley Act of 2002.</w:t>
      </w:r>
    </w:p>
    <w:p>
      <w:pPr>
        <w:spacing w:after="0" w:line="200" w:lineRule="exact"/>
        <w:rPr>
          <w:sz w:val="20"/>
          <w:szCs w:val="20"/>
          <w:color w:val="auto"/>
        </w:rPr>
      </w:pPr>
    </w:p>
    <w:p>
      <w:pPr>
        <w:sectPr>
          <w:pgSz w:w="11900" w:h="16838" w:orient="portrait"/>
          <w:cols w:equalWidth="0" w:num="2">
            <w:col w:w="740" w:space="720"/>
            <w:col w:w="9740"/>
          </w:cols>
          <w:pgMar w:left="320" w:top="121" w:right="37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Exhibit</w:t>
      </w:r>
    </w:p>
    <w:p>
      <w:pPr>
        <w:sectPr>
          <w:pgSz w:w="11900" w:h="16838" w:orient="portrait"/>
          <w:cols w:equalWidth="0" w:num="1">
            <w:col w:w="11180"/>
          </w:cols>
          <w:pgMar w:left="320" w:top="121" w:right="39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8483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Filed herewith.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45" w:lineRule="exact"/>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or 15d</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-298450</wp:posOffset>
            </wp:positionV>
            <wp:extent cx="62236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Tradeweb Markets Inc. Omnibus Clawback Policy, effective as of October 2, 2023.</w:t>
      </w:r>
    </w:p>
    <w:p>
      <w:pPr>
        <w:spacing w:after="0" w:line="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11" w:lineRule="exact"/>
        <w:rPr>
          <w:sz w:val="20"/>
          <w:szCs w:val="20"/>
          <w:color w:val="auto"/>
        </w:rPr>
      </w:pPr>
    </w:p>
    <w:p>
      <w:pPr>
        <w:sectPr>
          <w:pgSz w:w="11900" w:h="16838" w:orient="portrait"/>
          <w:cols w:equalWidth="0" w:num="2">
            <w:col w:w="1360" w:space="100"/>
            <w:col w:w="9720"/>
          </w:cols>
          <w:pgMar w:left="320" w:top="121" w:right="399" w:bottom="1440" w:gutter="0" w:footer="0" w:header="0"/>
          <w:type w:val="continuous"/>
        </w:sectPr>
      </w:pPr>
    </w:p>
    <w:p>
      <w:pPr>
        <w:spacing w:after="0"/>
        <w:tabs>
          <w:tab w:leader="none" w:pos="34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Furnished herewith.</w:t>
      </w:r>
    </w:p>
    <w:p>
      <w:pPr>
        <w:spacing w:after="0" w:line="185" w:lineRule="exact"/>
        <w:rPr>
          <w:sz w:val="20"/>
          <w:szCs w:val="20"/>
          <w:color w:val="auto"/>
        </w:rPr>
      </w:pPr>
    </w:p>
    <w:p>
      <w:pPr>
        <w:ind w:left="280" w:hanging="272"/>
        <w:spacing w:after="0"/>
        <w:tabs>
          <w:tab w:leader="none" w:pos="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a management contract or compensatory plan or arrangement.</w:t>
      </w:r>
    </w:p>
    <w:p>
      <w:pPr>
        <w:spacing w:after="0" w:line="185" w:lineRule="exact"/>
        <w:rPr>
          <w:sz w:val="20"/>
          <w:szCs w:val="20"/>
          <w:color w:val="auto"/>
        </w:rPr>
      </w:pPr>
    </w:p>
    <w:p>
      <w:pPr>
        <w:ind w:left="340" w:right="280" w:hanging="332"/>
        <w:spacing w:after="0" w:line="282" w:lineRule="auto"/>
        <w:tabs>
          <w:tab w:leader="none" w:pos="297"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Certain portions of this exhibit have been omitted and separately filed with the SEC pursuant to a request for confidential treatment which has been granted by the SEC.</w:t>
      </w:r>
    </w:p>
    <w:p>
      <w:pPr>
        <w:spacing w:after="0" w:line="1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Portions of this exhibit have been redacted in compliance with Regulation S-K Item 601(b)(10).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TRADEWEB MARKETS INC.</w:t>
            </w:r>
          </w:p>
        </w:tc>
      </w:tr>
      <w:tr>
        <w:trPr>
          <w:trHeight w:val="59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February 9, 2024</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7"/>
        </w:trPr>
        <w:tc>
          <w:tcPr>
            <w:tcW w:w="5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William Hult</w:t>
            </w:r>
          </w:p>
        </w:tc>
      </w:tr>
      <w:tr>
        <w:trPr>
          <w:trHeight w:val="270"/>
        </w:trPr>
        <w:tc>
          <w:tcPr>
            <w:tcW w:w="5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2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560"/>
        <w:spacing w:after="0"/>
        <w:tabs>
          <w:tab w:leader="none" w:pos="6400" w:val="left"/>
          <w:tab w:leader="none" w:pos="100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345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William Hult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Sara Furber</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Jacques 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Jacques Aigrain</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Balbir Bakhshi</w:t>
      </w:r>
    </w:p>
    <w:p>
      <w:pPr>
        <w:spacing w:after="0" w:line="1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Steven Berns</w:t>
      </w:r>
    </w:p>
    <w:p>
      <w:pPr>
        <w:spacing w:after="0" w:line="17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Troy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Troy Dixon</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Scott C.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Scott C. Ganeles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Catherine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Catherine Johnson</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Paula B. Madoff</w:t>
      </w:r>
    </w:p>
    <w:p>
      <w:pPr>
        <w:spacing w:after="0" w:line="1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Thomas Pluta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Thomas Pluta</w:t>
      </w:r>
    </w:p>
    <w:p>
      <w:pPr>
        <w:spacing w:after="0" w:line="1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Murray Roos</w:t>
      </w:r>
    </w:p>
    <w:p>
      <w:pPr>
        <w:spacing w:after="0" w:line="17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345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Rana Yared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48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14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02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February 9, 2024</w:t>
            </w:r>
          </w:p>
        </w:tc>
        <w:tc>
          <w:tcPr>
            <w:tcW w:w="0" w:type="dxa"/>
            <w:vAlign w:val="bottom"/>
          </w:tcPr>
          <w:p>
            <w:pPr>
              <w:spacing w:after="0"/>
              <w:rPr>
                <w:sz w:val="1"/>
                <w:szCs w:val="1"/>
                <w:color w:val="auto"/>
              </w:rPr>
            </w:pPr>
          </w:p>
        </w:tc>
      </w:tr>
    </w:tbl>
    <w:p>
      <w:pPr>
        <w:spacing w:after="0" w:line="375" w:lineRule="exact"/>
        <w:rPr>
          <w:sz w:val="20"/>
          <w:szCs w:val="20"/>
          <w:color w:val="auto"/>
        </w:rPr>
      </w:pPr>
    </w:p>
    <w:p>
      <w:pPr>
        <w:sectPr>
          <w:pgSz w:w="11900" w:h="16838" w:orient="portrait"/>
          <w:cols w:equalWidth="0" w:num="2">
            <w:col w:w="3280" w:space="720"/>
            <w:col w:w="7340"/>
          </w:cols>
          <w:pgMar w:left="320" w:top="121"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121" w:right="239" w:bottom="1440" w:gutter="0" w:footer="0" w:header="0"/>
          <w:type w:val="continuous"/>
        </w:sectPr>
      </w:pPr>
    </w:p>
    <w:bookmarkStart w:id="155" w:name="page156"/>
    <w:bookmarkEnd w:id="155"/>
    <w:p>
      <w:pPr>
        <w:ind w:left="10020"/>
        <w:spacing w:after="0"/>
        <w:rPr>
          <w:sz w:val="20"/>
          <w:szCs w:val="20"/>
          <w:color w:val="auto"/>
        </w:rPr>
      </w:pPr>
      <w:r>
        <w:rPr>
          <w:rFonts w:ascii="Times New Roman" w:cs="Times New Roman" w:eastAsia="Times New Roman" w:hAnsi="Times New Roman"/>
          <w:sz w:val="17"/>
          <w:szCs w:val="17"/>
          <w:b w:val="1"/>
          <w:bCs w:val="1"/>
          <w:color w:val="auto"/>
        </w:rPr>
        <w:t>EXHIBIT 10.36</w:t>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Certain identified information has been omitted from this document pursuant to Item 601(b)(10) of Regulation S-K because it is not</w:t>
      </w:r>
    </w:p>
    <w:p>
      <w:pPr>
        <w:ind w:left="40"/>
        <w:spacing w:after="0" w:line="218" w:lineRule="auto"/>
        <w:rPr>
          <w:sz w:val="20"/>
          <w:szCs w:val="20"/>
          <w:color w:val="auto"/>
        </w:rPr>
      </w:pPr>
      <w:r>
        <w:rPr>
          <w:rFonts w:ascii="Times New Roman" w:cs="Times New Roman" w:eastAsia="Times New Roman" w:hAnsi="Times New Roman"/>
          <w:sz w:val="19"/>
          <w:szCs w:val="19"/>
          <w:b w:val="1"/>
          <w:bCs w:val="1"/>
          <w:color w:val="auto"/>
        </w:rPr>
        <w:t>material, is the type that the registrant treats as private or confidential and would be competitively harmful if publicly disclosed,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w:t>
      </w:r>
    </w:p>
    <w:p>
      <w:pPr>
        <w:jc w:val="center"/>
        <w:spacing w:after="0"/>
        <w:rPr>
          <w:sz w:val="20"/>
          <w:szCs w:val="20"/>
          <w:color w:val="auto"/>
        </w:rPr>
      </w:pPr>
      <w:r>
        <w:rPr>
          <w:rFonts w:ascii="Times New Roman" w:cs="Times New Roman" w:eastAsia="Times New Roman" w:hAnsi="Times New Roman"/>
          <w:sz w:val="20"/>
          <w:szCs w:val="20"/>
          <w:b w:val="1"/>
          <w:bCs w:val="1"/>
          <w:color w:val="auto"/>
        </w:rPr>
        <w:t>MASTER DATA LICENSE AGREEMENT</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This Master Data License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effective as of November 1,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is between Tradeweb Markets LLC, a Delaware limited liability company (“</w:t>
      </w:r>
      <w:r>
        <w:rPr>
          <w:rFonts w:ascii="Times New Roman" w:cs="Times New Roman" w:eastAsia="Times New Roman" w:hAnsi="Times New Roman"/>
          <w:sz w:val="19"/>
          <w:szCs w:val="19"/>
          <w:b w:val="1"/>
          <w:bCs w:val="1"/>
          <w:color w:val="auto"/>
        </w:rPr>
        <w:t>Tradeweb</w:t>
      </w:r>
      <w:r>
        <w:rPr>
          <w:rFonts w:ascii="Times New Roman" w:cs="Times New Roman" w:eastAsia="Times New Roman" w:hAnsi="Times New Roman"/>
          <w:sz w:val="19"/>
          <w:szCs w:val="19"/>
          <w:color w:val="auto"/>
        </w:rPr>
        <w:t>”), Refinitiv US LLC (f/k/a Thomson Reuters (Markets) LLC),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Delaware limited liability company and Refinitiv US Organization LLC (f/k/a Thomson Reuters (GRC) Inc.), a Delaware limited liability company (together, “</w:t>
      </w:r>
      <w:r>
        <w:rPr>
          <w:rFonts w:ascii="Times New Roman" w:cs="Times New Roman" w:eastAsia="Times New Roman" w:hAnsi="Times New Roman"/>
          <w:sz w:val="20"/>
          <w:szCs w:val="20"/>
          <w:b w:val="1"/>
          <w:bCs w:val="1"/>
          <w:color w:val="auto"/>
        </w:rPr>
        <w:t>Refinitiv</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WHEREAS, Tradeweb and Refinitiv previously executed the Second Amended &amp; Restated Market Data Agreement, dated November 1, 2018, as amended (the “</w:t>
      </w:r>
      <w:r>
        <w:rPr>
          <w:rFonts w:ascii="Times New Roman" w:cs="Times New Roman" w:eastAsia="Times New Roman" w:hAnsi="Times New Roman"/>
          <w:sz w:val="20"/>
          <w:szCs w:val="20"/>
          <w:b w:val="1"/>
          <w:bCs w:val="1"/>
          <w:color w:val="auto"/>
        </w:rPr>
        <w:t>Second A&amp;R Market Data Agreement</w:t>
      </w:r>
      <w:r>
        <w:rPr>
          <w:rFonts w:ascii="Times New Roman" w:cs="Times New Roman" w:eastAsia="Times New Roman" w:hAnsi="Times New Roman"/>
          <w:sz w:val="20"/>
          <w:szCs w:val="20"/>
          <w:color w:val="auto"/>
        </w:rPr>
        <w:t>”); and</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WHEREAS, in consideration of certain mutually agreed updates and modifications, Tradeweb and Refinitiv wish to amend and restate the Second A&amp;R Market Data Agreement.</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NOW, THEREFORE, it is mutually agreed that, as of the Effective Date, this Agreement shall amend and restate in its entirety the Second A&amp;R Market Data Agreement, and the terms thereof are replaced and superseded by the terms of this Agreement.</w:t>
      </w:r>
    </w:p>
    <w:p>
      <w:pPr>
        <w:spacing w:after="0" w:line="157"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Data Schedules; Subscribers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right"/>
        <w:ind w:left="660"/>
        <w:spacing w:after="0" w:line="217" w:lineRule="auto"/>
        <w:rPr>
          <w:sz w:val="20"/>
          <w:szCs w:val="20"/>
          <w:color w:val="auto"/>
        </w:rPr>
      </w:pPr>
      <w:r>
        <w:rPr>
          <w:rFonts w:ascii="Times New Roman" w:cs="Times New Roman" w:eastAsia="Times New Roman" w:hAnsi="Times New Roman"/>
          <w:sz w:val="20"/>
          <w:szCs w:val="20"/>
          <w:color w:val="auto"/>
        </w:rPr>
        <w:t>1.1  Each data set licensed by Tradeweb to Subscriber under this Agreement (the “</w:t>
      </w:r>
      <w:r>
        <w:rPr>
          <w:rFonts w:ascii="Times New Roman" w:cs="Times New Roman" w:eastAsia="Times New Roman" w:hAnsi="Times New Roman"/>
          <w:sz w:val="20"/>
          <w:szCs w:val="20"/>
          <w:b w:val="1"/>
          <w:bCs w:val="1"/>
          <w:color w:val="auto"/>
        </w:rPr>
        <w:t>Licensed Data</w:t>
      </w:r>
      <w:r>
        <w:rPr>
          <w:rFonts w:ascii="Times New Roman" w:cs="Times New Roman" w:eastAsia="Times New Roman" w:hAnsi="Times New Roman"/>
          <w:sz w:val="20"/>
          <w:szCs w:val="20"/>
          <w:color w:val="auto"/>
        </w:rPr>
        <w:t>”) and each data service provided by Tradeweb to Subscriber under this Agreement (the “</w:t>
      </w:r>
      <w:r>
        <w:rPr>
          <w:rFonts w:ascii="Times New Roman" w:cs="Times New Roman" w:eastAsia="Times New Roman" w:hAnsi="Times New Roman"/>
          <w:sz w:val="20"/>
          <w:szCs w:val="20"/>
          <w:b w:val="1"/>
          <w:bCs w:val="1"/>
          <w:color w:val="auto"/>
        </w:rPr>
        <w:t>Data Services</w:t>
      </w:r>
      <w:r>
        <w:rPr>
          <w:rFonts w:ascii="Times New Roman" w:cs="Times New Roman" w:eastAsia="Times New Roman" w:hAnsi="Times New Roman"/>
          <w:sz w:val="20"/>
          <w:szCs w:val="20"/>
          <w:color w:val="auto"/>
        </w:rPr>
        <w:t>”) is described on a data schedule executed by</w:t>
      </w:r>
    </w:p>
    <w:p>
      <w:pPr>
        <w:spacing w:after="0" w:line="2"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Tradeweb and Subscriber (each, a “</w:t>
      </w:r>
      <w:r>
        <w:rPr>
          <w:rFonts w:ascii="Times New Roman" w:cs="Times New Roman" w:eastAsia="Times New Roman" w:hAnsi="Times New Roman"/>
          <w:sz w:val="19"/>
          <w:szCs w:val="19"/>
          <w:b w:val="1"/>
          <w:bCs w:val="1"/>
          <w:color w:val="auto"/>
        </w:rPr>
        <w:t>Data Schedule</w:t>
      </w:r>
      <w:r>
        <w:rPr>
          <w:rFonts w:ascii="Times New Roman" w:cs="Times New Roman" w:eastAsia="Times New Roman" w:hAnsi="Times New Roman"/>
          <w:sz w:val="19"/>
          <w:szCs w:val="19"/>
          <w:color w:val="auto"/>
        </w:rPr>
        <w:t>”). Each Data Schedule is incorporated into and is a part of this Agreement. If a provision in a Data Schedule conflicts with any other provision in this Agreement, the former governs to the</w:t>
      </w:r>
    </w:p>
    <w:p>
      <w:pPr>
        <w:ind w:left="1300"/>
        <w:spacing w:after="0"/>
        <w:rPr>
          <w:sz w:val="20"/>
          <w:szCs w:val="20"/>
          <w:color w:val="auto"/>
        </w:rPr>
      </w:pPr>
      <w:r>
        <w:rPr>
          <w:rFonts w:ascii="Times New Roman" w:cs="Times New Roman" w:eastAsia="Times New Roman" w:hAnsi="Times New Roman"/>
          <w:sz w:val="20"/>
          <w:szCs w:val="20"/>
          <w:color w:val="auto"/>
        </w:rPr>
        <w:t>extent of the conflict.</w:t>
      </w:r>
    </w:p>
    <w:p>
      <w:pPr>
        <w:spacing w:after="0" w:line="163" w:lineRule="exact"/>
        <w:rPr>
          <w:sz w:val="20"/>
          <w:szCs w:val="20"/>
          <w:color w:val="auto"/>
        </w:rPr>
      </w:pPr>
    </w:p>
    <w:p>
      <w:pPr>
        <w:jc w:val="right"/>
        <w:ind w:left="660" w:right="20"/>
        <w:spacing w:after="0" w:line="217" w:lineRule="auto"/>
        <w:rPr>
          <w:sz w:val="20"/>
          <w:szCs w:val="20"/>
          <w:color w:val="auto"/>
        </w:rPr>
      </w:pPr>
      <w:r>
        <w:rPr>
          <w:rFonts w:ascii="Times New Roman" w:cs="Times New Roman" w:eastAsia="Times New Roman" w:hAnsi="Times New Roman"/>
          <w:sz w:val="20"/>
          <w:szCs w:val="20"/>
          <w:color w:val="auto"/>
        </w:rPr>
        <w:t>1.2  As used herein, “</w:t>
      </w:r>
      <w:r>
        <w:rPr>
          <w:rFonts w:ascii="Times New Roman" w:cs="Times New Roman" w:eastAsia="Times New Roman" w:hAnsi="Times New Roman"/>
          <w:sz w:val="20"/>
          <w:szCs w:val="20"/>
          <w:b w:val="1"/>
          <w:bCs w:val="1"/>
          <w:color w:val="auto"/>
        </w:rPr>
        <w:t>Subscriber</w:t>
      </w:r>
      <w:r>
        <w:rPr>
          <w:rFonts w:ascii="Times New Roman" w:cs="Times New Roman" w:eastAsia="Times New Roman" w:hAnsi="Times New Roman"/>
          <w:sz w:val="20"/>
          <w:szCs w:val="20"/>
          <w:color w:val="auto"/>
        </w:rPr>
        <w:t>” means Refinitiv US LLC and all Affiliates thereof that are not on the Restricted List (as defined herein). For purposes of this Agreement, an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 Party means any Person that directly or indirectly, through one</w:t>
      </w:r>
    </w:p>
    <w:p>
      <w:pPr>
        <w:jc w:val="right"/>
        <w:spacing w:after="0" w:line="213" w:lineRule="auto"/>
        <w:rPr>
          <w:sz w:val="20"/>
          <w:szCs w:val="20"/>
          <w:color w:val="auto"/>
        </w:rPr>
      </w:pPr>
      <w:r>
        <w:rPr>
          <w:rFonts w:ascii="Times New Roman" w:cs="Times New Roman" w:eastAsia="Times New Roman" w:hAnsi="Times New Roman"/>
          <w:sz w:val="20"/>
          <w:szCs w:val="20"/>
          <w:color w:val="auto"/>
        </w:rPr>
        <w:t>or more intermediaries, now or hereafter Controls, is Controlled by, or is under common Control with that Party (but only</w:t>
      </w:r>
    </w:p>
    <w:p>
      <w:pPr>
        <w:ind w:left="1300"/>
        <w:spacing w:after="0" w:line="204" w:lineRule="auto"/>
        <w:rPr>
          <w:sz w:val="20"/>
          <w:szCs w:val="20"/>
          <w:color w:val="auto"/>
        </w:rPr>
      </w:pPr>
      <w:r>
        <w:rPr>
          <w:rFonts w:ascii="Times New Roman" w:cs="Times New Roman" w:eastAsia="Times New Roman" w:hAnsi="Times New Roman"/>
          <w:sz w:val="20"/>
          <w:szCs w:val="20"/>
          <w:color w:val="auto"/>
        </w:rPr>
        <w:t>while the Person meets those requirements); provided, however, that for purposes of this Agreement Tradeweb, its subsidiaries and its parent, Tradeweb Markets Inc. (the “</w:t>
      </w:r>
      <w:r>
        <w:rPr>
          <w:rFonts w:ascii="Times New Roman" w:cs="Times New Roman" w:eastAsia="Times New Roman" w:hAnsi="Times New Roman"/>
          <w:sz w:val="20"/>
          <w:szCs w:val="20"/>
          <w:b w:val="1"/>
          <w:bCs w:val="1"/>
          <w:color w:val="auto"/>
        </w:rPr>
        <w:t>Tradeweb Entities</w:t>
      </w:r>
      <w:r>
        <w:rPr>
          <w:rFonts w:ascii="Times New Roman" w:cs="Times New Roman" w:eastAsia="Times New Roman" w:hAnsi="Times New Roman"/>
          <w:sz w:val="20"/>
          <w:szCs w:val="20"/>
          <w:color w:val="auto"/>
        </w:rPr>
        <w:t>”) shall not be deemed to be Affiliates of any</w:t>
      </w:r>
    </w:p>
    <w:p>
      <w:pPr>
        <w:ind w:left="1300"/>
        <w:spacing w:after="0" w:line="211" w:lineRule="auto"/>
        <w:rPr>
          <w:sz w:val="20"/>
          <w:szCs w:val="20"/>
          <w:color w:val="auto"/>
        </w:rPr>
      </w:pPr>
      <w:r>
        <w:rPr>
          <w:rFonts w:ascii="Times New Roman" w:cs="Times New Roman" w:eastAsia="Times New Roman" w:hAnsi="Times New Roman"/>
          <w:sz w:val="20"/>
          <w:szCs w:val="20"/>
          <w:color w:val="auto"/>
        </w:rPr>
        <w:t>Subscriber and a Subscriber shall not be deemed to be Affiliates of any Tradeweb Entities;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right to</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exercise, directly or indirectly, the power to direct or cause the direction of the affairs, policies or management of a Person, whether through the ownership of voting securities, by contract, as trustee or executor, or otherwise; and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w:t>
      </w:r>
    </w:p>
    <w:p>
      <w:pPr>
        <w:spacing w:after="0" w:line="1" w:lineRule="exact"/>
        <w:rPr>
          <w:sz w:val="20"/>
          <w:szCs w:val="20"/>
          <w:color w:val="auto"/>
        </w:rPr>
      </w:pPr>
    </w:p>
    <w:p>
      <w:pPr>
        <w:ind w:left="1300" w:right="20"/>
        <w:spacing w:after="0" w:line="228" w:lineRule="auto"/>
        <w:rPr>
          <w:sz w:val="20"/>
          <w:szCs w:val="20"/>
          <w:color w:val="auto"/>
        </w:rPr>
      </w:pPr>
      <w:r>
        <w:rPr>
          <w:rFonts w:ascii="Times New Roman" w:cs="Times New Roman" w:eastAsia="Times New Roman" w:hAnsi="Times New Roman"/>
          <w:sz w:val="20"/>
          <w:szCs w:val="20"/>
          <w:color w:val="auto"/>
        </w:rPr>
        <w:t>any (i) individual or (ii) partnership, firm, corporation, limited liability company, joint venture, association, trust, unincorporated organization, or other legal entity or organization.</w:t>
      </w:r>
    </w:p>
    <w:p>
      <w:pPr>
        <w:spacing w:after="0" w:line="145"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of License; Use of Data; Data Services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1160" w:right="20" w:hanging="647"/>
        <w:spacing w:after="0"/>
        <w:tabs>
          <w:tab w:leader="none" w:pos="1140" w:val="left"/>
        </w:tabs>
        <w:rPr>
          <w:sz w:val="20"/>
          <w:szCs w:val="20"/>
          <w:color w:val="auto"/>
        </w:rPr>
      </w:pPr>
      <w:r>
        <w:rPr>
          <w:rFonts w:ascii="Times New Roman" w:cs="Times New Roman" w:eastAsia="Times New Roman" w:hAnsi="Times New Roman"/>
          <w:sz w:val="20"/>
          <w:szCs w:val="20"/>
          <w:color w:val="auto"/>
        </w:rPr>
        <w:t>2.1</w:t>
        <w:tab/>
        <w:t>Subject to the terms of this Agreement, Tradeweb (i) hereby grants to Subscriber the license to the Licensed Data that is set forth in the applicable Data Schedule, for the</w:t>
      </w:r>
    </w:p>
    <w:p>
      <w:pPr>
        <w:sectPr>
          <w:pgSz w:w="11900" w:h="16838" w:orient="portrait"/>
          <w:cols w:equalWidth="0" w:num="1">
            <w:col w:w="11240"/>
          </w:cols>
          <w:pgMar w:left="320" w:top="1413" w:right="339" w:bottom="1440" w:gutter="0" w:footer="0" w:header="0"/>
        </w:sectPr>
      </w:pPr>
    </w:p>
    <w:bookmarkStart w:id="156" w:name="page157"/>
    <w:bookmarkEnd w:id="156"/>
    <w:p>
      <w:pPr>
        <w:ind w:left="640"/>
        <w:spacing w:after="0"/>
        <w:rPr>
          <w:sz w:val="20"/>
          <w:szCs w:val="20"/>
          <w:color w:val="auto"/>
        </w:rPr>
      </w:pPr>
      <w:r>
        <w:rPr>
          <w:rFonts w:ascii="Times New Roman" w:cs="Times New Roman" w:eastAsia="Times New Roman" w:hAnsi="Times New Roman"/>
          <w:sz w:val="20"/>
          <w:szCs w:val="20"/>
          <w:color w:val="auto"/>
        </w:rPr>
        <w:t>period set forth in the applicable Data Schedule (the “</w:t>
      </w:r>
      <w:r>
        <w:rPr>
          <w:rFonts w:ascii="Times New Roman" w:cs="Times New Roman" w:eastAsia="Times New Roman" w:hAnsi="Times New Roman"/>
          <w:sz w:val="20"/>
          <w:szCs w:val="20"/>
          <w:b w:val="1"/>
          <w:bCs w:val="1"/>
          <w:color w:val="auto"/>
        </w:rPr>
        <w:t>License Period</w:t>
      </w:r>
      <w:r>
        <w:rPr>
          <w:rFonts w:ascii="Times New Roman" w:cs="Times New Roman" w:eastAsia="Times New Roman" w:hAnsi="Times New Roman"/>
          <w:sz w:val="20"/>
          <w:szCs w:val="20"/>
          <w:color w:val="auto"/>
        </w:rPr>
        <w:t>”) solely for the purposes set forth therein (the</w:t>
      </w:r>
    </w:p>
    <w:p>
      <w:pPr>
        <w:ind w:left="64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Purpose</w:t>
      </w:r>
      <w:r>
        <w:rPr>
          <w:rFonts w:ascii="Times New Roman" w:cs="Times New Roman" w:eastAsia="Times New Roman" w:hAnsi="Times New Roman"/>
          <w:sz w:val="19"/>
          <w:szCs w:val="19"/>
          <w:color w:val="auto"/>
        </w:rPr>
        <w:t>”) and (ii) shall provide to Subscriber the Data Services set forth on the applicable Data Schedule for the corresponding term of service also set forth on that Data Schedule (and for the avoidance of doubt any deliverables or output</w:t>
      </w:r>
    </w:p>
    <w:p>
      <w:pPr>
        <w:ind w:left="640"/>
        <w:spacing w:after="0" w:line="211" w:lineRule="auto"/>
        <w:rPr>
          <w:sz w:val="20"/>
          <w:szCs w:val="20"/>
          <w:color w:val="auto"/>
        </w:rPr>
      </w:pPr>
      <w:r>
        <w:rPr>
          <w:rFonts w:ascii="Times New Roman" w:cs="Times New Roman" w:eastAsia="Times New Roman" w:hAnsi="Times New Roman"/>
          <w:sz w:val="20"/>
          <w:szCs w:val="20"/>
          <w:color w:val="auto"/>
        </w:rPr>
        <w:t>of the Data Services shall be Licensed Data hereunder). Except as otherwise permitted by Section 2.7 or as expressly set</w:t>
      </w:r>
    </w:p>
    <w:p>
      <w:pPr>
        <w:ind w:left="640"/>
        <w:spacing w:after="0" w:line="204" w:lineRule="auto"/>
        <w:rPr>
          <w:sz w:val="20"/>
          <w:szCs w:val="20"/>
          <w:color w:val="auto"/>
        </w:rPr>
      </w:pPr>
      <w:r>
        <w:rPr>
          <w:rFonts w:ascii="Times New Roman" w:cs="Times New Roman" w:eastAsia="Times New Roman" w:hAnsi="Times New Roman"/>
          <w:sz w:val="20"/>
          <w:szCs w:val="20"/>
          <w:color w:val="auto"/>
        </w:rPr>
        <w:t>forth in a Data Schedule, the Licensed Data and Data Services may only be accessed and used by those employees and contractors of the Subscriber who have a reasonable need to access such Licensed Data or receive such Data Services in</w:t>
      </w:r>
    </w:p>
    <w:p>
      <w:pPr>
        <w:ind w:left="640"/>
        <w:spacing w:after="0" w:line="211" w:lineRule="auto"/>
        <w:rPr>
          <w:sz w:val="20"/>
          <w:szCs w:val="20"/>
          <w:color w:val="auto"/>
        </w:rPr>
      </w:pPr>
      <w:r>
        <w:rPr>
          <w:rFonts w:ascii="Times New Roman" w:cs="Times New Roman" w:eastAsia="Times New Roman" w:hAnsi="Times New Roman"/>
          <w:sz w:val="20"/>
          <w:szCs w:val="20"/>
          <w:color w:val="auto"/>
        </w:rPr>
        <w:t>furtherance of the Purpose set forth in a Data Schedule (such employees and contractors, “</w:t>
      </w:r>
      <w:r>
        <w:rPr>
          <w:rFonts w:ascii="Times New Roman" w:cs="Times New Roman" w:eastAsia="Times New Roman" w:hAnsi="Times New Roman"/>
          <w:sz w:val="20"/>
          <w:szCs w:val="20"/>
          <w:b w:val="1"/>
          <w:bCs w:val="1"/>
          <w:color w:val="auto"/>
        </w:rPr>
        <w:t>Subscriber Users</w:t>
      </w:r>
      <w:r>
        <w:rPr>
          <w:rFonts w:ascii="Times New Roman" w:cs="Times New Roman" w:eastAsia="Times New Roman" w:hAnsi="Times New Roman"/>
          <w:sz w:val="20"/>
          <w:szCs w:val="20"/>
          <w:color w:val="auto"/>
        </w:rPr>
        <w:t>”). Subscriber</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shall comply with all third-party data provider terms applicable to each set of Licensed Data and provision of Data Services, which terms may be made available on Tradeweb’s website or in a Data Schedule.</w:t>
      </w:r>
    </w:p>
    <w:p>
      <w:pPr>
        <w:spacing w:after="0" w:line="162"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2.2   Subscriber (i) shall ensure that its Subscriber Users comply with all applicable terms of this Agreement, (ii) is liable for breaches of this Agreement by its Subscriber Users in the same manner as if Subscriber had breached this Agreement, and</w:t>
      </w:r>
    </w:p>
    <w:p>
      <w:pPr>
        <w:spacing w:after="0" w:line="1" w:lineRule="exact"/>
        <w:rPr>
          <w:sz w:val="20"/>
          <w:szCs w:val="20"/>
          <w:color w:val="auto"/>
        </w:rPr>
      </w:pPr>
    </w:p>
    <w:p>
      <w:pPr>
        <w:ind w:left="640" w:firstLine="4"/>
        <w:spacing w:after="0" w:line="228" w:lineRule="auto"/>
        <w:tabs>
          <w:tab w:leader="none" w:pos="103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a breach of this Agreement by any of its Subscriber Users is a breach of this Agreement by Subscriber.</w:t>
      </w:r>
    </w:p>
    <w:p>
      <w:pPr>
        <w:spacing w:after="0" w:line="162"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2.3   Except to the extent expressly set forth in a Data Schedule with respect to the Licensed Data or Data Services provided thereunder, Subscriber shall not, nor attempt to, permit, or enable any other Person to (i) transfer, sell, lease, license,</w:t>
      </w:r>
    </w:p>
    <w:p>
      <w:pPr>
        <w:ind w:left="640"/>
        <w:spacing w:after="0" w:line="212" w:lineRule="auto"/>
        <w:rPr>
          <w:sz w:val="20"/>
          <w:szCs w:val="20"/>
          <w:color w:val="auto"/>
        </w:rPr>
      </w:pPr>
      <w:r>
        <w:rPr>
          <w:rFonts w:ascii="Times New Roman" w:cs="Times New Roman" w:eastAsia="Times New Roman" w:hAnsi="Times New Roman"/>
          <w:sz w:val="20"/>
          <w:szCs w:val="20"/>
          <w:color w:val="auto"/>
        </w:rPr>
        <w:t>sublicense, distribute, disclose, divulge, or make available the Licensed Data (or any analysis thereof) or the Data Services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to, or permit use of or access to the Licensed Data by, any Person (other than Subscriber Users), (ii) alter, copy, modify, or create derivative works of the Licensed Data (including Derived Data (as defined below)) or use the Licensed Data or Data</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Services to create any algorithm, product, or service, (iii) reverse engineer, disassemble, decompile, decode, or otherwise derive or gain access to the sources of the Licensed Data or methods used to compile the Licensed Data, (iv) remove, alter,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obscure any proprietary or restrictive notice or legend contained or included in or on any Licensed Data or Data Services,</w:t>
      </w:r>
    </w:p>
    <w:p>
      <w:pPr>
        <w:jc w:val="both"/>
        <w:ind w:left="640" w:firstLine="4"/>
        <w:spacing w:after="0" w:line="209" w:lineRule="auto"/>
        <w:tabs>
          <w:tab w:leader="none" w:pos="9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contest, challenge, or otherwise make any claim or take any action adverse to Tradeweb’s ownership of, or interest in, the Licensed Data or Data Services, (vi) use the Licensed Data or Data Services in any manner or for any purpose that infringes, misappropriates, or otherwise violates any intellectual property right or other right of any Person, or that violates any applicable Laws or Policies (as each is defined below), (vii) use the Licensed Data as a benchmark, or (viii) use the Licensed Data or Data Services in any way (a) that may reasonably be expected to damage the reputation of, or bring into disrepute, the Licensed Data or Data Services, the administrator for the Licensed Data or Data Services, as identified on the applicable Data Schedule (the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if any, or Tradeweb or any of Tradeweb’s Affiliates or (b) to create, market, or distribute any product or service that is competitive with any product or service offered by Tradeweb or any of Tradeweb’s Affiliates (or the Administrator, as applicable). If Subscriber becomes aware of any unauthorized use of the Licensed Data or Data Services, Subscriber shall (x) promptly notify Tradeweb and (y) reasonably cooperate with Tradeweb in investigating and halting such unauthorized use.</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Subscriber shall (i) use efforts which are in no event less than (x) general industry standard and (y) substantially similar to those</w:t>
      </w:r>
    </w:p>
    <w:p>
      <w:pPr>
        <w:ind w:left="640"/>
        <w:spacing w:after="0" w:line="204" w:lineRule="auto"/>
        <w:rPr>
          <w:sz w:val="20"/>
          <w:szCs w:val="20"/>
          <w:color w:val="auto"/>
        </w:rPr>
      </w:pPr>
      <w:r>
        <w:rPr>
          <w:rFonts w:ascii="Times New Roman" w:cs="Times New Roman" w:eastAsia="Times New Roman" w:hAnsi="Times New Roman"/>
          <w:sz w:val="20"/>
          <w:szCs w:val="20"/>
          <w:color w:val="auto"/>
        </w:rPr>
        <w:t>it uses for its own proprietary and intellectual property rights, to protect and safeguard the proprietary and intellectual property rights of Tradeweb and its licensors with respect to the Licensed Data and Data Services and prevent any</w:t>
      </w:r>
    </w:p>
    <w:p>
      <w:pPr>
        <w:spacing w:after="0" w:line="1" w:lineRule="exact"/>
        <w:rPr>
          <w:sz w:val="20"/>
          <w:szCs w:val="20"/>
          <w:color w:val="auto"/>
        </w:rPr>
      </w:pPr>
    </w:p>
    <w:p>
      <w:pPr>
        <w:jc w:val="both"/>
        <w:ind w:left="640" w:firstLine="4"/>
        <w:spacing w:after="0" w:line="206" w:lineRule="auto"/>
        <w:tabs>
          <w:tab w:leader="none" w:pos="9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unlawful use of the Licensed Data or Data Services or (b) use in violation of this Agreement, in each case, by using at least the same degree of care (including installing suitable, up-to-date control and security systems) that Subscriber uses to protect its own information and intellectual property, but in any event not less than a reasonable degree of care and</w:t>
      </w:r>
    </w:p>
    <w:p>
      <w:pPr>
        <w:spacing w:after="0" w:line="1" w:lineRule="exact"/>
        <w:rPr>
          <w:rFonts w:ascii="Times New Roman" w:cs="Times New Roman" w:eastAsia="Times New Roman" w:hAnsi="Times New Roman"/>
          <w:sz w:val="20"/>
          <w:szCs w:val="20"/>
          <w:color w:val="auto"/>
        </w:rPr>
      </w:pPr>
    </w:p>
    <w:p>
      <w:pPr>
        <w:ind w:left="640" w:firstLine="4"/>
        <w:spacing w:after="0" w:line="228" w:lineRule="auto"/>
        <w:tabs>
          <w:tab w:leader="none" w:pos="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any additional commercially reasonable security obligations with respect to the Licensed Data provided by Tradeweb to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0"/>
          </w:cols>
          <w:pgMar w:left="980" w:top="1394" w:right="339" w:bottom="1440" w:gutter="0" w:footer="0" w:header="0"/>
        </w:sectPr>
      </w:pPr>
    </w:p>
    <w:bookmarkStart w:id="157" w:name="page158"/>
    <w:bookmarkEnd w:id="157"/>
    <w:p>
      <w:pPr>
        <w:spacing w:after="0"/>
        <w:tabs>
          <w:tab w:leader="none" w:pos="4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Where a Data Schedule indicates that Subscriber or a Distribution Customer (as defined herein) is authorized to create, compile,</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or derive data from or on the basis of the Licensed Data, whether as a result of the manipulation, dissemination, or processing of the Licensed Data and/or combination of the Licensed Data with other data or otherwise (“</w:t>
      </w:r>
      <w:r>
        <w:rPr>
          <w:rFonts w:ascii="Times New Roman" w:cs="Times New Roman" w:eastAsia="Times New Roman" w:hAnsi="Times New Roman"/>
          <w:sz w:val="20"/>
          <w:szCs w:val="20"/>
          <w:b w:val="1"/>
          <w:bCs w:val="1"/>
          <w:color w:val="auto"/>
        </w:rPr>
        <w:t>Derived Data</w:t>
      </w:r>
      <w:r>
        <w:rPr>
          <w:rFonts w:ascii="Times New Roman" w:cs="Times New Roman" w:eastAsia="Times New Roman" w:hAnsi="Times New Roman"/>
          <w:sz w:val="20"/>
          <w:szCs w:val="20"/>
          <w:color w:val="auto"/>
        </w:rPr>
        <w:t>”),</w:t>
      </w:r>
    </w:p>
    <w:p>
      <w:pPr>
        <w:ind w:left="640"/>
        <w:spacing w:after="0" w:line="211" w:lineRule="auto"/>
        <w:rPr>
          <w:sz w:val="20"/>
          <w:szCs w:val="20"/>
          <w:color w:val="auto"/>
        </w:rPr>
      </w:pPr>
      <w:r>
        <w:rPr>
          <w:rFonts w:ascii="Times New Roman" w:cs="Times New Roman" w:eastAsia="Times New Roman" w:hAnsi="Times New Roman"/>
          <w:sz w:val="20"/>
          <w:szCs w:val="20"/>
          <w:color w:val="auto"/>
        </w:rPr>
        <w:t>such authorization is provided on the conditions that (i) the Licensed Data cannot be reverse engineered or otherwise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identified from analysis or further processing of the Derived Data and (ii) the Derived Data cannot be used as a replacement or substitute for the Licensed Data. Use and distribution of such Derived Data may be additionally restricted as set forth in</w:t>
      </w:r>
    </w:p>
    <w:p>
      <w:pPr>
        <w:ind w:left="640"/>
        <w:spacing w:after="0" w:line="211" w:lineRule="auto"/>
        <w:rPr>
          <w:sz w:val="20"/>
          <w:szCs w:val="20"/>
          <w:color w:val="auto"/>
        </w:rPr>
      </w:pPr>
      <w:r>
        <w:rPr>
          <w:rFonts w:ascii="Times New Roman" w:cs="Times New Roman" w:eastAsia="Times New Roman" w:hAnsi="Times New Roman"/>
          <w:sz w:val="20"/>
          <w:szCs w:val="20"/>
          <w:color w:val="auto"/>
        </w:rPr>
        <w:t>such applicable Data Schedule. Tradeweb acknowledges that it has no intellectual property rights in any Derived Data</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created by Subscriber or its Distribution Customers as permitted by this Agreement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For the avoidance of doubt, any Licensed Data used in the creation of Derived Data shall remain the sole and exclusive property of Tradeweb and no rights to</w:t>
      </w: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such Licensed Data beyond those granted under this Agreement is or shall be transferred to Subscriber or its Distribution Customers.</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2.6  Where a Data Schedule indicates that Subscriber is authorized to publish or provide any other Person access to and/or use of the Licensed Data (or any portion thereof) or Data Services, including on a website, Subscriber shall (i) identify Tradeweb</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Markets LLC or its designee as the owner and source of that Licensed Data and Data Services and (ii) except as otherwise set forth in the applicable Data Schedule, include the following proprietary notice: “© [Year] Tradeweb Markets LLC All rights</w:t>
      </w:r>
    </w:p>
    <w:p>
      <w:pPr>
        <w:ind w:left="640"/>
        <w:spacing w:after="0" w:line="211" w:lineRule="auto"/>
        <w:rPr>
          <w:sz w:val="20"/>
          <w:szCs w:val="20"/>
          <w:color w:val="auto"/>
        </w:rPr>
      </w:pPr>
      <w:r>
        <w:rPr>
          <w:rFonts w:ascii="Times New Roman" w:cs="Times New Roman" w:eastAsia="Times New Roman" w:hAnsi="Times New Roman"/>
          <w:sz w:val="20"/>
          <w:szCs w:val="20"/>
          <w:color w:val="auto"/>
        </w:rPr>
        <w:t>reserved. The information, data and analysis contained herein (a) include the proprietary information of Tradeweb or its</w:t>
      </w:r>
    </w:p>
    <w:p>
      <w:pPr>
        <w:ind w:left="640"/>
        <w:spacing w:after="0" w:line="204" w:lineRule="auto"/>
        <w:rPr>
          <w:sz w:val="20"/>
          <w:szCs w:val="20"/>
          <w:color w:val="auto"/>
        </w:rPr>
      </w:pPr>
      <w:r>
        <w:rPr>
          <w:rFonts w:ascii="Times New Roman" w:cs="Times New Roman" w:eastAsia="Times New Roman" w:hAnsi="Times New Roman"/>
          <w:sz w:val="20"/>
          <w:szCs w:val="20"/>
          <w:color w:val="auto"/>
        </w:rPr>
        <w:t>Affiliates and their content providers, (b) may not be copied or further disseminated except as specifically authorized by Tradeweb, (c) do not constitute investment advice, (d) are provided solely for informational purposes, and (e) are not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warranted to be complete, accurate, or timely.”</w:t>
      </w:r>
    </w:p>
    <w:p>
      <w:pPr>
        <w:spacing w:after="0" w:line="153"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2.7   Where a Data Schedule indicates that Subscriber may disseminate or redistribute the Licensed Data (in its raw form, whether alone or comingled with other raw data) externally (and therefore act as a “</w:t>
      </w:r>
      <w:r>
        <w:rPr>
          <w:rFonts w:ascii="Times New Roman" w:cs="Times New Roman" w:eastAsia="Times New Roman" w:hAnsi="Times New Roman"/>
          <w:sz w:val="20"/>
          <w:szCs w:val="20"/>
          <w:b w:val="1"/>
          <w:bCs w:val="1"/>
          <w:color w:val="auto"/>
        </w:rPr>
        <w:t>Redistributor</w:t>
      </w:r>
      <w:r>
        <w:rPr>
          <w:rFonts w:ascii="Times New Roman" w:cs="Times New Roman" w:eastAsia="Times New Roman" w:hAnsi="Times New Roman"/>
          <w:sz w:val="20"/>
          <w:szCs w:val="20"/>
          <w:color w:val="auto"/>
        </w:rPr>
        <w:t>”), unless otherwise set forth in that</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Data Schedule, (i) Subscriber shall not redistribute any Licensed Data using a third party and (ii) Subscriber shall ensure that Licensed Data is distributed only to recipients (“</w:t>
      </w:r>
      <w:r>
        <w:rPr>
          <w:rFonts w:ascii="Times New Roman" w:cs="Times New Roman" w:eastAsia="Times New Roman" w:hAnsi="Times New Roman"/>
          <w:sz w:val="20"/>
          <w:szCs w:val="20"/>
          <w:b w:val="1"/>
          <w:bCs w:val="1"/>
          <w:color w:val="auto"/>
        </w:rPr>
        <w:t>Distribution Customers</w:t>
      </w:r>
      <w:r>
        <w:rPr>
          <w:rFonts w:ascii="Times New Roman" w:cs="Times New Roman" w:eastAsia="Times New Roman" w:hAnsi="Times New Roman"/>
          <w:sz w:val="20"/>
          <w:szCs w:val="20"/>
          <w:color w:val="auto"/>
        </w:rPr>
        <w:t>”) who have executed or otherwise accepted a</w:t>
      </w:r>
    </w:p>
    <w:p>
      <w:pPr>
        <w:ind w:left="640"/>
        <w:spacing w:after="0" w:line="211" w:lineRule="auto"/>
        <w:rPr>
          <w:sz w:val="20"/>
          <w:szCs w:val="20"/>
          <w:color w:val="auto"/>
        </w:rPr>
      </w:pPr>
      <w:r>
        <w:rPr>
          <w:rFonts w:ascii="Times New Roman" w:cs="Times New Roman" w:eastAsia="Times New Roman" w:hAnsi="Times New Roman"/>
          <w:sz w:val="20"/>
          <w:szCs w:val="20"/>
          <w:color w:val="auto"/>
        </w:rPr>
        <w:t>market data subscription agreement with Subscriber which, among other things includes a prohibition on the creation of</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derived data (except as expressly permitted under the relevant Data Schedule) and agreement to Tradeweb’s supplemental terms of use as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including any supplements thereto for any particular Licensed Data as set</w:t>
      </w:r>
    </w:p>
    <w:p>
      <w:pPr>
        <w:ind w:left="640"/>
        <w:spacing w:after="0" w:line="211" w:lineRule="auto"/>
        <w:rPr>
          <w:sz w:val="20"/>
          <w:szCs w:val="20"/>
          <w:color w:val="auto"/>
        </w:rPr>
      </w:pPr>
      <w:r>
        <w:rPr>
          <w:rFonts w:ascii="Times New Roman" w:cs="Times New Roman" w:eastAsia="Times New Roman" w:hAnsi="Times New Roman"/>
          <w:sz w:val="20"/>
          <w:szCs w:val="20"/>
          <w:color w:val="auto"/>
        </w:rPr>
        <w:t>forth on the relevant Data Schedule (collectively, as applicable, “</w:t>
      </w:r>
      <w:r>
        <w:rPr>
          <w:rFonts w:ascii="Times New Roman" w:cs="Times New Roman" w:eastAsia="Times New Roman" w:hAnsi="Times New Roman"/>
          <w:sz w:val="20"/>
          <w:szCs w:val="20"/>
          <w:b w:val="1"/>
          <w:bCs w:val="1"/>
          <w:color w:val="auto"/>
        </w:rPr>
        <w:t>Tradeweb Supplemental Terms</w:t>
      </w:r>
      <w:r>
        <w:rPr>
          <w:rFonts w:ascii="Times New Roman" w:cs="Times New Roman" w:eastAsia="Times New Roman" w:hAnsi="Times New Roman"/>
          <w:sz w:val="20"/>
          <w:szCs w:val="20"/>
          <w:color w:val="auto"/>
        </w:rPr>
        <w:t>”). Notwithstanding</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anything to the contrary set forth herein, Subscriber may permit Distribution Customers to provide Licensed Data to a Governmental Authority solely to the extent specifically requested by such Governmental Authority for the purposes of</w:t>
      </w:r>
    </w:p>
    <w:p>
      <w:pPr>
        <w:ind w:left="640"/>
        <w:spacing w:after="0" w:line="211" w:lineRule="auto"/>
        <w:rPr>
          <w:sz w:val="20"/>
          <w:szCs w:val="20"/>
          <w:color w:val="auto"/>
        </w:rPr>
      </w:pPr>
      <w:r>
        <w:rPr>
          <w:rFonts w:ascii="Times New Roman" w:cs="Times New Roman" w:eastAsia="Times New Roman" w:hAnsi="Times New Roman"/>
          <w:sz w:val="20"/>
          <w:szCs w:val="20"/>
          <w:color w:val="auto"/>
        </w:rPr>
        <w:t>investigating such Distribution Customer’s compliance with laws and regulations. Subscriber shall promptly inform</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Tradeweb of any breach or threatened breach of any market data subscriber agreement or other sublicense agreement involving Licensed Data or the Tradeweb Supplemental Terms, and shall use commercially reasonable efforts to remedy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prevent such breach or threatened breach. If Tradeweb reasonably suspects that a Distribution Customer is not complying</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with its contractual or legal obligations with respect to Licensed Data or Data Services, Subscriber shall, upon request by Tradeweb, promptly investigate the issue and provide the findings of such investigation (including any plans for remediation,</w:t>
      </w:r>
    </w:p>
    <w:p>
      <w:pPr>
        <w:ind w:left="640"/>
        <w:spacing w:after="0"/>
        <w:rPr>
          <w:sz w:val="20"/>
          <w:szCs w:val="20"/>
          <w:color w:val="auto"/>
        </w:rPr>
      </w:pPr>
      <w:r>
        <w:rPr>
          <w:rFonts w:ascii="Times New Roman" w:cs="Times New Roman" w:eastAsia="Times New Roman" w:hAnsi="Times New Roman"/>
          <w:sz w:val="20"/>
          <w:szCs w:val="20"/>
          <w:color w:val="auto"/>
        </w:rPr>
        <w:t>if necessary) to Tradeweb. The parties shall cooperate on any subsequent remediation efforts.</w:t>
      </w:r>
    </w:p>
    <w:p>
      <w:pPr>
        <w:spacing w:after="0" w:line="167" w:lineRule="exact"/>
        <w:rPr>
          <w:sz w:val="20"/>
          <w:szCs w:val="20"/>
          <w:color w:val="auto"/>
        </w:rPr>
      </w:pPr>
    </w:p>
    <w:p>
      <w:pPr>
        <w:jc w:val="right"/>
        <w:ind w:right="20"/>
        <w:spacing w:after="0" w:line="215" w:lineRule="auto"/>
        <w:rPr>
          <w:sz w:val="20"/>
          <w:szCs w:val="20"/>
          <w:color w:val="auto"/>
        </w:rPr>
      </w:pPr>
      <w:r>
        <w:rPr>
          <w:rFonts w:ascii="Times New Roman" w:cs="Times New Roman" w:eastAsia="Times New Roman" w:hAnsi="Times New Roman"/>
          <w:sz w:val="20"/>
          <w:szCs w:val="20"/>
          <w:color w:val="auto"/>
        </w:rPr>
        <w:t>2.8   Notwithstanding any other provision of this Agreement, Subscriber shall not, and shall cause any third party authorized to redistribute Licensed Data pursuant to a Data Schedule (an “</w:t>
      </w:r>
      <w:r>
        <w:rPr>
          <w:rFonts w:ascii="Times New Roman" w:cs="Times New Roman" w:eastAsia="Times New Roman" w:hAnsi="Times New Roman"/>
          <w:sz w:val="20"/>
          <w:szCs w:val="20"/>
          <w:b w:val="1"/>
          <w:bCs w:val="1"/>
          <w:color w:val="auto"/>
        </w:rPr>
        <w:t>Approved Third Party Redistributor</w:t>
      </w:r>
      <w:r>
        <w:rPr>
          <w:rFonts w:ascii="Times New Roman" w:cs="Times New Roman" w:eastAsia="Times New Roman" w:hAnsi="Times New Roman"/>
          <w:sz w:val="20"/>
          <w:szCs w:val="20"/>
          <w:color w:val="auto"/>
        </w:rPr>
        <w:t>”), if applicable, not to,</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without the prior written consent of Tradeweb, (a) distribute Licensed Data for Individual Use to any trading venue (including voice brokerage) that is owned or operated by any Person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0"/>
          </w:cols>
          <w:pgMar w:left="980" w:top="1394" w:right="339" w:bottom="1440" w:gutter="0" w:footer="0" w:header="0"/>
        </w:sectPr>
      </w:pPr>
    </w:p>
    <w:bookmarkStart w:id="158" w:name="page159"/>
    <w:bookmarkEnd w:id="158"/>
    <w:p>
      <w:pPr>
        <w:ind w:left="640"/>
        <w:spacing w:after="0"/>
        <w:rPr>
          <w:sz w:val="20"/>
          <w:szCs w:val="20"/>
          <w:color w:val="auto"/>
        </w:rPr>
      </w:pPr>
      <w:r>
        <w:rPr>
          <w:rFonts w:ascii="Times New Roman" w:cs="Times New Roman" w:eastAsia="Times New Roman" w:hAnsi="Times New Roman"/>
          <w:sz w:val="20"/>
          <w:szCs w:val="20"/>
          <w:color w:val="auto"/>
        </w:rPr>
        <w:t xml:space="preserve">forth on </w:t>
      </w:r>
      <w:r>
        <w:rPr>
          <w:rFonts w:ascii="Times New Roman" w:cs="Times New Roman" w:eastAsia="Times New Roman" w:hAnsi="Times New Roman"/>
          <w:sz w:val="20"/>
          <w:szCs w:val="20"/>
          <w:u w:val="single" w:color="auto"/>
          <w:color w:val="auto"/>
        </w:rPr>
        <w:t>Schedule B-1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Individual Use Restricted List</w:t>
      </w:r>
      <w:r>
        <w:rPr>
          <w:rFonts w:ascii="Times New Roman" w:cs="Times New Roman" w:eastAsia="Times New Roman" w:hAnsi="Times New Roman"/>
          <w:sz w:val="20"/>
          <w:szCs w:val="20"/>
          <w:color w:val="auto"/>
        </w:rPr>
        <w:t>”) or any Person reasonably known to be Affiliates of such</w:t>
      </w:r>
    </w:p>
    <w:p>
      <w:pPr>
        <w:ind w:left="640"/>
        <w:spacing w:after="0" w:line="215" w:lineRule="auto"/>
        <w:rPr>
          <w:sz w:val="20"/>
          <w:szCs w:val="20"/>
          <w:color w:val="auto"/>
        </w:rPr>
      </w:pPr>
      <w:r>
        <w:rPr>
          <w:rFonts w:ascii="Times New Roman" w:cs="Times New Roman" w:eastAsia="Times New Roman" w:hAnsi="Times New Roman"/>
          <w:sz w:val="19"/>
          <w:szCs w:val="19"/>
          <w:color w:val="auto"/>
        </w:rPr>
        <w:t>Person (in each case, an “</w:t>
      </w:r>
      <w:r>
        <w:rPr>
          <w:rFonts w:ascii="Times New Roman" w:cs="Times New Roman" w:eastAsia="Times New Roman" w:hAnsi="Times New Roman"/>
          <w:sz w:val="19"/>
          <w:szCs w:val="19"/>
          <w:b w:val="1"/>
          <w:bCs w:val="1"/>
          <w:color w:val="auto"/>
        </w:rPr>
        <w:t>Individual Use Restricted Party</w:t>
      </w:r>
      <w:r>
        <w:rPr>
          <w:rFonts w:ascii="Times New Roman" w:cs="Times New Roman" w:eastAsia="Times New Roman" w:hAnsi="Times New Roman"/>
          <w:sz w:val="19"/>
          <w:szCs w:val="19"/>
          <w:color w:val="auto"/>
        </w:rPr>
        <w:t>”), (b) distribute Licensed Data for Enterprise Use, or distribute Derived Data for Forward Use, to any trading venue (including voice brokerage) that is owned or operated by any Person set</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forth on </w:t>
      </w:r>
      <w:r>
        <w:rPr>
          <w:rFonts w:ascii="Times New Roman" w:cs="Times New Roman" w:eastAsia="Times New Roman" w:hAnsi="Times New Roman"/>
          <w:sz w:val="20"/>
          <w:szCs w:val="20"/>
          <w:u w:val="single" w:color="auto"/>
          <w:color w:val="auto"/>
        </w:rPr>
        <w:t>Schedule B-2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Enterprise Use Restricted List</w:t>
      </w:r>
      <w:r>
        <w:rPr>
          <w:rFonts w:ascii="Times New Roman" w:cs="Times New Roman" w:eastAsia="Times New Roman" w:hAnsi="Times New Roman"/>
          <w:sz w:val="20"/>
          <w:szCs w:val="20"/>
          <w:color w:val="auto"/>
        </w:rPr>
        <w:t>” and, together with the Individual Use Restricted List, the</w:t>
      </w:r>
    </w:p>
    <w:p>
      <w:pPr>
        <w:ind w:left="640" w:right="2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Lists</w:t>
      </w:r>
      <w:r>
        <w:rPr>
          <w:rFonts w:ascii="Times New Roman" w:cs="Times New Roman" w:eastAsia="Times New Roman" w:hAnsi="Times New Roman"/>
          <w:sz w:val="20"/>
          <w:szCs w:val="20"/>
          <w:color w:val="auto"/>
        </w:rPr>
        <w:t>”) or any Person reasonably known to be Affiliates of such Person (in each case, an “</w:t>
      </w:r>
      <w:r>
        <w:rPr>
          <w:rFonts w:ascii="Times New Roman" w:cs="Times New Roman" w:eastAsia="Times New Roman" w:hAnsi="Times New Roman"/>
          <w:sz w:val="20"/>
          <w:szCs w:val="20"/>
          <w:b w:val="1"/>
          <w:bCs w:val="1"/>
          <w:color w:val="auto"/>
        </w:rPr>
        <w:t>Enterprise 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Restricted Party</w:t>
      </w:r>
      <w:r>
        <w:rPr>
          <w:rFonts w:ascii="Times New Roman" w:cs="Times New Roman" w:eastAsia="Times New Roman" w:hAnsi="Times New Roman"/>
          <w:sz w:val="20"/>
          <w:szCs w:val="20"/>
          <w:color w:val="auto"/>
        </w:rPr>
        <w:t>” and, together with the Individual Use Restricted Parties, the “</w:t>
      </w:r>
      <w:r>
        <w:rPr>
          <w:rFonts w:ascii="Times New Roman" w:cs="Times New Roman" w:eastAsia="Times New Roman" w:hAnsi="Times New Roman"/>
          <w:sz w:val="20"/>
          <w:szCs w:val="20"/>
          <w:b w:val="1"/>
          <w:bCs w:val="1"/>
          <w:color w:val="auto"/>
        </w:rPr>
        <w:t>Restricted Parties</w:t>
      </w:r>
      <w:r>
        <w:rPr>
          <w:rFonts w:ascii="Times New Roman" w:cs="Times New Roman" w:eastAsia="Times New Roman" w:hAnsi="Times New Roman"/>
          <w:sz w:val="20"/>
          <w:szCs w:val="20"/>
          <w:color w:val="auto"/>
        </w:rPr>
        <w:t>”); provided that</w:t>
      </w:r>
    </w:p>
    <w:p>
      <w:pPr>
        <w:ind w:left="640"/>
        <w:spacing w:after="0" w:line="211" w:lineRule="auto"/>
        <w:rPr>
          <w:sz w:val="20"/>
          <w:szCs w:val="20"/>
          <w:color w:val="auto"/>
        </w:rPr>
      </w:pPr>
      <w:r>
        <w:rPr>
          <w:rFonts w:ascii="Times New Roman" w:cs="Times New Roman" w:eastAsia="Times New Roman" w:hAnsi="Times New Roman"/>
          <w:sz w:val="20"/>
          <w:szCs w:val="20"/>
          <w:color w:val="auto"/>
        </w:rPr>
        <w:t>Affiliates of Subscriber shall not be Individual Use Restricted Parties or Enterprise Use Restricted Parties unless they are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specified on the relevant Restricted List. In the event that Tradeweb notifies Subscriber in writing of its reasonable belief that Licensed Data (or Derived Data, as applicable) has been distributed by Subscriber or its Affiliates to a Restricted Party to an</w:t>
      </w:r>
    </w:p>
    <w:p>
      <w:pPr>
        <w:ind w:left="640"/>
        <w:spacing w:after="0" w:line="211" w:lineRule="auto"/>
        <w:rPr>
          <w:sz w:val="20"/>
          <w:szCs w:val="20"/>
          <w:color w:val="auto"/>
        </w:rPr>
      </w:pPr>
      <w:r>
        <w:rPr>
          <w:rFonts w:ascii="Times New Roman" w:cs="Times New Roman" w:eastAsia="Times New Roman" w:hAnsi="Times New Roman"/>
          <w:sz w:val="20"/>
          <w:szCs w:val="20"/>
          <w:color w:val="auto"/>
        </w:rPr>
        <w:t>extent not permitted by this Section 2.8, Subscriber shall investigate such matter in cooperation with Tradeweb and if such</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distribution has been made to an extent not permitted by this Section 2.8, Subscriber shall discontinue such distribution as soon as reasonably practicable unless Tradeweb grants a waiver with respect thereto in accordance with this Section 2.8.</w:t>
      </w:r>
    </w:p>
    <w:p>
      <w:pPr>
        <w:ind w:left="640"/>
        <w:spacing w:after="0" w:line="211" w:lineRule="auto"/>
        <w:rPr>
          <w:sz w:val="20"/>
          <w:szCs w:val="20"/>
          <w:color w:val="auto"/>
        </w:rPr>
      </w:pPr>
      <w:r>
        <w:rPr>
          <w:rFonts w:ascii="Times New Roman" w:cs="Times New Roman" w:eastAsia="Times New Roman" w:hAnsi="Times New Roman"/>
          <w:sz w:val="20"/>
          <w:szCs w:val="20"/>
          <w:color w:val="auto"/>
        </w:rPr>
        <w:t>Notwithstanding the foregoing, (i) any Person (or business) that becomes an Affiliate of Subscriber after the Effective Date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(by law, by contract, or in connection with a merger, consolidation, or acquisition of all, or substantially all, of the relevant business, assets or interests thereof) shall automatically be added to the Restricted Lists, and (ii) Tradeweb may, from time to</w:t>
      </w:r>
    </w:p>
    <w:p>
      <w:pPr>
        <w:ind w:left="640"/>
        <w:spacing w:after="0" w:line="211" w:lineRule="auto"/>
        <w:rPr>
          <w:sz w:val="20"/>
          <w:szCs w:val="20"/>
          <w:color w:val="auto"/>
        </w:rPr>
      </w:pPr>
      <w:r>
        <w:rPr>
          <w:rFonts w:ascii="Times New Roman" w:cs="Times New Roman" w:eastAsia="Times New Roman" w:hAnsi="Times New Roman"/>
          <w:sz w:val="20"/>
          <w:szCs w:val="20"/>
          <w:color w:val="auto"/>
        </w:rPr>
        <w:t>time, update the Restricted Lists with the consent of Subscriber, such consent not to be unreasonably withheld or delayed.</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Tradeweb agrees to consider, on a case-by-case basis, any reasonable requests from Subscriber to waive or limit the application of one or both Restricted Lists, such limitation or waiver not to be unreasonably withheld; provided, however,</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that without limiting the generality of the foregoing, Tradeweb will not be deemed to be unreasonably withholding consent with respect thereto if Tradeweb reasonably believes that granting such limitation or waiver would create a material</w:t>
      </w:r>
    </w:p>
    <w:p>
      <w:pPr>
        <w:ind w:left="640"/>
        <w:spacing w:after="0" w:line="211" w:lineRule="auto"/>
        <w:rPr>
          <w:sz w:val="20"/>
          <w:szCs w:val="20"/>
          <w:color w:val="auto"/>
        </w:rPr>
      </w:pPr>
      <w:r>
        <w:rPr>
          <w:rFonts w:ascii="Times New Roman" w:cs="Times New Roman" w:eastAsia="Times New Roman" w:hAnsi="Times New Roman"/>
          <w:sz w:val="20"/>
          <w:szCs w:val="20"/>
          <w:color w:val="auto"/>
        </w:rPr>
        <w:t>competitive concern for Tradeweb or its subsidiaries. For the avoidance of doubt, nothing in this Section 2.8 shall restrict</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Subscriber or its Affiliates from engaging in any merger, acquisition, asset sale, disposition or any other type of business combination with any Person listed on a Restricted List or any of their respective Affiliates (or any such Person’s or its</w:t>
      </w:r>
    </w:p>
    <w:p>
      <w:pPr>
        <w:ind w:left="640"/>
        <w:spacing w:after="0" w:line="211" w:lineRule="auto"/>
        <w:rPr>
          <w:sz w:val="20"/>
          <w:szCs w:val="20"/>
          <w:color w:val="auto"/>
        </w:rPr>
      </w:pPr>
      <w:r>
        <w:rPr>
          <w:rFonts w:ascii="Times New Roman" w:cs="Times New Roman" w:eastAsia="Times New Roman" w:hAnsi="Times New Roman"/>
          <w:sz w:val="20"/>
          <w:szCs w:val="20"/>
          <w:color w:val="auto"/>
        </w:rPr>
        <w:t>Affiliates’ successors or assigns); provided, however, that the obligations in this Section 2.8 will continue to apply during</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and after any such activity. As used in this Section 2.8, “</w:t>
      </w:r>
      <w:r>
        <w:rPr>
          <w:rFonts w:ascii="Times New Roman" w:cs="Times New Roman" w:eastAsia="Times New Roman" w:hAnsi="Times New Roman"/>
          <w:sz w:val="20"/>
          <w:szCs w:val="20"/>
          <w:b w:val="1"/>
          <w:bCs w:val="1"/>
          <w:color w:val="auto"/>
        </w:rPr>
        <w:t>Individual Use</w:t>
      </w:r>
      <w:r>
        <w:rPr>
          <w:rFonts w:ascii="Times New Roman" w:cs="Times New Roman" w:eastAsia="Times New Roman" w:hAnsi="Times New Roman"/>
          <w:sz w:val="20"/>
          <w:szCs w:val="20"/>
          <w:color w:val="auto"/>
        </w:rPr>
        <w:t>” means, (x) with respect to Licensed Data covered by Data Schedule 1, the Purpose set forth in Data Use Case Annex 1 thereto, (y) with respect to Licensed Data covered by</w:t>
      </w:r>
    </w:p>
    <w:p>
      <w:pPr>
        <w:ind w:left="640"/>
        <w:spacing w:after="0" w:line="223" w:lineRule="auto"/>
        <w:rPr>
          <w:sz w:val="20"/>
          <w:szCs w:val="20"/>
          <w:color w:val="auto"/>
        </w:rPr>
      </w:pPr>
      <w:r>
        <w:rPr>
          <w:rFonts w:ascii="Times New Roman" w:cs="Times New Roman" w:eastAsia="Times New Roman" w:hAnsi="Times New Roman"/>
          <w:sz w:val="19"/>
          <w:szCs w:val="19"/>
          <w:color w:val="auto"/>
        </w:rPr>
        <w:t>Data Schedule 4, Purpose #1 set forth therein, and (z) with respect to future Licensed Data covered by a new Data Schedule,</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as set forth in such Data Schedule; “</w:t>
      </w:r>
      <w:r>
        <w:rPr>
          <w:rFonts w:ascii="Times New Roman" w:cs="Times New Roman" w:eastAsia="Times New Roman" w:hAnsi="Times New Roman"/>
          <w:sz w:val="20"/>
          <w:szCs w:val="20"/>
          <w:b w:val="1"/>
          <w:bCs w:val="1"/>
          <w:color w:val="auto"/>
        </w:rPr>
        <w:t>Enterprise Use</w:t>
      </w:r>
      <w:r>
        <w:rPr>
          <w:rFonts w:ascii="Times New Roman" w:cs="Times New Roman" w:eastAsia="Times New Roman" w:hAnsi="Times New Roman"/>
          <w:sz w:val="20"/>
          <w:szCs w:val="20"/>
          <w:color w:val="auto"/>
        </w:rPr>
        <w:t>” means, (x) with respect to Licensed Data covered by Data Schedule 1, the Purpose set forth in Data Use Case Annex 2 thereto, (y) with respect to Licensed Data covered by Data Schedule 4,</w:t>
      </w:r>
    </w:p>
    <w:p>
      <w:pPr>
        <w:ind w:left="640"/>
        <w:spacing w:after="0" w:line="211" w:lineRule="auto"/>
        <w:rPr>
          <w:sz w:val="20"/>
          <w:szCs w:val="20"/>
          <w:color w:val="auto"/>
        </w:rPr>
      </w:pPr>
      <w:r>
        <w:rPr>
          <w:rFonts w:ascii="Times New Roman" w:cs="Times New Roman" w:eastAsia="Times New Roman" w:hAnsi="Times New Roman"/>
          <w:sz w:val="20"/>
          <w:szCs w:val="20"/>
          <w:color w:val="auto"/>
        </w:rPr>
        <w:t>Purpose #2 set forth therein, and (z) with respect to future Licensed Data covered by a new Data Schedule, as set forth in</w:t>
      </w:r>
    </w:p>
    <w:p>
      <w:pPr>
        <w:spacing w:after="0" w:line="1"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such Data Schedule; “</w:t>
      </w:r>
      <w:r>
        <w:rPr>
          <w:rFonts w:ascii="Times New Roman" w:cs="Times New Roman" w:eastAsia="Times New Roman" w:hAnsi="Times New Roman"/>
          <w:sz w:val="20"/>
          <w:szCs w:val="20"/>
          <w:b w:val="1"/>
          <w:bCs w:val="1"/>
          <w:color w:val="auto"/>
        </w:rPr>
        <w:t>Forward Use</w:t>
      </w:r>
      <w:r>
        <w:rPr>
          <w:rFonts w:ascii="Times New Roman" w:cs="Times New Roman" w:eastAsia="Times New Roman" w:hAnsi="Times New Roman"/>
          <w:sz w:val="20"/>
          <w:szCs w:val="20"/>
          <w:color w:val="auto"/>
        </w:rPr>
        <w:t>” means any redistribution, by a Distribution Customer, of (x) Derived Data, or (y) derived data created using Derived Data.</w:t>
      </w:r>
    </w:p>
    <w:p>
      <w:pPr>
        <w:spacing w:after="0" w:line="15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2.9</w:t>
        <w:tab/>
        <w:t>Subscriber shall, at its own cost and expense, provide and maintain all computer or telecommunications equipment, operating</w:t>
      </w: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platforms, software, and connections (collectively, “</w:t>
      </w:r>
      <w:r>
        <w:rPr>
          <w:rFonts w:ascii="Times New Roman" w:cs="Times New Roman" w:eastAsia="Times New Roman" w:hAnsi="Times New Roman"/>
          <w:sz w:val="20"/>
          <w:szCs w:val="20"/>
          <w:b w:val="1"/>
          <w:bCs w:val="1"/>
          <w:color w:val="auto"/>
        </w:rPr>
        <w:t>Subscriber Infrastructure</w:t>
      </w:r>
      <w:r>
        <w:rPr>
          <w:rFonts w:ascii="Times New Roman" w:cs="Times New Roman" w:eastAsia="Times New Roman" w:hAnsi="Times New Roman"/>
          <w:sz w:val="20"/>
          <w:szCs w:val="20"/>
          <w:color w:val="auto"/>
        </w:rPr>
        <w:t>”) necessary to receive and use the Licensed Data and Data Services.</w:t>
      </w:r>
    </w:p>
    <w:p>
      <w:pPr>
        <w:spacing w:after="0" w:line="15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color w:val="auto"/>
        </w:rPr>
        <w:t>Tradeweb and Subscriber agree to create a joint steering committee, comprised of senior representative designated by</w:t>
      </w:r>
    </w:p>
    <w:p>
      <w:pPr>
        <w:ind w:left="640"/>
        <w:spacing w:after="0" w:line="204" w:lineRule="auto"/>
        <w:rPr>
          <w:sz w:val="20"/>
          <w:szCs w:val="20"/>
          <w:color w:val="auto"/>
        </w:rPr>
      </w:pPr>
      <w:r>
        <w:rPr>
          <w:rFonts w:ascii="Times New Roman" w:cs="Times New Roman" w:eastAsia="Times New Roman" w:hAnsi="Times New Roman"/>
          <w:sz w:val="20"/>
          <w:szCs w:val="20"/>
          <w:color w:val="auto"/>
        </w:rPr>
        <w:t>Subscriber and Tradeweb that will meet quarterly, on dates and times mutually agreed, to discuss matters relating to this Agreement, including but not limited to (i) the Restricted Lists, (ii) Usage Reporting, and (iii) Derived Data creation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394" w:right="339" w:bottom="1440" w:gutter="0" w:footer="0" w:header="0"/>
        </w:sectPr>
      </w:pPr>
    </w:p>
    <w:bookmarkStart w:id="159" w:name="page160"/>
    <w:bookmarkEnd w:id="159"/>
    <w:p>
      <w:pPr>
        <w:ind w:left="360" w:hanging="352"/>
        <w:spacing w:after="0"/>
        <w:tabs>
          <w:tab w:leader="none" w:pos="3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Licensed Data and Data Services; Suspension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3.1  To the extent necessary in its reasonable discretion, Tradeweb may change the format, content (but not fundamental nature), or manner of delivery of certain Licensed Data, or the manner in which certain Data Services are provided, and, to the extent</w:t>
      </w:r>
    </w:p>
    <w:p>
      <w:pPr>
        <w:ind w:left="1300"/>
        <w:spacing w:after="0" w:line="212" w:lineRule="auto"/>
        <w:rPr>
          <w:sz w:val="20"/>
          <w:szCs w:val="20"/>
          <w:color w:val="auto"/>
        </w:rPr>
      </w:pPr>
      <w:r>
        <w:rPr>
          <w:rFonts w:ascii="Times New Roman" w:cs="Times New Roman" w:eastAsia="Times New Roman" w:hAnsi="Times New Roman"/>
          <w:sz w:val="20"/>
          <w:szCs w:val="20"/>
          <w:color w:val="auto"/>
        </w:rPr>
        <w:t>that those changes would require Subscriber to make modifications to its mode of operation or to its Subscriber</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Infrastructure, Tradeweb shall provide at least 30 days’ advance written notice to Subscriber. If Subscriber reasonably determines in good faith that any such modifications would have a material adverse effect on Subscriber even after it were to</w:t>
      </w:r>
    </w:p>
    <w:p>
      <w:pPr>
        <w:ind w:left="1300"/>
        <w:spacing w:after="0" w:line="211" w:lineRule="auto"/>
        <w:rPr>
          <w:sz w:val="20"/>
          <w:szCs w:val="20"/>
          <w:color w:val="auto"/>
        </w:rPr>
      </w:pPr>
      <w:r>
        <w:rPr>
          <w:rFonts w:ascii="Times New Roman" w:cs="Times New Roman" w:eastAsia="Times New Roman" w:hAnsi="Times New Roman"/>
          <w:sz w:val="20"/>
          <w:szCs w:val="20"/>
          <w:color w:val="auto"/>
        </w:rPr>
        <w:t>take commercially reasonable efforts to mitigate, then Subscriber may notify Tradeweb of such effect. The Parties shall</w:t>
      </w:r>
    </w:p>
    <w:p>
      <w:pPr>
        <w:ind w:left="1300" w:right="20"/>
        <w:spacing w:after="0" w:line="215" w:lineRule="auto"/>
        <w:rPr>
          <w:sz w:val="20"/>
          <w:szCs w:val="20"/>
          <w:color w:val="auto"/>
        </w:rPr>
      </w:pPr>
      <w:r>
        <w:rPr>
          <w:rFonts w:ascii="Times New Roman" w:cs="Times New Roman" w:eastAsia="Times New Roman" w:hAnsi="Times New Roman"/>
          <w:sz w:val="19"/>
          <w:szCs w:val="19"/>
          <w:color w:val="auto"/>
        </w:rPr>
        <w:t>discuss in good faith such change, and if the Parties cannot come to a mutual agreement concerning such change within 30 days following Tradeweb’s receipt of such notice, or such extended period of time mutually agreed upon by the Parties, then</w:t>
      </w:r>
    </w:p>
    <w:p>
      <w:pPr>
        <w:ind w:left="1300"/>
        <w:spacing w:after="0" w:line="211" w:lineRule="auto"/>
        <w:rPr>
          <w:sz w:val="20"/>
          <w:szCs w:val="20"/>
          <w:color w:val="auto"/>
        </w:rPr>
      </w:pPr>
      <w:r>
        <w:rPr>
          <w:rFonts w:ascii="Times New Roman" w:cs="Times New Roman" w:eastAsia="Times New Roman" w:hAnsi="Times New Roman"/>
          <w:sz w:val="20"/>
          <w:szCs w:val="20"/>
          <w:color w:val="auto"/>
        </w:rPr>
        <w:t>Subscriber may immediately terminate this Agreement with respect to such relevant Licensed Data or Data Services (as</w:t>
      </w:r>
    </w:p>
    <w:p>
      <w:pPr>
        <w:ind w:left="1300"/>
        <w:spacing w:after="0" w:line="221" w:lineRule="auto"/>
        <w:rPr>
          <w:sz w:val="20"/>
          <w:szCs w:val="20"/>
          <w:color w:val="auto"/>
        </w:rPr>
      </w:pPr>
      <w:r>
        <w:rPr>
          <w:rFonts w:ascii="Times New Roman" w:cs="Times New Roman" w:eastAsia="Times New Roman" w:hAnsi="Times New Roman"/>
          <w:sz w:val="20"/>
          <w:szCs w:val="20"/>
          <w:color w:val="auto"/>
        </w:rPr>
        <w:t>applicable) by providing written notice to Tradeweb following the end of that discussion period and Subscriber shall receive a prorated refund of any prepaid Fees with respect to such relevant Licensed Data or Data Services.</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3.2</w:t>
        <w:tab/>
        <w:t>Tradeweb may also, in its reasonable discretion and upon notice to Subscriber, suspend transmission of all or any part of the</w:t>
      </w:r>
    </w:p>
    <w:p>
      <w:pPr>
        <w:ind w:left="1300"/>
        <w:spacing w:after="0" w:line="215" w:lineRule="auto"/>
        <w:rPr>
          <w:sz w:val="20"/>
          <w:szCs w:val="20"/>
          <w:color w:val="auto"/>
        </w:rPr>
      </w:pPr>
      <w:r>
        <w:rPr>
          <w:rFonts w:ascii="Times New Roman" w:cs="Times New Roman" w:eastAsia="Times New Roman" w:hAnsi="Times New Roman"/>
          <w:sz w:val="19"/>
          <w:szCs w:val="19"/>
          <w:color w:val="auto"/>
        </w:rPr>
        <w:t>Licensed Data or cease provision of the Data Services to Subscriber in the event (i) of any material breach of this Agreement by Subscriber which, if capable of cure, remains uncured for more than 30 days, and for so long as such breach remains</w:t>
      </w:r>
    </w:p>
    <w:p>
      <w:pPr>
        <w:ind w:left="1300"/>
        <w:spacing w:after="0" w:line="211" w:lineRule="auto"/>
        <w:rPr>
          <w:sz w:val="20"/>
          <w:szCs w:val="20"/>
          <w:color w:val="auto"/>
        </w:rPr>
      </w:pPr>
      <w:r>
        <w:rPr>
          <w:rFonts w:ascii="Times New Roman" w:cs="Times New Roman" w:eastAsia="Times New Roman" w:hAnsi="Times New Roman"/>
          <w:sz w:val="20"/>
          <w:szCs w:val="20"/>
          <w:color w:val="auto"/>
        </w:rPr>
        <w:t>uncured; (ii) of any failures, malfunctions, faults or errors with Subscriber’s connectivity to and technical capabilities with</w:t>
      </w:r>
    </w:p>
    <w:p>
      <w:pPr>
        <w:ind w:left="1300"/>
        <w:spacing w:after="0" w:line="215" w:lineRule="auto"/>
        <w:rPr>
          <w:sz w:val="20"/>
          <w:szCs w:val="20"/>
          <w:color w:val="auto"/>
        </w:rPr>
      </w:pPr>
      <w:r>
        <w:rPr>
          <w:rFonts w:ascii="Times New Roman" w:cs="Times New Roman" w:eastAsia="Times New Roman" w:hAnsi="Times New Roman"/>
          <w:sz w:val="19"/>
          <w:szCs w:val="19"/>
          <w:color w:val="auto"/>
        </w:rPr>
        <w:t>respect to the Licensed Data or Data Service, which have a material adverse effect on Tradeweb’s ability to perform its obligations hereunder; (iii) of security breaches of Subscriber’s systems or conduct by Subscriber or its Subscriber Users that</w:t>
      </w:r>
    </w:p>
    <w:p>
      <w:pPr>
        <w:ind w:left="1300"/>
        <w:spacing w:after="0" w:line="215" w:lineRule="auto"/>
        <w:rPr>
          <w:sz w:val="20"/>
          <w:szCs w:val="20"/>
          <w:color w:val="auto"/>
        </w:rPr>
      </w:pPr>
      <w:r>
        <w:rPr>
          <w:rFonts w:ascii="Times New Roman" w:cs="Times New Roman" w:eastAsia="Times New Roman" w:hAnsi="Times New Roman"/>
          <w:sz w:val="19"/>
          <w:szCs w:val="19"/>
          <w:color w:val="auto"/>
        </w:rPr>
        <w:t>could reasonably be considered to damage Tradeweb’s or the Administrator’s (if applicable) reputation; (iv) of the request or requirement by any Governmental Authority (as defined herein); (v) of the fundamental modification or termination of (a) an</w:t>
      </w:r>
    </w:p>
    <w:p>
      <w:pPr>
        <w:ind w:left="1300"/>
        <w:spacing w:after="0" w:line="211" w:lineRule="auto"/>
        <w:rPr>
          <w:sz w:val="20"/>
          <w:szCs w:val="20"/>
          <w:color w:val="auto"/>
        </w:rPr>
      </w:pPr>
      <w:r>
        <w:rPr>
          <w:rFonts w:ascii="Times New Roman" w:cs="Times New Roman" w:eastAsia="Times New Roman" w:hAnsi="Times New Roman"/>
          <w:sz w:val="20"/>
          <w:szCs w:val="20"/>
          <w:color w:val="auto"/>
        </w:rPr>
        <w:t>agreement between Tradeweb and a third party or (b) a third party’s materials or other input, in each case, upon which all or</w:t>
      </w:r>
    </w:p>
    <w:p>
      <w:pPr>
        <w:ind w:left="1300"/>
        <w:spacing w:after="0" w:line="215" w:lineRule="auto"/>
        <w:rPr>
          <w:sz w:val="20"/>
          <w:szCs w:val="20"/>
          <w:color w:val="auto"/>
        </w:rPr>
      </w:pPr>
      <w:r>
        <w:rPr>
          <w:rFonts w:ascii="Times New Roman" w:cs="Times New Roman" w:eastAsia="Times New Roman" w:hAnsi="Times New Roman"/>
          <w:sz w:val="19"/>
          <w:szCs w:val="19"/>
          <w:color w:val="auto"/>
        </w:rPr>
        <w:t>part of the Licensed Data or Data Services depend; or (vi) all or part of the Licensed Data or Data Services (x) become illegal or contrary to any Laws or Policies; or (y) become subject to a claim or potential claim that they infringe or violate the</w:t>
      </w:r>
    </w:p>
    <w:p>
      <w:pPr>
        <w:ind w:left="1300"/>
        <w:spacing w:after="0" w:line="222" w:lineRule="auto"/>
        <w:rPr>
          <w:sz w:val="20"/>
          <w:szCs w:val="20"/>
          <w:color w:val="auto"/>
        </w:rPr>
      </w:pPr>
      <w:r>
        <w:rPr>
          <w:rFonts w:ascii="Times New Roman" w:cs="Times New Roman" w:eastAsia="Times New Roman" w:hAnsi="Times New Roman"/>
          <w:sz w:val="19"/>
          <w:szCs w:val="19"/>
          <w:color w:val="auto"/>
        </w:rPr>
        <w:t>rights of any third party. Tradeweb shall use commercially reasonable efforts to reinstate transmission or provision as soon as</w:t>
      </w:r>
    </w:p>
    <w:p>
      <w:pPr>
        <w:ind w:left="1300"/>
        <w:spacing w:after="0" w:line="204" w:lineRule="auto"/>
        <w:rPr>
          <w:sz w:val="20"/>
          <w:szCs w:val="20"/>
          <w:color w:val="auto"/>
        </w:rPr>
      </w:pPr>
      <w:r>
        <w:rPr>
          <w:rFonts w:ascii="Times New Roman" w:cs="Times New Roman" w:eastAsia="Times New Roman" w:hAnsi="Times New Roman"/>
          <w:sz w:val="20"/>
          <w:szCs w:val="20"/>
          <w:color w:val="auto"/>
        </w:rPr>
        <w:t>reasonably practicable under the then-current circumstances. If any suspension of Licensed Data or termination of Data Services in accordance with this Section 3.2 continues for 30 days or more, Subscriber may terminate the applicable Data</w:t>
      </w:r>
    </w:p>
    <w:p>
      <w:pPr>
        <w:ind w:left="1300"/>
        <w:spacing w:after="0" w:line="211" w:lineRule="auto"/>
        <w:rPr>
          <w:sz w:val="20"/>
          <w:szCs w:val="20"/>
          <w:color w:val="auto"/>
        </w:rPr>
      </w:pPr>
      <w:r>
        <w:rPr>
          <w:rFonts w:ascii="Times New Roman" w:cs="Times New Roman" w:eastAsia="Times New Roman" w:hAnsi="Times New Roman"/>
          <w:sz w:val="20"/>
          <w:szCs w:val="20"/>
          <w:color w:val="auto"/>
        </w:rPr>
        <w:t>Schedule solely with respect to such Licensed Data or Data Services by providing Tradeweb with immediate notice of such</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termination. If such suspension was due to clauses (iv), (v) or (vi) and Subscriber terminates the applicable Data Schedule with respect to the applicable Licensed Data or Data Services in accordance with this Section 3.2, Subscriber shall receive 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prorated refund of any prepaid Fees with respect to such Licensed Data or Data Services.</w:t>
      </w:r>
    </w:p>
    <w:p>
      <w:pPr>
        <w:spacing w:after="0" w:line="163" w:lineRule="exact"/>
        <w:rPr>
          <w:sz w:val="20"/>
          <w:szCs w:val="20"/>
          <w:color w:val="auto"/>
        </w:rPr>
      </w:pPr>
    </w:p>
    <w:p>
      <w:pPr>
        <w:ind w:left="660" w:hanging="652"/>
        <w:spacing w:after="0" w:line="216" w:lineRule="auto"/>
        <w:tabs>
          <w:tab w:leader="none" w:pos="3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Law and Other Policies</w:t>
      </w:r>
      <w:r>
        <w:rPr>
          <w:rFonts w:ascii="Times New Roman" w:cs="Times New Roman" w:eastAsia="Times New Roman" w:hAnsi="Times New Roman"/>
          <w:sz w:val="20"/>
          <w:szCs w:val="20"/>
          <w:color w:val="auto"/>
        </w:rPr>
        <w:t>. Each Party shall comply with all applicable (i) laws, rules, regulations, rulings, judgments,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orders, and approvals of any federal, state, local, national, or supranational (a) government, (b) governmental, legislative, regulatory, military, police, or administrative authority, agency, department, or commission, or (c) court, tribunal, or judicial, or arbitral body of competent jurisdiction (each, a “</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(collectively,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and (ii) rules, guidance, policies, and practices of securities and futures exchanges and clearing houses, alternative trading facilities, and all other regulatory and self-regulatory organizations (collectively, “</w:t>
      </w:r>
      <w:r>
        <w:rPr>
          <w:rFonts w:ascii="Times New Roman" w:cs="Times New Roman" w:eastAsia="Times New Roman" w:hAnsi="Times New Roman"/>
          <w:sz w:val="20"/>
          <w:szCs w:val="20"/>
          <w:b w:val="1"/>
          <w:bCs w:val="1"/>
          <w:color w:val="auto"/>
        </w:rPr>
        <w:t>Policies</w:t>
      </w:r>
      <w:r>
        <w:rPr>
          <w:rFonts w:ascii="Times New Roman" w:cs="Times New Roman" w:eastAsia="Times New Roman" w:hAnsi="Times New Roman"/>
          <w:sz w:val="20"/>
          <w:szCs w:val="20"/>
          <w:color w:val="auto"/>
        </w:rPr>
        <w:t>”), in each case, with respect to Subscriber, its use, and with respect to Tradeweb, its provision, of the Licensed Data and Data Services.</w:t>
      </w:r>
    </w:p>
    <w:p>
      <w:pPr>
        <w:spacing w:after="0" w:line="144" w:lineRule="exact"/>
        <w:rPr>
          <w:rFonts w:ascii="Times New Roman" w:cs="Times New Roman" w:eastAsia="Times New Roman" w:hAnsi="Times New Roman"/>
          <w:sz w:val="20"/>
          <w:szCs w:val="20"/>
          <w:color w:val="auto"/>
        </w:rPr>
      </w:pPr>
    </w:p>
    <w:p>
      <w:pPr>
        <w:ind w:left="660" w:hanging="652"/>
        <w:spacing w:after="0" w:line="245" w:lineRule="auto"/>
        <w:tabs>
          <w:tab w:leader="none" w:pos="3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w:t>
      </w:r>
      <w:r>
        <w:rPr>
          <w:rFonts w:ascii="Times New Roman" w:cs="Times New Roman" w:eastAsia="Times New Roman" w:hAnsi="Times New Roman"/>
          <w:sz w:val="20"/>
          <w:szCs w:val="20"/>
          <w:color w:val="auto"/>
        </w:rPr>
        <w:t>. Tradeweb reserves all rights in and to the Licensed Data and the Data Services, including all intellectual property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proprietary rights, not expressly granted by Tradeweb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9"/>
          <w:szCs w:val="19"/>
          <w:color w:val="auto"/>
        </w:rPr>
        <w:t>to Subscriber under this Agreement. Under no circumstances will anything in this Agreement be construed as granting to Subscriber,</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by implication, estoppel, or otherwise, any rights in or to the Licensed Data or Data Services or other intellectual property or proprietary rights of Tradeweb other than the express license granted in Section 2.1. Subscriber acknowledges that, as between the</w:t>
      </w:r>
    </w:p>
    <w:p>
      <w:pPr>
        <w:ind w:left="660"/>
        <w:spacing w:after="0" w:line="223" w:lineRule="auto"/>
        <w:rPr>
          <w:sz w:val="20"/>
          <w:szCs w:val="20"/>
          <w:color w:val="auto"/>
        </w:rPr>
      </w:pPr>
      <w:r>
        <w:rPr>
          <w:rFonts w:ascii="Times New Roman" w:cs="Times New Roman" w:eastAsia="Times New Roman" w:hAnsi="Times New Roman"/>
          <w:sz w:val="19"/>
          <w:szCs w:val="19"/>
          <w:color w:val="auto"/>
        </w:rPr>
        <w:t>Parties, Tradeweb owns all rights, including all intellectual property rights, in and to the Licensed Data and Data Services. Subscriber</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further acknowledges that: (i) the Licensed Data is an original compilation protected by U.S. and international copyright and other intellectual property Laws, (ii) Tradeweb and its licensors have dedicated substantial resources to collect, manage, verify, select,</w:t>
      </w:r>
    </w:p>
    <w:p>
      <w:pPr>
        <w:ind w:left="660"/>
        <w:spacing w:after="0" w:line="223" w:lineRule="auto"/>
        <w:rPr>
          <w:sz w:val="20"/>
          <w:szCs w:val="20"/>
          <w:color w:val="auto"/>
        </w:rPr>
      </w:pPr>
      <w:r>
        <w:rPr>
          <w:rFonts w:ascii="Times New Roman" w:cs="Times New Roman" w:eastAsia="Times New Roman" w:hAnsi="Times New Roman"/>
          <w:sz w:val="19"/>
          <w:szCs w:val="19"/>
          <w:color w:val="auto"/>
        </w:rPr>
        <w:t>coordinate, develop, present, supply, and compile the Licensed Data, and (iii) the Licensed Data constitutes trade secrets of Tradeweb</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and its licensors. If Subscriber acquires any rights, including any intellectual property or other proprietary rights, in the Licensed Data or Data Services, then Subscriber hereby irrevocably assigns to Tradeweb all such rights for no additional consideration. In</w:t>
      </w:r>
    </w:p>
    <w:p>
      <w:pPr>
        <w:ind w:left="660"/>
        <w:spacing w:after="0" w:line="211" w:lineRule="auto"/>
        <w:rPr>
          <w:sz w:val="20"/>
          <w:szCs w:val="20"/>
          <w:color w:val="auto"/>
        </w:rPr>
      </w:pPr>
      <w:r>
        <w:rPr>
          <w:rFonts w:ascii="Times New Roman" w:cs="Times New Roman" w:eastAsia="Times New Roman" w:hAnsi="Times New Roman"/>
          <w:sz w:val="20"/>
          <w:szCs w:val="20"/>
          <w:color w:val="auto"/>
        </w:rPr>
        <w:t>addition, other than the express license granted in Section 2.1, Subscriber acknowledges that no rights in any intellectual property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licensed to Tradeweb under any agreement with a third party are granted hereunder by Tradeweb to Subscriber if the grant of such rights would violate the terms of such third party agreement; provided, that at Subscriber’s reasonable request, Tradeweb shall use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commercially reasonable efforts to obtain approval for a grant of such rights to Subscriber from the relevant third Person; and</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provided, further, that Subscriber shall be responsible for payment of any additional royalties or fees required to obtain the grant of such rights.</w:t>
      </w:r>
    </w:p>
    <w:p>
      <w:pPr>
        <w:spacing w:after="0" w:line="158" w:lineRule="exact"/>
        <w:rPr>
          <w:sz w:val="20"/>
          <w:szCs w:val="20"/>
          <w:color w:val="auto"/>
        </w:rPr>
      </w:pPr>
    </w:p>
    <w:p>
      <w:pPr>
        <w:ind w:left="660" w:hanging="652"/>
        <w:spacing w:after="0" w:line="223" w:lineRule="auto"/>
        <w:tabs>
          <w:tab w:leader="none" w:pos="35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Feedback</w:t>
      </w:r>
      <w:r>
        <w:rPr>
          <w:rFonts w:ascii="Times New Roman" w:cs="Times New Roman" w:eastAsia="Times New Roman" w:hAnsi="Times New Roman"/>
          <w:sz w:val="20"/>
          <w:szCs w:val="20"/>
          <w:color w:val="auto"/>
        </w:rPr>
        <w:t>. Subscriber hereby grants Tradeweb a perpetual, irrevocable, worldwide license to use any suggestion or idea for the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and Data Services that Subscriber communicates to Tradeweb (“</w:t>
      </w:r>
      <w:r>
        <w:rPr>
          <w:rFonts w:ascii="Times New Roman" w:cs="Times New Roman" w:eastAsia="Times New Roman" w:hAnsi="Times New Roman"/>
          <w:sz w:val="20"/>
          <w:szCs w:val="20"/>
          <w:b w:val="1"/>
          <w:bCs w:val="1"/>
          <w:color w:val="auto"/>
        </w:rPr>
        <w:t>Feedback</w:t>
      </w:r>
      <w:r>
        <w:rPr>
          <w:rFonts w:ascii="Times New Roman" w:cs="Times New Roman" w:eastAsia="Times New Roman" w:hAnsi="Times New Roman"/>
          <w:sz w:val="20"/>
          <w:szCs w:val="20"/>
          <w:color w:val="auto"/>
        </w:rPr>
        <w:t>”), without compensation, without any obligation to report on such use, and without any other restriction. The foregoing license includes, without limitation, the right to exploit Feedback in any and every way, as well as the right to grant sublicenses and otherwise disclose any Feedback to the public.</w:t>
      </w:r>
    </w:p>
    <w:p>
      <w:pPr>
        <w:spacing w:after="0" w:line="14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w:t>
        <w:tab/>
        <w:t>Subscriber shall pay Tradeweb (or its designee) the fees and other amounts as set forth in each Data Schedule, as may be</w:t>
      </w:r>
    </w:p>
    <w:p>
      <w:pPr>
        <w:ind w:left="1300"/>
        <w:spacing w:after="0" w:line="221" w:lineRule="auto"/>
        <w:rPr>
          <w:sz w:val="20"/>
          <w:szCs w:val="20"/>
          <w:color w:val="auto"/>
        </w:rPr>
      </w:pPr>
      <w:r>
        <w:rPr>
          <w:rFonts w:ascii="Times New Roman" w:cs="Times New Roman" w:eastAsia="Times New Roman" w:hAnsi="Times New Roman"/>
          <w:sz w:val="20"/>
          <w:szCs w:val="20"/>
          <w:color w:val="auto"/>
        </w:rPr>
        <w:t>updated from time to time in accordance therewith (the “</w:t>
      </w: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Except as otherwise set forth in a Data Schedule, all amounts in this Agreement are in U.S. dollars.</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7.2</w:t>
        <w:tab/>
        <w:t>The Fees shall be payable in the manner set forth in the applicable Data Schedule or, in the event a Data Schedule is silent,</w:t>
      </w:r>
    </w:p>
    <w:p>
      <w:pPr>
        <w:ind w:left="1300"/>
        <w:spacing w:after="0" w:line="204" w:lineRule="auto"/>
        <w:rPr>
          <w:sz w:val="20"/>
          <w:szCs w:val="20"/>
          <w:color w:val="auto"/>
        </w:rPr>
      </w:pPr>
      <w:r>
        <w:rPr>
          <w:rFonts w:ascii="Times New Roman" w:cs="Times New Roman" w:eastAsia="Times New Roman" w:hAnsi="Times New Roman"/>
          <w:sz w:val="20"/>
          <w:szCs w:val="20"/>
          <w:color w:val="auto"/>
        </w:rPr>
        <w:t>Subscriber shall pay the Fees within 30 days following its receipt of an invoice. Tradeweb may charge, and in such case Subscriber shall pay to Tradeweb, interest on the aggregate amount of any amounts that are not paid on or before the date</w:t>
      </w:r>
    </w:p>
    <w:p>
      <w:pPr>
        <w:ind w:left="1300"/>
        <w:spacing w:after="0" w:line="211" w:lineRule="auto"/>
        <w:rPr>
          <w:sz w:val="20"/>
          <w:szCs w:val="20"/>
          <w:color w:val="auto"/>
        </w:rPr>
      </w:pPr>
      <w:r>
        <w:rPr>
          <w:rFonts w:ascii="Times New Roman" w:cs="Times New Roman" w:eastAsia="Times New Roman" w:hAnsi="Times New Roman"/>
          <w:sz w:val="20"/>
          <w:szCs w:val="20"/>
          <w:color w:val="auto"/>
        </w:rPr>
        <w:t>those payments are due under this Agreement at a rate per annum equal to the lesser of (i) 1.5% per month and (ii) the</w:t>
      </w:r>
    </w:p>
    <w:p>
      <w:pPr>
        <w:spacing w:after="0" w:line="1"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highest rate permitted by applicable Law, calculated based on the number of calendar days those payments are due and outstanding until (and including) the date those payments are paid.</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7.3</w:t>
        <w:tab/>
        <w:t>To the extent Usage Reporting is required with respect to any Licensed Data pursuant to Section 8.1: (i) for any Fees are</w:t>
      </w:r>
    </w:p>
    <w:p>
      <w:pPr>
        <w:ind w:left="1300"/>
        <w:spacing w:after="0" w:line="204" w:lineRule="auto"/>
        <w:rPr>
          <w:sz w:val="20"/>
          <w:szCs w:val="20"/>
          <w:color w:val="auto"/>
        </w:rPr>
      </w:pPr>
      <w:r>
        <w:rPr>
          <w:rFonts w:ascii="Times New Roman" w:cs="Times New Roman" w:eastAsia="Times New Roman" w:hAnsi="Times New Roman"/>
          <w:sz w:val="20"/>
          <w:szCs w:val="20"/>
          <w:color w:val="auto"/>
        </w:rPr>
        <w:t>charged based on variable reported factors (e.g., a fee per number of end users or a revenue share), Tradeweb will invoice those Fees based on such Usage Reporting (including revising previous invoices as necessary), provided that doing so shall</w:t>
      </w:r>
    </w:p>
    <w:p>
      <w:pPr>
        <w:ind w:left="1300"/>
        <w:spacing w:after="0" w:line="223" w:lineRule="auto"/>
        <w:rPr>
          <w:sz w:val="20"/>
          <w:szCs w:val="20"/>
          <w:color w:val="auto"/>
        </w:rPr>
      </w:pPr>
      <w:r>
        <w:rPr>
          <w:rFonts w:ascii="Times New Roman" w:cs="Times New Roman" w:eastAsia="Times New Roman" w:hAnsi="Times New Roman"/>
          <w:sz w:val="19"/>
          <w:szCs w:val="19"/>
          <w:color w:val="auto"/>
        </w:rPr>
        <w:t>not limit Tradeweb’s rights under Section 8, (ii) if that Usage Reporting indicates that Subscriber exceeded its authorized use</w:t>
      </w:r>
    </w:p>
    <w:p>
      <w:pPr>
        <w:ind w:left="1300"/>
        <w:spacing w:after="0" w:line="215" w:lineRule="auto"/>
        <w:rPr>
          <w:sz w:val="20"/>
          <w:szCs w:val="20"/>
          <w:color w:val="auto"/>
        </w:rPr>
      </w:pPr>
      <w:r>
        <w:rPr>
          <w:rFonts w:ascii="Times New Roman" w:cs="Times New Roman" w:eastAsia="Times New Roman" w:hAnsi="Times New Roman"/>
          <w:sz w:val="19"/>
          <w:szCs w:val="19"/>
          <w:color w:val="auto"/>
        </w:rPr>
        <w:t>for that Licensed Data set out in the applicable Data Schedule (if any), then, in addition to any rights and remedies Tradeweb has under this Agreement and otherwise at Law and in equity, Tradeweb may revise the Fees owed by Subscriber for that</w:t>
      </w:r>
    </w:p>
    <w:p>
      <w:pPr>
        <w:ind w:left="1300"/>
        <w:spacing w:after="0" w:line="222" w:lineRule="auto"/>
        <w:rPr>
          <w:sz w:val="20"/>
          <w:szCs w:val="20"/>
          <w:color w:val="auto"/>
        </w:rPr>
      </w:pPr>
      <w:r>
        <w:rPr>
          <w:rFonts w:ascii="Times New Roman" w:cs="Times New Roman" w:eastAsia="Times New Roman" w:hAnsi="Times New Roman"/>
          <w:sz w:val="19"/>
          <w:szCs w:val="19"/>
          <w:color w:val="auto"/>
        </w:rPr>
        <w:t>Licensed Data taking into account (among other things) Tradeweb’s then-current price list, or (iii) if that Usage Reporting is</w:t>
      </w:r>
    </w:p>
    <w:p>
      <w:pPr>
        <w:ind w:left="1300"/>
        <w:spacing w:after="0" w:line="221" w:lineRule="auto"/>
        <w:rPr>
          <w:sz w:val="20"/>
          <w:szCs w:val="20"/>
          <w:color w:val="auto"/>
        </w:rPr>
      </w:pPr>
      <w:r>
        <w:rPr>
          <w:rFonts w:ascii="Times New Roman" w:cs="Times New Roman" w:eastAsia="Times New Roman" w:hAnsi="Times New Roman"/>
          <w:sz w:val="20"/>
          <w:szCs w:val="20"/>
          <w:color w:val="auto"/>
        </w:rPr>
        <w:t>not submitted for that Licensed Data when due, Tradeweb may estimate the Fees payable by Subscriber for that Licensed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161" w:name="page162"/>
    <w:bookmarkEnd w:id="161"/>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7.4</w:t>
        <w:tab/>
        <w:t>To the extent Usage Reporting is required with respect to any Licensed Data pursuant to Section 8.1 and Subscriber believes</w:t>
      </w:r>
    </w:p>
    <w:p>
      <w:pPr>
        <w:ind w:left="1300"/>
        <w:spacing w:after="0" w:line="215" w:lineRule="auto"/>
        <w:rPr>
          <w:sz w:val="20"/>
          <w:szCs w:val="20"/>
          <w:color w:val="auto"/>
        </w:rPr>
      </w:pPr>
      <w:r>
        <w:rPr>
          <w:rFonts w:ascii="Times New Roman" w:cs="Times New Roman" w:eastAsia="Times New Roman" w:hAnsi="Times New Roman"/>
          <w:sz w:val="19"/>
          <w:szCs w:val="19"/>
          <w:color w:val="auto"/>
        </w:rPr>
        <w:t>that it has overpaid Fees for that Licensed Data because of inaccurate Usage Reporting, then Subscriber may request a refund of such overpaid Fees. Upon any such request, Tradeweb may exercise its audit and inspection rights set forth in Sections 8.2</w:t>
      </w:r>
    </w:p>
    <w:p>
      <w:pPr>
        <w:ind w:left="1300"/>
        <w:spacing w:after="0" w:line="211" w:lineRule="auto"/>
        <w:rPr>
          <w:sz w:val="20"/>
          <w:szCs w:val="20"/>
          <w:color w:val="auto"/>
        </w:rPr>
      </w:pPr>
      <w:r>
        <w:rPr>
          <w:rFonts w:ascii="Times New Roman" w:cs="Times New Roman" w:eastAsia="Times New Roman" w:hAnsi="Times New Roman"/>
          <w:sz w:val="20"/>
          <w:szCs w:val="20"/>
          <w:color w:val="auto"/>
        </w:rPr>
        <w:t>to determine the accuracy of that Usage Reporting. Any request by Subscriber for repayment of overpaid Fees based on</w:t>
      </w:r>
    </w:p>
    <w:p>
      <w:pPr>
        <w:ind w:left="1300"/>
        <w:spacing w:after="0" w:line="204" w:lineRule="auto"/>
        <w:rPr>
          <w:sz w:val="20"/>
          <w:szCs w:val="20"/>
          <w:color w:val="auto"/>
        </w:rPr>
      </w:pPr>
      <w:r>
        <w:rPr>
          <w:rFonts w:ascii="Times New Roman" w:cs="Times New Roman" w:eastAsia="Times New Roman" w:hAnsi="Times New Roman"/>
          <w:sz w:val="20"/>
          <w:szCs w:val="20"/>
          <w:color w:val="auto"/>
        </w:rPr>
        <w:t>inaccurate Usage Reporting must be made within three months following the end of the time frame to which the inaccurate report relates, and Tradeweb has no obligation to consider any request made after this period. If following a request for</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refund made by Subscriber in accordance with this Section 7.4, Tradeweb determines that Subscriber overpaid Fees, Tradeweb shall issue a refund to Subscriber of such overpaid Fees.</w:t>
      </w:r>
    </w:p>
    <w:p>
      <w:pPr>
        <w:spacing w:after="0" w:line="149" w:lineRule="exact"/>
        <w:rPr>
          <w:sz w:val="20"/>
          <w:szCs w:val="20"/>
          <w:color w:val="auto"/>
        </w:rPr>
      </w:pPr>
    </w:p>
    <w:p>
      <w:pPr>
        <w:jc w:val="right"/>
        <w:ind w:left="660"/>
        <w:spacing w:after="0" w:line="222" w:lineRule="auto"/>
        <w:rPr>
          <w:sz w:val="20"/>
          <w:szCs w:val="20"/>
          <w:color w:val="auto"/>
        </w:rPr>
      </w:pPr>
      <w:r>
        <w:rPr>
          <w:rFonts w:ascii="Times New Roman" w:cs="Times New Roman" w:eastAsia="Times New Roman" w:hAnsi="Times New Roman"/>
          <w:sz w:val="20"/>
          <w:szCs w:val="20"/>
          <w:color w:val="auto"/>
        </w:rPr>
        <w:t>7.5   All amounts payable by Subscriber under this Agreement are exclusive of taxes, duties, tariffs, and similar assessments. As between the Parties, Subscriber is responsible for all sales, use, and excise taxes, and any other similar taxes, duties, tariffs,</w:t>
      </w:r>
    </w:p>
    <w:p>
      <w:pPr>
        <w:spacing w:after="0" w:line="2"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and charges of any kind imposed by any Governmental Authority on any amounts payable by Subscriber hereunder, other than any taxes imposed on Tradeweb’s income. Subscriber shall pay all such taxes assessed against it and, if such taxes are</w:t>
      </w:r>
    </w:p>
    <w:p>
      <w:pPr>
        <w:ind w:left="1300"/>
        <w:spacing w:after="0" w:line="211" w:lineRule="auto"/>
        <w:rPr>
          <w:sz w:val="20"/>
          <w:szCs w:val="20"/>
          <w:color w:val="auto"/>
        </w:rPr>
      </w:pPr>
      <w:r>
        <w:rPr>
          <w:rFonts w:ascii="Times New Roman" w:cs="Times New Roman" w:eastAsia="Times New Roman" w:hAnsi="Times New Roman"/>
          <w:sz w:val="20"/>
          <w:szCs w:val="20"/>
          <w:color w:val="auto"/>
        </w:rPr>
        <w:t>paid by Tradeweb, Subscriber shall promptly reimburse Tradeweb for any amounts paid by Tradeweb. The Parties shall</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cooperate with respect to any documentation required by any taxing authority or reasonably requested by a Party to secure a reduction in the rate of applicable taxes.</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7.6</w:t>
        <w:tab/>
        <w:t>To the extent that a set of Licensed Data is not licensed on an exclusive basis to Subscriber (as set forth in the relevant Data</w:t>
      </w:r>
    </w:p>
    <w:p>
      <w:pPr>
        <w:ind w:left="1300"/>
        <w:spacing w:after="0" w:line="204" w:lineRule="auto"/>
        <w:rPr>
          <w:sz w:val="20"/>
          <w:szCs w:val="20"/>
          <w:color w:val="auto"/>
        </w:rPr>
      </w:pPr>
      <w:r>
        <w:rPr>
          <w:rFonts w:ascii="Times New Roman" w:cs="Times New Roman" w:eastAsia="Times New Roman" w:hAnsi="Times New Roman"/>
          <w:sz w:val="20"/>
          <w:szCs w:val="20"/>
          <w:color w:val="auto"/>
        </w:rPr>
        <w:t>Schedule), Tradeweb may deliver to Subscriber the proposed list price therefor, as determined by Tradeweb in its sole discretion, for distribution (the “</w:t>
      </w:r>
      <w:r>
        <w:rPr>
          <w:rFonts w:ascii="Times New Roman" w:cs="Times New Roman" w:eastAsia="Times New Roman" w:hAnsi="Times New Roman"/>
          <w:sz w:val="20"/>
          <w:szCs w:val="20"/>
          <w:b w:val="1"/>
          <w:bCs w:val="1"/>
          <w:color w:val="auto"/>
        </w:rPr>
        <w:t>Tradeweb List Price</w:t>
      </w:r>
      <w:r>
        <w:rPr>
          <w:rFonts w:ascii="Times New Roman" w:cs="Times New Roman" w:eastAsia="Times New Roman" w:hAnsi="Times New Roman"/>
          <w:sz w:val="20"/>
          <w:szCs w:val="20"/>
          <w:color w:val="auto"/>
        </w:rPr>
        <w:t>”); provided that such Tradeweb List Price shall not exceed the price</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offered to any other subscriber or distributor for comparable market data and purposes. Notwithstanding the foregoing, to the extent distribution of Licensed Data is permitted pursuant to an applicable Data Schedule, subject to the remainder of this</w:t>
      </w:r>
    </w:p>
    <w:p>
      <w:pPr>
        <w:ind w:left="1300"/>
        <w:spacing w:after="0" w:line="222" w:lineRule="auto"/>
        <w:rPr>
          <w:sz w:val="20"/>
          <w:szCs w:val="20"/>
          <w:color w:val="auto"/>
        </w:rPr>
      </w:pPr>
      <w:r>
        <w:rPr>
          <w:rFonts w:ascii="Times New Roman" w:cs="Times New Roman" w:eastAsia="Times New Roman" w:hAnsi="Times New Roman"/>
          <w:sz w:val="19"/>
          <w:szCs w:val="19"/>
          <w:color w:val="auto"/>
        </w:rPr>
        <w:t>Section 7.6 Subscriber may distribute such Licensed Data to Distribution Customers at prices determined by Subscriber in its</w:t>
      </w:r>
    </w:p>
    <w:p>
      <w:pPr>
        <w:ind w:left="1300" w:right="20"/>
        <w:spacing w:after="0" w:line="215" w:lineRule="auto"/>
        <w:rPr>
          <w:sz w:val="20"/>
          <w:szCs w:val="20"/>
          <w:color w:val="auto"/>
        </w:rPr>
      </w:pPr>
      <w:r>
        <w:rPr>
          <w:rFonts w:ascii="Times New Roman" w:cs="Times New Roman" w:eastAsia="Times New Roman" w:hAnsi="Times New Roman"/>
          <w:sz w:val="19"/>
          <w:szCs w:val="19"/>
          <w:color w:val="auto"/>
        </w:rPr>
        <w:t>sole discretion (except to the extent standard pricing may be required by applicable Law or Policies). With respect to any applicable revenue share fee, Subscriber shall not, and shall cause any Approved Third Party Redistributor not to, license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applicable Licensed Data to Distribution Customers or such third party’s end users, as applicable, as a Loss Leader. “</w:t>
      </w:r>
      <w:r>
        <w:rPr>
          <w:rFonts w:ascii="Times New Roman" w:cs="Times New Roman" w:eastAsia="Times New Roman" w:hAnsi="Times New Roman"/>
          <w:sz w:val="20"/>
          <w:szCs w:val="20"/>
          <w:b w:val="1"/>
          <w:bCs w:val="1"/>
          <w:color w:val="auto"/>
        </w:rPr>
        <w:t>Loss</w:t>
      </w:r>
    </w:p>
    <w:p>
      <w:pPr>
        <w:ind w:left="1300"/>
        <w:spacing w:after="0" w:line="204" w:lineRule="auto"/>
        <w:rPr>
          <w:sz w:val="20"/>
          <w:szCs w:val="20"/>
          <w:color w:val="auto"/>
        </w:rPr>
      </w:pPr>
      <w:r>
        <w:rPr>
          <w:rFonts w:ascii="Times New Roman" w:cs="Times New Roman" w:eastAsia="Times New Roman" w:hAnsi="Times New Roman"/>
          <w:sz w:val="20"/>
          <w:szCs w:val="20"/>
          <w:b w:val="1"/>
          <w:bCs w:val="1"/>
          <w:color w:val="auto"/>
        </w:rPr>
        <w:t>Leader</w:t>
      </w:r>
      <w:r>
        <w:rPr>
          <w:rFonts w:ascii="Times New Roman" w:cs="Times New Roman" w:eastAsia="Times New Roman" w:hAnsi="Times New Roman"/>
          <w:sz w:val="20"/>
          <w:szCs w:val="20"/>
          <w:color w:val="auto"/>
        </w:rPr>
        <w:t>” shall mean to offer for sale, license or distribution at a disproportionate discount level compared to other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offered by Subscriber for the specific purpose of selling these other services to the same client or client Affiliate, or</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maintaining client’s or client Affiliates’ subscription to such other services. This does not cover the offer of discounts for the relevant service required in order to become or remain reasonably competitive as a provider of such service.</w:t>
      </w:r>
    </w:p>
    <w:p>
      <w:pPr>
        <w:spacing w:after="0" w:line="145"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Records; Usage Reporting; Right of Inspection</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Subscriber shall maintain complete, accurate, and up-to-date (i) records relating to its receipt, use, dissemination, and</w:t>
      </w:r>
    </w:p>
    <w:p>
      <w:pPr>
        <w:ind w:left="1300"/>
        <w:spacing w:after="0" w:line="204" w:lineRule="auto"/>
        <w:rPr>
          <w:sz w:val="20"/>
          <w:szCs w:val="20"/>
          <w:color w:val="auto"/>
        </w:rPr>
      </w:pPr>
      <w:r>
        <w:rPr>
          <w:rFonts w:ascii="Times New Roman" w:cs="Times New Roman" w:eastAsia="Times New Roman" w:hAnsi="Times New Roman"/>
          <w:sz w:val="20"/>
          <w:szCs w:val="20"/>
          <w:color w:val="auto"/>
        </w:rPr>
        <w:t>redistribution (as applicable) of the Licensed Data and Data Services, and (ii) to the extent applicable to a set of Licensed Data, accounting records in accordance with United States generally accepted accounting principles showing the basis for</w:t>
      </w:r>
    </w:p>
    <w:p>
      <w:pPr>
        <w:ind w:left="1300"/>
        <w:spacing w:after="0" w:line="211" w:lineRule="auto"/>
        <w:rPr>
          <w:sz w:val="20"/>
          <w:szCs w:val="20"/>
          <w:color w:val="auto"/>
        </w:rPr>
      </w:pPr>
      <w:r>
        <w:rPr>
          <w:rFonts w:ascii="Times New Roman" w:cs="Times New Roman" w:eastAsia="Times New Roman" w:hAnsi="Times New Roman"/>
          <w:sz w:val="20"/>
          <w:szCs w:val="20"/>
          <w:color w:val="auto"/>
        </w:rPr>
        <w:t>Fees (collectively, “</w:t>
      </w:r>
      <w:r>
        <w:rPr>
          <w:rFonts w:ascii="Times New Roman" w:cs="Times New Roman" w:eastAsia="Times New Roman" w:hAnsi="Times New Roman"/>
          <w:sz w:val="20"/>
          <w:szCs w:val="20"/>
          <w:b w:val="1"/>
          <w:bCs w:val="1"/>
          <w:color w:val="auto"/>
        </w:rPr>
        <w:t>Records</w:t>
      </w:r>
      <w:r>
        <w:rPr>
          <w:rFonts w:ascii="Times New Roman" w:cs="Times New Roman" w:eastAsia="Times New Roman" w:hAnsi="Times New Roman"/>
          <w:sz w:val="20"/>
          <w:szCs w:val="20"/>
          <w:color w:val="auto"/>
        </w:rPr>
        <w:t>”). To the extent required with respect to any Licensed Data pursuant to a Data Schedule (or as</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otherwise agreed to by the Parties), Subscriber shall submit to Tradeweb a report in respect of Subscriber’s receipt, use, dissemination, and redistribution (as applicable) of that Licensed Data in the form and manner set forth in such Data</w:t>
      </w:r>
    </w:p>
    <w:p>
      <w:pPr>
        <w:ind w:left="1300"/>
        <w:spacing w:after="0" w:line="211" w:lineRule="auto"/>
        <w:rPr>
          <w:sz w:val="20"/>
          <w:szCs w:val="20"/>
          <w:color w:val="auto"/>
        </w:rPr>
      </w:pPr>
      <w:r>
        <w:rPr>
          <w:rFonts w:ascii="Times New Roman" w:cs="Times New Roman" w:eastAsia="Times New Roman" w:hAnsi="Times New Roman"/>
          <w:sz w:val="20"/>
          <w:szCs w:val="20"/>
          <w:color w:val="auto"/>
        </w:rPr>
        <w:t>Schedule (“</w:t>
      </w:r>
      <w:r>
        <w:rPr>
          <w:rFonts w:ascii="Times New Roman" w:cs="Times New Roman" w:eastAsia="Times New Roman" w:hAnsi="Times New Roman"/>
          <w:sz w:val="20"/>
          <w:szCs w:val="20"/>
          <w:b w:val="1"/>
          <w:bCs w:val="1"/>
          <w:color w:val="auto"/>
        </w:rPr>
        <w:t>Usage Reporting</w:t>
      </w:r>
      <w:r>
        <w:rPr>
          <w:rFonts w:ascii="Times New Roman" w:cs="Times New Roman" w:eastAsia="Times New Roman" w:hAnsi="Times New Roman"/>
          <w:sz w:val="20"/>
          <w:szCs w:val="20"/>
          <w:color w:val="auto"/>
        </w:rPr>
        <w:t>”). Subscriber shall also promptly provide any additional documentation or information</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reasonably requested by Tradeweb to support Subscriber’s Usage Reporting and the calculation of any Fees that are charged based on variable reported factors (e.g., a fee per number of end users or a revenue share), and the Parties shall cooperate in</w:t>
      </w:r>
    </w:p>
    <w:p>
      <w:pPr>
        <w:ind w:left="1300"/>
        <w:spacing w:after="0"/>
        <w:rPr>
          <w:sz w:val="20"/>
          <w:szCs w:val="20"/>
          <w:color w:val="auto"/>
        </w:rPr>
      </w:pPr>
      <w:r>
        <w:rPr>
          <w:rFonts w:ascii="Times New Roman" w:cs="Times New Roman" w:eastAsia="Times New Roman" w:hAnsi="Times New Roman"/>
          <w:sz w:val="20"/>
          <w:szCs w:val="20"/>
          <w:color w:val="auto"/>
        </w:rPr>
        <w:t>good faith to resolve any disputes as to such Usage Reporting; provided that all additional documentation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4" w:right="339"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20"/>
          <w:szCs w:val="20"/>
          <w:color w:val="auto"/>
        </w:rPr>
        <w:t>provided by Subscriber (together with any agreed changes to the original reports made by Subscriber) shall also be considered “Usage Reporting” hereunder.</w:t>
      </w:r>
    </w:p>
    <w:p>
      <w:pPr>
        <w:spacing w:after="0" w:line="148" w:lineRule="exact"/>
        <w:rPr>
          <w:sz w:val="20"/>
          <w:szCs w:val="20"/>
          <w:color w:val="auto"/>
        </w:rPr>
      </w:pPr>
    </w:p>
    <w:p>
      <w:pPr>
        <w:jc w:val="right"/>
        <w:ind w:left="660"/>
        <w:spacing w:after="0" w:line="222" w:lineRule="auto"/>
        <w:rPr>
          <w:sz w:val="20"/>
          <w:szCs w:val="20"/>
          <w:color w:val="auto"/>
        </w:rPr>
      </w:pPr>
      <w:r>
        <w:rPr>
          <w:rFonts w:ascii="Times New Roman" w:cs="Times New Roman" w:eastAsia="Times New Roman" w:hAnsi="Times New Roman"/>
          <w:sz w:val="20"/>
          <w:szCs w:val="20"/>
          <w:color w:val="auto"/>
        </w:rPr>
        <w:t>8.2   With respect to each set of Licensed Data or any particular Data Service, at any time during the applicable License Period (or term of service) and the six-month period immediately thereafter (or such longer period as may be necessary for Tradeweb or</w:t>
      </w:r>
    </w:p>
    <w:p>
      <w:pPr>
        <w:spacing w:after="0" w:line="2"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an Administrator (if applicable) to comply with applicable Laws and Policies), Tradeweb, its agents, and auditors (including an Administrator, if applicable) (collectively, “</w:t>
      </w:r>
      <w:r>
        <w:rPr>
          <w:rFonts w:ascii="Times New Roman" w:cs="Times New Roman" w:eastAsia="Times New Roman" w:hAnsi="Times New Roman"/>
          <w:sz w:val="19"/>
          <w:szCs w:val="19"/>
          <w:b w:val="1"/>
          <w:bCs w:val="1"/>
          <w:color w:val="auto"/>
        </w:rPr>
        <w:t>Tradeweb Auditors</w:t>
      </w:r>
      <w:r>
        <w:rPr>
          <w:rFonts w:ascii="Times New Roman" w:cs="Times New Roman" w:eastAsia="Times New Roman" w:hAnsi="Times New Roman"/>
          <w:sz w:val="19"/>
          <w:szCs w:val="19"/>
          <w:color w:val="auto"/>
        </w:rPr>
        <w:t>”) may conduct audits and inspections of the applicable</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Records to confirm Subscriber’s compliance with the terms of this Agreement with respect to its use of the Licensed Data</w:t>
      </w:r>
    </w:p>
    <w:p>
      <w:pPr>
        <w:ind w:left="1300"/>
        <w:spacing w:after="0" w:line="204" w:lineRule="auto"/>
        <w:rPr>
          <w:sz w:val="20"/>
          <w:szCs w:val="20"/>
          <w:color w:val="auto"/>
        </w:rPr>
      </w:pPr>
      <w:r>
        <w:rPr>
          <w:rFonts w:ascii="Times New Roman" w:cs="Times New Roman" w:eastAsia="Times New Roman" w:hAnsi="Times New Roman"/>
          <w:sz w:val="20"/>
          <w:szCs w:val="20"/>
          <w:color w:val="auto"/>
        </w:rPr>
        <w:t>and Data Services, the accuracy of the Usage Reporting, and calculation of Fees (including as a result of disputes as to the Usage Reporting that are not resolved within 30 days of the initial Usage Reporting). Tradeweb Auditors will conduct these</w:t>
      </w:r>
    </w:p>
    <w:p>
      <w:pPr>
        <w:ind w:left="1300"/>
        <w:spacing w:after="0" w:line="211" w:lineRule="auto"/>
        <w:rPr>
          <w:sz w:val="20"/>
          <w:szCs w:val="20"/>
          <w:color w:val="auto"/>
        </w:rPr>
      </w:pPr>
      <w:r>
        <w:rPr>
          <w:rFonts w:ascii="Times New Roman" w:cs="Times New Roman" w:eastAsia="Times New Roman" w:hAnsi="Times New Roman"/>
          <w:sz w:val="20"/>
          <w:szCs w:val="20"/>
          <w:color w:val="auto"/>
        </w:rPr>
        <w:t>audits and inspections during regular business hours, and in a manner that does not interfere with Subscriber’s normal</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business operations. These audits and inspections may only occur once per every consecutive twelve-month period with respect to each set of Licensed Data or any particular Data Service, and on at least 90 days’ prior notice to Subscriber, except</w:t>
      </w:r>
    </w:p>
    <w:p>
      <w:pPr>
        <w:ind w:left="1300"/>
        <w:spacing w:after="0" w:line="211" w:lineRule="auto"/>
        <w:rPr>
          <w:sz w:val="20"/>
          <w:szCs w:val="20"/>
          <w:color w:val="auto"/>
        </w:rPr>
      </w:pPr>
      <w:r>
        <w:rPr>
          <w:rFonts w:ascii="Times New Roman" w:cs="Times New Roman" w:eastAsia="Times New Roman" w:hAnsi="Times New Roman"/>
          <w:sz w:val="20"/>
          <w:szCs w:val="20"/>
          <w:color w:val="auto"/>
        </w:rPr>
        <w:t>that Tradeweb may exercise its audit rights more frequently and with only 30 days’ prior notice if it reasonably believes</w:t>
      </w:r>
    </w:p>
    <w:p>
      <w:pPr>
        <w:ind w:left="1300"/>
        <w:spacing w:after="0" w:line="221" w:lineRule="auto"/>
        <w:rPr>
          <w:sz w:val="20"/>
          <w:szCs w:val="20"/>
          <w:color w:val="auto"/>
        </w:rPr>
      </w:pPr>
      <w:r>
        <w:rPr>
          <w:rFonts w:ascii="Times New Roman" w:cs="Times New Roman" w:eastAsia="Times New Roman" w:hAnsi="Times New Roman"/>
          <w:sz w:val="20"/>
          <w:szCs w:val="20"/>
          <w:color w:val="auto"/>
        </w:rPr>
        <w:t>Subscriber is in breach of this Agreement, or if such audit is being conducted pursuant to an official examination, request or requirement of a Governmental Authority or self-regulatory authority and specifically involves Subscriber.</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8.3</w:t>
        <w:tab/>
        <w:t>Subscriber shall cooperate with Tradeweb Auditors in connection with the audits and inspections contemplated in this Section</w:t>
      </w:r>
    </w:p>
    <w:p>
      <w:pPr>
        <w:ind w:left="1300"/>
        <w:spacing w:after="0" w:line="207" w:lineRule="auto"/>
        <w:rPr>
          <w:sz w:val="20"/>
          <w:szCs w:val="20"/>
          <w:color w:val="auto"/>
        </w:rPr>
      </w:pPr>
      <w:r>
        <w:rPr>
          <w:rFonts w:ascii="Times New Roman" w:cs="Times New Roman" w:eastAsia="Times New Roman" w:hAnsi="Times New Roman"/>
          <w:sz w:val="19"/>
          <w:szCs w:val="19"/>
          <w:color w:val="auto"/>
        </w:rPr>
        <w:t>8, including by providing, at a Tradeweb Auditor’s request and Tradeweb’s expense (except to the extent set forth in Section</w:t>
      </w:r>
    </w:p>
    <w:p>
      <w:pPr>
        <w:ind w:left="1300"/>
        <w:spacing w:after="0" w:line="211" w:lineRule="auto"/>
        <w:rPr>
          <w:sz w:val="20"/>
          <w:szCs w:val="20"/>
          <w:color w:val="auto"/>
        </w:rPr>
      </w:pPr>
      <w:r>
        <w:rPr>
          <w:rFonts w:ascii="Times New Roman" w:cs="Times New Roman" w:eastAsia="Times New Roman" w:hAnsi="Times New Roman"/>
          <w:sz w:val="20"/>
          <w:szCs w:val="20"/>
          <w:color w:val="auto"/>
        </w:rPr>
        <w:t>8.5, if applicable), (i) access to records and supporting documentation, and (ii) premises, office space, office furnishings,</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telephone and facsimile services, utilities, and office-related equipment and duplicating services. All access to Subscriber’s premises by Tradeweb Auditors is subject to Subscriber’s reasonable security and confidentiality policies and procedures. If</w:t>
      </w:r>
    </w:p>
    <w:p>
      <w:pPr>
        <w:jc w:val="right"/>
        <w:spacing w:after="0" w:line="211" w:lineRule="auto"/>
        <w:rPr>
          <w:sz w:val="20"/>
          <w:szCs w:val="20"/>
          <w:color w:val="auto"/>
        </w:rPr>
      </w:pPr>
      <w:r>
        <w:rPr>
          <w:rFonts w:ascii="Times New Roman" w:cs="Times New Roman" w:eastAsia="Times New Roman" w:hAnsi="Times New Roman"/>
          <w:sz w:val="20"/>
          <w:szCs w:val="20"/>
          <w:color w:val="auto"/>
        </w:rPr>
        <w:t>applicable, Subscriber shall ensure that Tradeweb Auditors can exercise audit rights under this Section 8 in respect of any</w:t>
      </w:r>
    </w:p>
    <w:p>
      <w:pPr>
        <w:spacing w:after="0" w:line="1"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sublicensees or end users of the Licensed Data or Data Services. Notwithstanding anything to the contrary, any audit or inspection, and the results thereof, shall be treated as Subscriber’s Confidential Information.</w:t>
      </w:r>
    </w:p>
    <w:p>
      <w:pPr>
        <w:spacing w:after="0" w:line="156"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color w:val="auto"/>
        </w:rPr>
        <w:t>If any audit or inspection conducted under Section 8.2 reveals an overpayment by Subscriber, Tradeweb shall issue a refund to</w:t>
      </w:r>
    </w:p>
    <w:p>
      <w:pPr>
        <w:ind w:left="1300"/>
        <w:spacing w:after="0" w:line="204" w:lineRule="auto"/>
        <w:rPr>
          <w:sz w:val="20"/>
          <w:szCs w:val="20"/>
          <w:color w:val="auto"/>
        </w:rPr>
      </w:pPr>
      <w:r>
        <w:rPr>
          <w:rFonts w:ascii="Times New Roman" w:cs="Times New Roman" w:eastAsia="Times New Roman" w:hAnsi="Times New Roman"/>
          <w:sz w:val="20"/>
          <w:szCs w:val="20"/>
          <w:color w:val="auto"/>
        </w:rPr>
        <w:t>Subscriber for the amount of such overpayment. If any audit or inspection conducted under Section 8.2 reveals material noncompliance with this Agreement (including usage of Licensed Data for an activity that is not a Purpose under a Data</w:t>
      </w:r>
    </w:p>
    <w:p>
      <w:pPr>
        <w:ind w:left="1300"/>
        <w:spacing w:after="0" w:line="223" w:lineRule="auto"/>
        <w:rPr>
          <w:sz w:val="20"/>
          <w:szCs w:val="20"/>
          <w:color w:val="auto"/>
        </w:rPr>
      </w:pPr>
      <w:r>
        <w:rPr>
          <w:rFonts w:ascii="Times New Roman" w:cs="Times New Roman" w:eastAsia="Times New Roman" w:hAnsi="Times New Roman"/>
          <w:sz w:val="19"/>
          <w:szCs w:val="19"/>
          <w:color w:val="auto"/>
        </w:rPr>
        <w:t>Schedule) and/or underpayment of Fees, then Subscriber shall promptly pay Tradeweb the amount of any underpayment (i.e.,</w:t>
      </w:r>
    </w:p>
    <w:p>
      <w:pPr>
        <w:ind w:left="1300" w:right="20"/>
        <w:spacing w:after="0" w:line="204" w:lineRule="auto"/>
        <w:rPr>
          <w:sz w:val="20"/>
          <w:szCs w:val="20"/>
          <w:color w:val="auto"/>
        </w:rPr>
      </w:pPr>
      <w:r>
        <w:rPr>
          <w:rFonts w:ascii="Times New Roman" w:cs="Times New Roman" w:eastAsia="Times New Roman" w:hAnsi="Times New Roman"/>
          <w:sz w:val="20"/>
          <w:szCs w:val="20"/>
          <w:color w:val="auto"/>
        </w:rPr>
        <w:t>the revenue Tradeweb would have generated absent Subscriber’s noncompliance as well as any interest owed in accordance with Section 7.2) and Subscriber shall cease any such noncompliance unless the Parties otherwise agree to amend this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Agreement or a Data Schedule to permit such activities.</w:t>
      </w:r>
    </w:p>
    <w:p>
      <w:pPr>
        <w:spacing w:after="0" w:line="167"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8.5  If any audit or inspection reveals an underpayment of 5% or more or that Subscriber is not in material compliance with respect to any set of Licensed Data or any particular Data Services, then Subscriber shall reimburse Tradeweb for its reasonable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costs and expenses in connection with conducting such audit or inspection.</w:t>
      </w:r>
    </w:p>
    <w:p>
      <w:pPr>
        <w:spacing w:after="0" w:line="163"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 Disclaimer</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160" w:hanging="647"/>
        <w:spacing w:after="0" w:line="230" w:lineRule="auto"/>
        <w:tabs>
          <w:tab w:leader="none" w:pos="1140" w:val="left"/>
        </w:tabs>
        <w:rPr>
          <w:sz w:val="20"/>
          <w:szCs w:val="20"/>
          <w:color w:val="auto"/>
        </w:rPr>
      </w:pPr>
      <w:r>
        <w:rPr>
          <w:rFonts w:ascii="Times New Roman" w:cs="Times New Roman" w:eastAsia="Times New Roman" w:hAnsi="Times New Roman"/>
          <w:sz w:val="20"/>
          <w:szCs w:val="20"/>
          <w:color w:val="auto"/>
        </w:rPr>
        <w:t>9.1</w:t>
        <w:tab/>
        <w:t>Each Party represents and warrants that (i) it is duly organized and in good standing under the Laws of the jurisdiction of its organization, and (ii) it has all requisite corporate authority to execute, deliver, and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63" w:name="page164"/>
    <w:bookmarkEnd w:id="163"/>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EXCEPT AS SET FORTH IN SECTION 9.1, OR IN A DATA SCHEDULE, THE LICENSED DATA AND DATA SERVICES</w:t>
      </w:r>
    </w:p>
    <w:p>
      <w:pPr>
        <w:ind w:left="1300"/>
        <w:spacing w:after="0" w:line="204" w:lineRule="auto"/>
        <w:rPr>
          <w:sz w:val="20"/>
          <w:szCs w:val="20"/>
          <w:color w:val="auto"/>
        </w:rPr>
      </w:pPr>
      <w:r>
        <w:rPr>
          <w:rFonts w:ascii="Times New Roman" w:cs="Times New Roman" w:eastAsia="Times New Roman" w:hAnsi="Times New Roman"/>
          <w:sz w:val="20"/>
          <w:szCs w:val="20"/>
          <w:color w:val="auto"/>
        </w:rPr>
        <w:t>ARE PROVIDED “AS IS,” AND TRADEWEB, ITS AFFILIATES, AND ITS AND THEIR LICENSORS, AND ALL APPLICABLE ADMINISTRATORS, HEREBY DISCLAIM ALL REPRESENTATIONS AND WARRANTIES WITH</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RESPECT TO THE LICENSED DATA AND THE DATA SERVICES, INCLUDING THE TRANSMISSION AND</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TIMELINESS THEREOF, WHETHER EXPRESS, IMPLIED, STATUTORY, OR OTHERWISE. TRADEWEB, ITS AFFILIATES, AND ITS AND THEIR LICENSORS, AND ALL APPLICABLE ADMINISTRATORS, SPECIFICALLY</w:t>
      </w:r>
    </w:p>
    <w:p>
      <w:pPr>
        <w:ind w:left="1300"/>
        <w:spacing w:after="0" w:line="211" w:lineRule="auto"/>
        <w:rPr>
          <w:sz w:val="20"/>
          <w:szCs w:val="20"/>
          <w:color w:val="auto"/>
        </w:rPr>
      </w:pPr>
      <w:r>
        <w:rPr>
          <w:rFonts w:ascii="Times New Roman" w:cs="Times New Roman" w:eastAsia="Times New Roman" w:hAnsi="Times New Roman"/>
          <w:sz w:val="20"/>
          <w:szCs w:val="20"/>
          <w:color w:val="auto"/>
        </w:rPr>
        <w:t>DISCLAIM ALL IMPLIED WARRANTIES OF MERCHANTABILITY, FITNESS FOR A PARTICULAR PURPOSE,</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TITLE, AND ALL WARRANTIES ARISING FROM COURSE OF DEALING, USAGE, OR TRADE PRACTICE. TRADEWEB, ITS AFFILIATES, ITS AND THEIR LICENSORS, AND ALL APPLICABLE ADMINISTRATORS, MAKE</w:t>
      </w:r>
    </w:p>
    <w:p>
      <w:pPr>
        <w:ind w:left="1300"/>
        <w:spacing w:after="0" w:line="211" w:lineRule="auto"/>
        <w:rPr>
          <w:sz w:val="20"/>
          <w:szCs w:val="20"/>
          <w:color w:val="auto"/>
        </w:rPr>
      </w:pPr>
      <w:r>
        <w:rPr>
          <w:rFonts w:ascii="Times New Roman" w:cs="Times New Roman" w:eastAsia="Times New Roman" w:hAnsi="Times New Roman"/>
          <w:sz w:val="20"/>
          <w:szCs w:val="20"/>
          <w:color w:val="auto"/>
        </w:rPr>
        <w:t>NO WARRANTY OF ANY KIND THAT THE LICENSED DATA AND DATA SERVICES, OR ANY PRODUCTS OR</w:t>
      </w:r>
    </w:p>
    <w:p>
      <w:pPr>
        <w:ind w:left="1300"/>
        <w:spacing w:after="0" w:line="204" w:lineRule="auto"/>
        <w:rPr>
          <w:sz w:val="20"/>
          <w:szCs w:val="20"/>
          <w:color w:val="auto"/>
        </w:rPr>
      </w:pPr>
      <w:r>
        <w:rPr>
          <w:rFonts w:ascii="Times New Roman" w:cs="Times New Roman" w:eastAsia="Times New Roman" w:hAnsi="Times New Roman"/>
          <w:sz w:val="20"/>
          <w:szCs w:val="20"/>
          <w:color w:val="auto"/>
        </w:rPr>
        <w:t>RESULTS OF USE OF THE LICENSED DATA AND DATA SERVICES, WILL MEET SUBSCRIBER’S OR ANY OTHER PERSON’S REQUIREMENTS OR BE ACCURATE, COMPLETE, FREE OF HARMFUL CODE, OR ERROR</w:t>
      </w:r>
    </w:p>
    <w:p>
      <w:pPr>
        <w:ind w:left="1300"/>
        <w:spacing w:after="0" w:line="211" w:lineRule="auto"/>
        <w:rPr>
          <w:sz w:val="20"/>
          <w:szCs w:val="20"/>
          <w:color w:val="auto"/>
        </w:rPr>
      </w:pPr>
      <w:r>
        <w:rPr>
          <w:rFonts w:ascii="Times New Roman" w:cs="Times New Roman" w:eastAsia="Times New Roman" w:hAnsi="Times New Roman"/>
          <w:sz w:val="20"/>
          <w:szCs w:val="20"/>
          <w:color w:val="auto"/>
        </w:rPr>
        <w:t>FREE. THE LICENSED DATA AND DATA SERVICES ARE PROVIDED FOR INFORMATION PURPOSES ONLY</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AND DO NOT CONSTITUTE, AND SHALL NOT BE CONSTRUED AS, FINANCIAL, LEGAL, ACCOUNTING, TAX, OR INVESTMENT ADVICE, OR A RECOMMENDATION TO BUY, SELL, OR OTHERWISE TRANSACT IN ANY</w:t>
      </w:r>
    </w:p>
    <w:p>
      <w:pPr>
        <w:ind w:left="1300"/>
        <w:spacing w:after="0" w:line="211" w:lineRule="auto"/>
        <w:rPr>
          <w:sz w:val="20"/>
          <w:szCs w:val="20"/>
          <w:color w:val="auto"/>
        </w:rPr>
      </w:pPr>
      <w:r>
        <w:rPr>
          <w:rFonts w:ascii="Times New Roman" w:cs="Times New Roman" w:eastAsia="Times New Roman" w:hAnsi="Times New Roman"/>
          <w:sz w:val="20"/>
          <w:szCs w:val="20"/>
          <w:color w:val="auto"/>
        </w:rPr>
        <w:t>INVESTMENT  OR  ENTER  INTO  ANY  TRANSACTION.  TRADEWEB,  ITS  AFFILIATES,  ITS  AND  THEIR</w:t>
      </w:r>
    </w:p>
    <w:p>
      <w:pPr>
        <w:ind w:left="1300"/>
        <w:spacing w:after="0" w:line="204" w:lineRule="auto"/>
        <w:rPr>
          <w:sz w:val="20"/>
          <w:szCs w:val="20"/>
          <w:color w:val="auto"/>
        </w:rPr>
      </w:pPr>
      <w:r>
        <w:rPr>
          <w:rFonts w:ascii="Times New Roman" w:cs="Times New Roman" w:eastAsia="Times New Roman" w:hAnsi="Times New Roman"/>
          <w:sz w:val="20"/>
          <w:szCs w:val="20"/>
          <w:color w:val="auto"/>
        </w:rPr>
        <w:t>LICENSORS, AND ALL APPLICABLE ADMINISTRATORS, DO NOT TAKE ACCOUNT OF ANY INVESTOR’S INVESTMENT OBJECTIVES, PARTICULAR NEEDS, OR FINANCIAL SITUATION, AND SUBSCRIBER SHALL</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MAKE ITS OWN INVESTMENT DECISIONS WITH RESPECT TO ITS USE OF LICENSED DATA AND DATA SERVICES.</w:t>
      </w:r>
    </w:p>
    <w:p>
      <w:pPr>
        <w:spacing w:after="0" w:line="158" w:lineRule="exact"/>
        <w:rPr>
          <w:sz w:val="20"/>
          <w:szCs w:val="20"/>
          <w:color w:val="auto"/>
        </w:rPr>
      </w:pPr>
    </w:p>
    <w:p>
      <w:pPr>
        <w:jc w:val="both"/>
        <w:ind w:left="660" w:hanging="652"/>
        <w:spacing w:after="0" w:line="210" w:lineRule="auto"/>
        <w:tabs>
          <w:tab w:leader="none" w:pos="74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 of Liability</w:t>
      </w:r>
      <w:r>
        <w:rPr>
          <w:rFonts w:ascii="Times New Roman" w:cs="Times New Roman" w:eastAsia="Times New Roman" w:hAnsi="Times New Roman"/>
          <w:sz w:val="20"/>
          <w:szCs w:val="20"/>
          <w:color w:val="auto"/>
        </w:rPr>
        <w:t>. TO THE EXTENT PERMITTED BY LAW, EXCEPT WITH RESPECT TO EACH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OBLIGATIONS SET FORTH IN SECTION 11 (AS APPLICABLE), TO THE EXTENT CAUSED BY A PARTY’S WILLFUL MISCONDUCT OR GROSS NEGLIGENCE, OR TO THE EXTENT CAUSED BY A PARTY’S DISCLOSURE OF CONFIDENTIAL INFORMATION IN VIOLATION OF SECTION 13, (I) THE TOTAL AGGREGATE LIABILITY OF EITHER PARTY, ITS AFFILIATES, ITS AND THEIR LICENSORS, AND ALL APPLICABLE ADMINISTRATORS UNDER ANY EQUITABLE OR LEGAL THEORY, INCLUDING BREACH OF CONTRACT, TORT (INCLUDING NEGLIGENCE), STRICT LIABILITY, OR OTHERWISE, WILL NOT EXCEED THE TOTAL FEES PAID TO TRADEWEB BY SUBSCRIBER UNDER THE APPLICABLE DATA SCHEDULE(S) DURING THE 12 MONTHS PRECEDING THE FIRST EVENT GIVING RISE TO THE CLAIM , AND (II) NEITHER PARTY, ANY OF ITS AFFILIATES, ITS OR THEIR LICENSORS, NOR ANY ADMINISTRATORS, WILL BE LIABLE TO THE OTHER PARTY OR TO ANY OTHER PERSON FOR ANY INDIRECT, INCIDENTAL, SPECIAL, CONSEQUENTIAL, PUNITIVE, OR SIMILAR LOSSES, DAMAGES, OR EXPENSES WHATSOEVER OR HOWSOEVER OCCURRING, WHICH MIGHT ARISE OUT OF OR IN CONNECTION WITH THIS AGREEMENT OR SUBSCRIBER’S USE OF THE LICENSED DATA AND DATA SERVICES, INCLUDING LOSSES OR DAMAGES TO PROFITS (WHETHER CHARACTERIZED AS DIRECT OR CONSEQUENTIAL DAMAGES), SALES, TURNOVER, REPUTATION, GOODWILL, CUSTOMERS, DATA, INFORMATION, SOFTWARE, CONTRACTS, ANTICIPATED SAVINGS, WASTED EXPENDITURE, OR BUSINESS OPPORTUNITIES. THE ABOVE LIMITATIONS APPLY EVEN IF A PARTY’S REMEDIES UNDER THIS AGREEMENT FAIL OF THEIR ESSENTIAL PURPOSE OR SUCH DAMAGES OR LOSSES WERE FORESEEABLE.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4" w:right="339" w:bottom="1440" w:gutter="0" w:footer="0" w:header="0"/>
        </w:sectPr>
      </w:pPr>
    </w:p>
    <w:bookmarkStart w:id="164" w:name="page165"/>
    <w:bookmarkEnd w:id="164"/>
    <w:p>
      <w:pPr>
        <w:ind w:left="440" w:hanging="432"/>
        <w:spacing w:after="0"/>
        <w:tabs>
          <w:tab w:leader="none" w:pos="4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right"/>
        <w:ind w:left="660"/>
        <w:spacing w:after="0" w:line="217"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color w:val="auto"/>
        </w:rPr>
        <w:t>Subscriber Indemnification</w:t>
      </w:r>
      <w:r>
        <w:rPr>
          <w:rFonts w:ascii="Times New Roman" w:cs="Times New Roman" w:eastAsia="Times New Roman" w:hAnsi="Times New Roman"/>
          <w:sz w:val="20"/>
          <w:szCs w:val="20"/>
          <w:color w:val="auto"/>
        </w:rPr>
        <w:t>. Subscriber shall indemnify, defend, and hold harmless Tradeweb, its Affiliates, its and their licensors, all applicable Administrators, and their respective officers, directors, employees, and other personnel (collectively,</w:t>
      </w:r>
    </w:p>
    <w:p>
      <w:pPr>
        <w:ind w:left="1300"/>
        <w:spacing w:after="0" w:line="224"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Tradeweb Indemnified Parties</w:t>
      </w:r>
      <w:r>
        <w:rPr>
          <w:rFonts w:ascii="Times New Roman" w:cs="Times New Roman" w:eastAsia="Times New Roman" w:hAnsi="Times New Roman"/>
          <w:sz w:val="19"/>
          <w:szCs w:val="19"/>
          <w:color w:val="auto"/>
        </w:rPr>
        <w:t>”) from and against any and all damages, expenses (including reasonable attorneys’ fees</w:t>
      </w:r>
    </w:p>
    <w:p>
      <w:pPr>
        <w:ind w:left="1300"/>
        <w:spacing w:after="0" w:line="215" w:lineRule="auto"/>
        <w:rPr>
          <w:sz w:val="20"/>
          <w:szCs w:val="20"/>
          <w:color w:val="auto"/>
        </w:rPr>
      </w:pPr>
      <w:r>
        <w:rPr>
          <w:rFonts w:ascii="Times New Roman" w:cs="Times New Roman" w:eastAsia="Times New Roman" w:hAnsi="Times New Roman"/>
          <w:sz w:val="19"/>
          <w:szCs w:val="19"/>
          <w:color w:val="auto"/>
        </w:rPr>
        <w:t>and court costs), losses, liabilities, obligations, claims, demands, suits, actions, proceedings, and causes of action (collectively,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arising out of or relating to any third-party claim (including, for the avoidance of doubt, a claim by a</w:t>
      </w:r>
    </w:p>
    <w:p>
      <w:pPr>
        <w:ind w:left="1300"/>
        <w:spacing w:after="0" w:line="211" w:lineRule="auto"/>
        <w:rPr>
          <w:sz w:val="20"/>
          <w:szCs w:val="20"/>
          <w:color w:val="auto"/>
        </w:rPr>
      </w:pPr>
      <w:r>
        <w:rPr>
          <w:rFonts w:ascii="Times New Roman" w:cs="Times New Roman" w:eastAsia="Times New Roman" w:hAnsi="Times New Roman"/>
          <w:sz w:val="20"/>
          <w:szCs w:val="20"/>
          <w:color w:val="auto"/>
        </w:rPr>
        <w:t>Distribution Customer, Approved Third Party Redistributor or any Approved Third Party Redistributor’s end user) arising</w:t>
      </w:r>
    </w:p>
    <w:p>
      <w:pPr>
        <w:ind w:left="1300"/>
        <w:spacing w:after="0" w:line="215" w:lineRule="auto"/>
        <w:rPr>
          <w:sz w:val="20"/>
          <w:szCs w:val="20"/>
          <w:color w:val="auto"/>
        </w:rPr>
      </w:pPr>
      <w:r>
        <w:rPr>
          <w:rFonts w:ascii="Times New Roman" w:cs="Times New Roman" w:eastAsia="Times New Roman" w:hAnsi="Times New Roman"/>
          <w:sz w:val="19"/>
          <w:szCs w:val="19"/>
          <w:color w:val="auto"/>
        </w:rPr>
        <w:t>out of or relating to (i) Subscriber’s or its Subscriber Users’ use of, access to, or dissemination or distribution of the Licensed Data and Data Services in violation of this Agreement, or other breach of this Agreement (subject to Tradeweb’s obligations</w:t>
      </w:r>
    </w:p>
    <w:p>
      <w:pPr>
        <w:ind w:left="1300"/>
        <w:spacing w:after="0" w:line="222" w:lineRule="auto"/>
        <w:rPr>
          <w:sz w:val="20"/>
          <w:szCs w:val="20"/>
          <w:color w:val="auto"/>
        </w:rPr>
      </w:pPr>
      <w:r>
        <w:rPr>
          <w:rFonts w:ascii="Times New Roman" w:cs="Times New Roman" w:eastAsia="Times New Roman" w:hAnsi="Times New Roman"/>
          <w:sz w:val="19"/>
          <w:szCs w:val="19"/>
          <w:color w:val="auto"/>
        </w:rPr>
        <w:t>in Section 11.2), (ii) such third party’s use or receipt of or access to the Licensed Data or Data Services through or by means</w:t>
      </w:r>
    </w:p>
    <w:p>
      <w:pPr>
        <w:ind w:left="1300"/>
        <w:spacing w:after="0" w:line="215" w:lineRule="auto"/>
        <w:rPr>
          <w:sz w:val="20"/>
          <w:szCs w:val="20"/>
          <w:color w:val="auto"/>
        </w:rPr>
      </w:pPr>
      <w:r>
        <w:rPr>
          <w:rFonts w:ascii="Times New Roman" w:cs="Times New Roman" w:eastAsia="Times New Roman" w:hAnsi="Times New Roman"/>
          <w:sz w:val="19"/>
          <w:szCs w:val="19"/>
          <w:color w:val="auto"/>
        </w:rPr>
        <w:t>of Subscriber, its Subscriber Users or an Approved Third Party Redistributor, (iii) any combination of the Licensed Data with any other data, information, hardware, software, products, or other materials, technology, or intellectual property, or any</w:t>
      </w:r>
    </w:p>
    <w:p>
      <w:pPr>
        <w:ind w:left="1300"/>
        <w:spacing w:after="0" w:line="222" w:lineRule="auto"/>
        <w:rPr>
          <w:sz w:val="20"/>
          <w:szCs w:val="20"/>
          <w:color w:val="auto"/>
        </w:rPr>
      </w:pPr>
      <w:r>
        <w:rPr>
          <w:rFonts w:ascii="Times New Roman" w:cs="Times New Roman" w:eastAsia="Times New Roman" w:hAnsi="Times New Roman"/>
          <w:sz w:val="19"/>
          <w:szCs w:val="19"/>
          <w:color w:val="auto"/>
        </w:rPr>
        <w:t>derivative works or modifications to the Licensed Data created or made by Subscriber, its Subscriber Users or a Distribution</w:t>
      </w: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Customer, including any development, creation, or distribution of Derived Data, or (iv) Subscriber or its Subscriber Users’ gross negligence or willful misconduct.</w:t>
      </w:r>
    </w:p>
    <w:p>
      <w:pPr>
        <w:spacing w:after="0" w:line="15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Tradeweb Indemnification</w:t>
      </w:r>
      <w:r>
        <w:rPr>
          <w:rFonts w:ascii="Times New Roman" w:cs="Times New Roman" w:eastAsia="Times New Roman" w:hAnsi="Times New Roman"/>
          <w:sz w:val="19"/>
          <w:szCs w:val="19"/>
          <w:color w:val="auto"/>
        </w:rPr>
        <w:t>. Tradeweb shall indemnify, defend, and hold harmless Subscriber, its Affiliates, and its and their</w:t>
      </w:r>
    </w:p>
    <w:p>
      <w:pPr>
        <w:spacing w:after="0" w:line="4"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officers, directors, employees, and other personnel (collectively, the “</w:t>
      </w:r>
      <w:r>
        <w:rPr>
          <w:rFonts w:ascii="Times New Roman" w:cs="Times New Roman" w:eastAsia="Times New Roman" w:hAnsi="Times New Roman"/>
          <w:sz w:val="19"/>
          <w:szCs w:val="19"/>
          <w:b w:val="1"/>
          <w:bCs w:val="1"/>
          <w:color w:val="auto"/>
        </w:rPr>
        <w:t>Subscriber Indemnified Parties</w:t>
      </w:r>
      <w:r>
        <w:rPr>
          <w:rFonts w:ascii="Times New Roman" w:cs="Times New Roman" w:eastAsia="Times New Roman" w:hAnsi="Times New Roman"/>
          <w:sz w:val="19"/>
          <w:szCs w:val="19"/>
          <w:color w:val="auto"/>
        </w:rPr>
        <w:t>”) from and against any and all Losses arising out of or relating to any third-party claim (a) arising out of relating to Tradeweb’s gross negligence</w:t>
      </w:r>
    </w:p>
    <w:p>
      <w:pPr>
        <w:ind w:left="1300"/>
        <w:spacing w:after="0" w:line="215" w:lineRule="auto"/>
        <w:rPr>
          <w:sz w:val="20"/>
          <w:szCs w:val="20"/>
          <w:color w:val="auto"/>
        </w:rPr>
      </w:pPr>
      <w:r>
        <w:rPr>
          <w:rFonts w:ascii="Times New Roman" w:cs="Times New Roman" w:eastAsia="Times New Roman" w:hAnsi="Times New Roman"/>
          <w:sz w:val="19"/>
          <w:szCs w:val="19"/>
          <w:color w:val="auto"/>
        </w:rPr>
        <w:t>or willful misconduct, (b) arising out of or relating to Tradeweb’s breach of this Agreement, (c) that Subscriber’s authorized use of the Licensed Data as provided by Tradeweb infringes a copyright, trademark, patent or other intellectual property</w:t>
      </w:r>
    </w:p>
    <w:p>
      <w:pPr>
        <w:jc w:val="right"/>
        <w:spacing w:after="0" w:line="211" w:lineRule="auto"/>
        <w:rPr>
          <w:sz w:val="20"/>
          <w:szCs w:val="20"/>
          <w:color w:val="auto"/>
        </w:rPr>
      </w:pPr>
      <w:r>
        <w:rPr>
          <w:rFonts w:ascii="Times New Roman" w:cs="Times New Roman" w:eastAsia="Times New Roman" w:hAnsi="Times New Roman"/>
          <w:sz w:val="20"/>
          <w:szCs w:val="20"/>
          <w:color w:val="auto"/>
        </w:rPr>
        <w:t>rights of such third party, except that Tradeweb has no obligation to indemnify, defend, or hold harmless any Subscriber</w:t>
      </w:r>
    </w:p>
    <w:p>
      <w:pPr>
        <w:ind w:left="1300"/>
        <w:spacing w:after="0" w:line="204" w:lineRule="auto"/>
        <w:rPr>
          <w:sz w:val="20"/>
          <w:szCs w:val="20"/>
          <w:color w:val="auto"/>
        </w:rPr>
      </w:pPr>
      <w:r>
        <w:rPr>
          <w:rFonts w:ascii="Times New Roman" w:cs="Times New Roman" w:eastAsia="Times New Roman" w:hAnsi="Times New Roman"/>
          <w:sz w:val="20"/>
          <w:szCs w:val="20"/>
          <w:color w:val="auto"/>
        </w:rPr>
        <w:t>Indemnified Party to the extent such claim arises out of or relates to (i) use or distribution of the applicable Licensed Data outside of or in excess of the Purpose (including any misuse and/or any use in violation of this Agreement), (ii) a</w:t>
      </w:r>
    </w:p>
    <w:p>
      <w:pPr>
        <w:ind w:left="1300"/>
        <w:spacing w:after="0" w:line="211" w:lineRule="auto"/>
        <w:rPr>
          <w:sz w:val="20"/>
          <w:szCs w:val="20"/>
          <w:color w:val="auto"/>
        </w:rPr>
      </w:pPr>
      <w:r>
        <w:rPr>
          <w:rFonts w:ascii="Times New Roman" w:cs="Times New Roman" w:eastAsia="Times New Roman" w:hAnsi="Times New Roman"/>
          <w:sz w:val="20"/>
          <w:szCs w:val="20"/>
          <w:color w:val="auto"/>
        </w:rPr>
        <w:t>combination of the Licensed Data with any data, information, hardware, software, products, or other materials, technology,</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or intellectual property not provided by Tradeweb, (iii) any derivative works or modifications to the Licensed Data, including any development, creation, or distribution of Derived Data, or (iv) any use of the Licensed Data after Tradeweb has notified</w:t>
      </w:r>
    </w:p>
    <w:p>
      <w:pPr>
        <w:ind w:left="1300"/>
        <w:spacing w:after="0" w:line="211" w:lineRule="auto"/>
        <w:rPr>
          <w:sz w:val="20"/>
          <w:szCs w:val="20"/>
          <w:color w:val="auto"/>
        </w:rPr>
      </w:pPr>
      <w:r>
        <w:rPr>
          <w:rFonts w:ascii="Times New Roman" w:cs="Times New Roman" w:eastAsia="Times New Roman" w:hAnsi="Times New Roman"/>
          <w:sz w:val="20"/>
          <w:szCs w:val="20"/>
          <w:color w:val="auto"/>
        </w:rPr>
        <w:t>Subscriber that such Licensed Data is or may become subject to an infringement claim. In the defense, settlement, or</w:t>
      </w:r>
    </w:p>
    <w:p>
      <w:pPr>
        <w:ind w:left="1300"/>
        <w:spacing w:after="0" w:line="215" w:lineRule="auto"/>
        <w:rPr>
          <w:sz w:val="20"/>
          <w:szCs w:val="20"/>
          <w:color w:val="auto"/>
        </w:rPr>
      </w:pPr>
      <w:r>
        <w:rPr>
          <w:rFonts w:ascii="Times New Roman" w:cs="Times New Roman" w:eastAsia="Times New Roman" w:hAnsi="Times New Roman"/>
          <w:sz w:val="19"/>
          <w:szCs w:val="19"/>
          <w:color w:val="auto"/>
        </w:rPr>
        <w:t>avoidance of a claim of infringement concerning any Licensed Data or any Data Services, Tradeweb may, at its sole expense and option: (x) procure for Subscriber the right to continue using the Licensed Data or Data Services, (y) replace or modify</w:t>
      </w:r>
    </w:p>
    <w:p>
      <w:pPr>
        <w:ind w:left="1300"/>
        <w:spacing w:after="0" w:line="211" w:lineRule="auto"/>
        <w:rPr>
          <w:sz w:val="20"/>
          <w:szCs w:val="20"/>
          <w:color w:val="auto"/>
        </w:rPr>
      </w:pPr>
      <w:r>
        <w:rPr>
          <w:rFonts w:ascii="Times New Roman" w:cs="Times New Roman" w:eastAsia="Times New Roman" w:hAnsi="Times New Roman"/>
          <w:sz w:val="20"/>
          <w:szCs w:val="20"/>
          <w:color w:val="auto"/>
        </w:rPr>
        <w:t>the Licensed Data or Data Services to be non-infringing with replacement(s) or modifications that do not alter the</w:t>
      </w:r>
    </w:p>
    <w:p>
      <w:pPr>
        <w:ind w:left="1300"/>
        <w:spacing w:after="0" w:line="221" w:lineRule="auto"/>
        <w:rPr>
          <w:sz w:val="20"/>
          <w:szCs w:val="20"/>
          <w:color w:val="auto"/>
        </w:rPr>
      </w:pPr>
      <w:r>
        <w:rPr>
          <w:rFonts w:ascii="Times New Roman" w:cs="Times New Roman" w:eastAsia="Times New Roman" w:hAnsi="Times New Roman"/>
          <w:sz w:val="20"/>
          <w:szCs w:val="20"/>
          <w:color w:val="auto"/>
        </w:rPr>
        <w:t>fundamental nature of the relevant Licensed Data or Data Services (and require Subscriber to return the potentially infringing Licensed Data), or (z) terminate the applicable Data Schedule immediately.</w:t>
      </w:r>
    </w:p>
    <w:p>
      <w:pPr>
        <w:spacing w:after="0" w:line="15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b w:val="1"/>
          <w:bCs w:val="1"/>
          <w:color w:val="auto"/>
        </w:rPr>
        <w:t>Indemnification Procedures</w:t>
      </w:r>
      <w:r>
        <w:rPr>
          <w:rFonts w:ascii="Times New Roman" w:cs="Times New Roman" w:eastAsia="Times New Roman" w:hAnsi="Times New Roman"/>
          <w:sz w:val="20"/>
          <w:szCs w:val="20"/>
          <w:color w:val="auto"/>
        </w:rPr>
        <w:t>. A party seeking indemnification under this Agreement (the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shall give the</w:t>
      </w:r>
    </w:p>
    <w:p>
      <w:pPr>
        <w:ind w:left="1300"/>
        <w:spacing w:after="0" w:line="215" w:lineRule="auto"/>
        <w:rPr>
          <w:sz w:val="20"/>
          <w:szCs w:val="20"/>
          <w:color w:val="auto"/>
        </w:rPr>
      </w:pPr>
      <w:r>
        <w:rPr>
          <w:rFonts w:ascii="Times New Roman" w:cs="Times New Roman" w:eastAsia="Times New Roman" w:hAnsi="Times New Roman"/>
          <w:sz w:val="19"/>
          <w:szCs w:val="19"/>
          <w:color w:val="auto"/>
        </w:rPr>
        <w:t>indemnifying Party (the “</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prompt notice of any demand for indemnification (a “</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as well as copies of any papers served on the Indemnitee relating to that Claim, but the Indemnitee’s failure to provide or delay in providing that</w:t>
      </w:r>
    </w:p>
    <w:p>
      <w:pPr>
        <w:jc w:val="right"/>
        <w:spacing w:after="0" w:line="211" w:lineRule="auto"/>
        <w:rPr>
          <w:sz w:val="20"/>
          <w:szCs w:val="20"/>
          <w:color w:val="auto"/>
        </w:rPr>
      </w:pPr>
      <w:r>
        <w:rPr>
          <w:rFonts w:ascii="Times New Roman" w:cs="Times New Roman" w:eastAsia="Times New Roman" w:hAnsi="Times New Roman"/>
          <w:sz w:val="20"/>
          <w:szCs w:val="20"/>
          <w:color w:val="auto"/>
        </w:rPr>
        <w:t>notice or those copies will not release the Indemnitor from its obligations under this Section 11, except to the extent the</w:t>
      </w:r>
    </w:p>
    <w:p>
      <w:pPr>
        <w:ind w:left="1300"/>
        <w:spacing w:after="0" w:line="204" w:lineRule="auto"/>
        <w:rPr>
          <w:sz w:val="20"/>
          <w:szCs w:val="20"/>
          <w:color w:val="auto"/>
        </w:rPr>
      </w:pPr>
      <w:r>
        <w:rPr>
          <w:rFonts w:ascii="Times New Roman" w:cs="Times New Roman" w:eastAsia="Times New Roman" w:hAnsi="Times New Roman"/>
          <w:sz w:val="20"/>
          <w:szCs w:val="20"/>
          <w:color w:val="auto"/>
        </w:rPr>
        <w:t>failure or delay materially prejudices the Indemnitor. The Indemnitor shall conduct the defense of any Claim and any negotiations for its settlement, except that (i) the Indemnitor shall not bind any Indemnitee to any agreement, or otherwise</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prejudice or impair the rights of any Indemnitee, without the applicable Indemnitee’s prior written consent, which the applicable Indemnitee may not unreasonably withhold or delay, (ii) the Indemnitee shall assist the Indemnitor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5" w:right="339" w:bottom="1440" w:gutter="0" w:footer="0" w:header="0"/>
        </w:sectPr>
      </w:pPr>
    </w:p>
    <w:bookmarkStart w:id="165" w:name="page166"/>
    <w:bookmarkEnd w:id="165"/>
    <w:p>
      <w:pPr>
        <w:ind w:left="1300"/>
        <w:spacing w:after="0"/>
        <w:rPr>
          <w:sz w:val="20"/>
          <w:szCs w:val="20"/>
          <w:color w:val="auto"/>
        </w:rPr>
      </w:pPr>
      <w:r>
        <w:rPr>
          <w:rFonts w:ascii="Times New Roman" w:cs="Times New Roman" w:eastAsia="Times New Roman" w:hAnsi="Times New Roman"/>
          <w:sz w:val="20"/>
          <w:szCs w:val="20"/>
          <w:color w:val="auto"/>
        </w:rPr>
        <w:t>defense of any Claim defended by the Indemnitor, at the Indemnitor’s request and expense, and (iii) the Indemnitee may</w:t>
      </w:r>
    </w:p>
    <w:p>
      <w:pPr>
        <w:ind w:left="1300" w:right="20"/>
        <w:spacing w:after="0" w:line="204" w:lineRule="auto"/>
        <w:rPr>
          <w:sz w:val="20"/>
          <w:szCs w:val="20"/>
          <w:color w:val="auto"/>
        </w:rPr>
      </w:pPr>
      <w:r>
        <w:rPr>
          <w:rFonts w:ascii="Times New Roman" w:cs="Times New Roman" w:eastAsia="Times New Roman" w:hAnsi="Times New Roman"/>
          <w:sz w:val="20"/>
          <w:szCs w:val="20"/>
          <w:color w:val="auto"/>
        </w:rPr>
        <w:t>participate at its expense in the Indemnitor’s defense of or settlement negotiations for any Claim with counsel of the Indemnitee’s own selection. In the event the Indemnitor fails to promptly defend the Claim in the manner required by this</w:t>
      </w:r>
    </w:p>
    <w:p>
      <w:pPr>
        <w:ind w:left="1300"/>
        <w:spacing w:after="0" w:line="223" w:lineRule="auto"/>
        <w:rPr>
          <w:sz w:val="20"/>
          <w:szCs w:val="20"/>
          <w:color w:val="auto"/>
        </w:rPr>
      </w:pPr>
      <w:r>
        <w:rPr>
          <w:rFonts w:ascii="Times New Roman" w:cs="Times New Roman" w:eastAsia="Times New Roman" w:hAnsi="Times New Roman"/>
          <w:sz w:val="19"/>
          <w:szCs w:val="19"/>
          <w:color w:val="auto"/>
        </w:rPr>
        <w:t>Section 11.3, as determined in the Indemnitee’s reasonable discretion, an Indemnitee may, at its option and the Indemnitor’s</w:t>
      </w:r>
    </w:p>
    <w:p>
      <w:pPr>
        <w:ind w:left="1300"/>
        <w:spacing w:after="0" w:line="215" w:lineRule="auto"/>
        <w:rPr>
          <w:sz w:val="20"/>
          <w:szCs w:val="20"/>
          <w:color w:val="auto"/>
        </w:rPr>
      </w:pPr>
      <w:r>
        <w:rPr>
          <w:rFonts w:ascii="Times New Roman" w:cs="Times New Roman" w:eastAsia="Times New Roman" w:hAnsi="Times New Roman"/>
          <w:sz w:val="19"/>
          <w:szCs w:val="19"/>
          <w:color w:val="auto"/>
        </w:rPr>
        <w:t>expense, and on notice to the Indemnitor, conduct the defense of and any settlement negotiations for such Claim subject to the Indemnitor’s indemnification obligations in Section 11.1 or 11.2 (as applicable) in place of the applicable Indemnitee. At</w:t>
      </w:r>
    </w:p>
    <w:p>
      <w:pPr>
        <w:ind w:left="1300"/>
        <w:spacing w:after="0" w:line="222" w:lineRule="auto"/>
        <w:rPr>
          <w:sz w:val="20"/>
          <w:szCs w:val="20"/>
          <w:color w:val="auto"/>
        </w:rPr>
      </w:pPr>
      <w:r>
        <w:rPr>
          <w:rFonts w:ascii="Times New Roman" w:cs="Times New Roman" w:eastAsia="Times New Roman" w:hAnsi="Times New Roman"/>
          <w:sz w:val="19"/>
          <w:szCs w:val="19"/>
          <w:color w:val="auto"/>
        </w:rPr>
        <w:t>the applicable Indemnitee’s request and the Indemnitor’s expense, and in addition to the Indemnitor’s other obligations under</w:t>
      </w:r>
    </w:p>
    <w:p>
      <w:pPr>
        <w:ind w:left="1300"/>
        <w:spacing w:after="0" w:line="221" w:lineRule="auto"/>
        <w:rPr>
          <w:sz w:val="20"/>
          <w:szCs w:val="20"/>
          <w:color w:val="auto"/>
        </w:rPr>
      </w:pPr>
      <w:r>
        <w:rPr>
          <w:rFonts w:ascii="Times New Roman" w:cs="Times New Roman" w:eastAsia="Times New Roman" w:hAnsi="Times New Roman"/>
          <w:sz w:val="20"/>
          <w:szCs w:val="20"/>
          <w:color w:val="auto"/>
        </w:rPr>
        <w:t>this Agreement, the Indemnitor shall assist the applicable Indemnitee with the defense of any Claim for which that Indemnitee conducts the defense under this Section 11.3.</w:t>
      </w:r>
    </w:p>
    <w:p>
      <w:pPr>
        <w:spacing w:after="0" w:line="158"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 Termination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1240" w:hanging="647"/>
        <w:spacing w:after="0" w:line="233" w:lineRule="auto"/>
        <w:tabs>
          <w:tab w:leader="none" w:pos="1220" w:val="left"/>
        </w:tabs>
        <w:rPr>
          <w:sz w:val="20"/>
          <w:szCs w:val="20"/>
          <w:color w:val="auto"/>
        </w:rPr>
      </w:pPr>
      <w:r>
        <w:rPr>
          <w:rFonts w:ascii="Times New Roman" w:cs="Times New Roman" w:eastAsia="Times New Roman" w:hAnsi="Times New Roman"/>
          <w:sz w:val="20"/>
          <w:szCs w:val="20"/>
          <w:color w:val="auto"/>
        </w:rPr>
        <w:t>12.1</w:t>
        <w:tab/>
        <w:t>This Agreement is effective as of the Effective Date and will continue in effect until terminated in accordance with its terms (the period in which the Agreement is in effect,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12.2</w:t>
        <w:tab/>
        <w:t>A Party may terminate any Data Schedule at any time by providing notice of termination to the other Party (the “</w:t>
      </w:r>
      <w:r>
        <w:rPr>
          <w:rFonts w:ascii="Times New Roman" w:cs="Times New Roman" w:eastAsia="Times New Roman" w:hAnsi="Times New Roman"/>
          <w:sz w:val="20"/>
          <w:szCs w:val="20"/>
          <w:b w:val="1"/>
          <w:bCs w:val="1"/>
          <w:color w:val="auto"/>
        </w:rPr>
        <w:t>Breaching</w:t>
      </w:r>
    </w:p>
    <w:p>
      <w:pPr>
        <w:ind w:left="1300"/>
        <w:spacing w:after="0" w:line="215" w:lineRule="auto"/>
        <w:rPr>
          <w:sz w:val="20"/>
          <w:szCs w:val="20"/>
          <w:color w:val="auto"/>
        </w:rPr>
      </w:pP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if the Breaching Party commits a material breach of that Data Schedule or a provision of this Agreement that relates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that Data Schedule, and the breach continues unremedied for a period of 30 days after the non-Breaching Party provides</w:t>
      </w:r>
    </w:p>
    <w:p>
      <w:pPr>
        <w:ind w:left="1300"/>
        <w:spacing w:after="0" w:line="228" w:lineRule="auto"/>
        <w:rPr>
          <w:sz w:val="20"/>
          <w:szCs w:val="20"/>
          <w:color w:val="auto"/>
        </w:rPr>
      </w:pPr>
      <w:r>
        <w:rPr>
          <w:rFonts w:ascii="Times New Roman" w:cs="Times New Roman" w:eastAsia="Times New Roman" w:hAnsi="Times New Roman"/>
          <w:sz w:val="20"/>
          <w:szCs w:val="20"/>
          <w:color w:val="auto"/>
        </w:rPr>
        <w:t>notice to the Breaching Party describing the nature of the breach. Subscriber acknowledges that its failure to pay any Fees promptly when due is deemed a material breach.</w:t>
      </w:r>
    </w:p>
    <w:p>
      <w:pPr>
        <w:spacing w:after="0" w:line="14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color w:val="auto"/>
        </w:rPr>
        <w:t>Additionally, either Party may terminate this Agreement and/or any Data Schedule at any time by providing notice of</w:t>
      </w:r>
    </w:p>
    <w:p>
      <w:pPr>
        <w:ind w:left="1300"/>
        <w:spacing w:after="0" w:line="204" w:lineRule="auto"/>
        <w:rPr>
          <w:sz w:val="20"/>
          <w:szCs w:val="20"/>
          <w:color w:val="auto"/>
        </w:rPr>
      </w:pPr>
      <w:r>
        <w:rPr>
          <w:rFonts w:ascii="Times New Roman" w:cs="Times New Roman" w:eastAsia="Times New Roman" w:hAnsi="Times New Roman"/>
          <w:sz w:val="20"/>
          <w:szCs w:val="20"/>
          <w:color w:val="auto"/>
        </w:rPr>
        <w:t>termination to the other Party if (i) the other Party commits a breach of Section 13, (ii) the terminating Party reasonably believes it needs to do so in order to (a) limit its liability or protect its reputation, (b) comply with (x) any contractual</w:t>
      </w:r>
    </w:p>
    <w:p>
      <w:pPr>
        <w:ind w:left="1300"/>
        <w:spacing w:after="0" w:line="211" w:lineRule="auto"/>
        <w:rPr>
          <w:sz w:val="20"/>
          <w:szCs w:val="20"/>
          <w:color w:val="auto"/>
        </w:rPr>
      </w:pPr>
      <w:r>
        <w:rPr>
          <w:rFonts w:ascii="Times New Roman" w:cs="Times New Roman" w:eastAsia="Times New Roman" w:hAnsi="Times New Roman"/>
          <w:sz w:val="20"/>
          <w:szCs w:val="20"/>
          <w:color w:val="auto"/>
        </w:rPr>
        <w:t>obligations (e.g., to any third-party data providers – including if a restricted company under any of Tradeweb’s data license</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agreements becomes an Affiliate of Subscriber) or (y) applicable Laws or Policies, or (iii) Tradeweb ceases to offer the applicable Licensed Data or Data Services generally.</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12.4</w:t>
        <w:tab/>
        <w:t>A Party may terminate this Agreement at any time by providing notice of termination to the other Party if that other Party</w:t>
      </w:r>
    </w:p>
    <w:p>
      <w:pPr>
        <w:ind w:left="1560" w:hanging="256"/>
        <w:spacing w:after="0" w:line="197" w:lineRule="auto"/>
        <w:tabs>
          <w:tab w:leader="none" w:pos="15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insolvent or unable to pay its debts as they mature, (ii) makes an assignment for the benefit of its creditors,</w:t>
      </w:r>
    </w:p>
    <w:p>
      <w:pPr>
        <w:jc w:val="both"/>
        <w:ind w:left="1300" w:firstLine="4"/>
        <w:spacing w:after="0" w:line="215" w:lineRule="auto"/>
        <w:tabs>
          <w:tab w:leader="none" w:pos="167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dissolved or liquidated, or takes any corporate action for those purposes, (iv) has a receiver, trustee, custodian, or similar agent appointed by order of any court of competent jurisdiction to take charge of or sell any material portion of its property or business, or (v) seeks relief or if proceedings are commenced against that other Party, or on its behalf, under any bankruptcy, insolvency, or debtors’ relief Law and those proceedings have not been fully stayed within seven days or vacated or set aside within 30 days after the commencement of those proceedings.</w:t>
      </w:r>
    </w:p>
    <w:p>
      <w:pPr>
        <w:spacing w:after="0" w:line="163" w:lineRule="exact"/>
        <w:rPr>
          <w:sz w:val="20"/>
          <w:szCs w:val="20"/>
          <w:color w:val="auto"/>
        </w:rPr>
      </w:pPr>
    </w:p>
    <w:p>
      <w:pPr>
        <w:ind w:left="1280" w:hanging="647"/>
        <w:spacing w:after="0" w:line="233" w:lineRule="auto"/>
        <w:tabs>
          <w:tab w:leader="none" w:pos="1260" w:val="left"/>
        </w:tabs>
        <w:rPr>
          <w:sz w:val="20"/>
          <w:szCs w:val="20"/>
          <w:color w:val="auto"/>
        </w:rPr>
      </w:pPr>
      <w:r>
        <w:rPr>
          <w:rFonts w:ascii="Times New Roman" w:cs="Times New Roman" w:eastAsia="Times New Roman" w:hAnsi="Times New Roman"/>
          <w:sz w:val="20"/>
          <w:szCs w:val="20"/>
          <w:color w:val="auto"/>
        </w:rPr>
        <w:t>12.5</w:t>
        <w:tab/>
        <w:t>Upon termination of any Data Schedule (but not this Agreement in its entirety), this Agreement will remain in effect and continue to apply to all then-outstanding Data Schedules.</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20"/>
          <w:szCs w:val="20"/>
          <w:color w:val="auto"/>
        </w:rPr>
        <w:t>Either Party may terminate this Agreement by providing notice of termination to the other Party if no unexpired Data</w:t>
      </w:r>
    </w:p>
    <w:p>
      <w:pPr>
        <w:ind w:left="1300"/>
        <w:spacing w:after="0" w:line="221" w:lineRule="auto"/>
        <w:rPr>
          <w:sz w:val="20"/>
          <w:szCs w:val="20"/>
          <w:color w:val="auto"/>
        </w:rPr>
      </w:pPr>
      <w:r>
        <w:rPr>
          <w:rFonts w:ascii="Times New Roman" w:cs="Times New Roman" w:eastAsia="Times New Roman" w:hAnsi="Times New Roman"/>
          <w:sz w:val="20"/>
          <w:szCs w:val="20"/>
          <w:color w:val="auto"/>
        </w:rPr>
        <w:t>Schedule was in effect at least 60 days prior to the date of the termination notice. This Agreement automatically terminates five years after the termination of all Data Schedules.</w:t>
      </w:r>
    </w:p>
    <w:p>
      <w:pPr>
        <w:spacing w:after="0" w:line="162" w:lineRule="exact"/>
        <w:rPr>
          <w:sz w:val="20"/>
          <w:szCs w:val="20"/>
          <w:color w:val="auto"/>
        </w:rPr>
      </w:pPr>
    </w:p>
    <w:p>
      <w:pPr>
        <w:ind w:left="1220" w:hanging="647"/>
        <w:spacing w:after="0"/>
        <w:tabs>
          <w:tab w:leader="none" w:pos="1200" w:val="left"/>
        </w:tabs>
        <w:rPr>
          <w:sz w:val="20"/>
          <w:szCs w:val="20"/>
          <w:color w:val="auto"/>
        </w:rPr>
      </w:pPr>
      <w:r>
        <w:rPr>
          <w:rFonts w:ascii="Times New Roman" w:cs="Times New Roman" w:eastAsia="Times New Roman" w:hAnsi="Times New Roman"/>
          <w:sz w:val="20"/>
          <w:szCs w:val="20"/>
          <w:color w:val="auto"/>
        </w:rPr>
        <w:t>12.7</w:t>
        <w:tab/>
        <w:t>Except as otherwise set forth in a Data Schedule, upon any termination of a Data Schedule, Subscriber shall (i) stop using the applicable Licensed Data and Data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4" w:right="339" w:bottom="1440"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20"/>
          <w:szCs w:val="20"/>
          <w:color w:val="auto"/>
        </w:rPr>
        <w:t>and related Confidential Information (as defined below), and (ii) except as necessary to comply with applicable Law or</w:t>
      </w:r>
    </w:p>
    <w:p>
      <w:pPr>
        <w:ind w:left="1300"/>
        <w:spacing w:after="0" w:line="204" w:lineRule="auto"/>
        <w:rPr>
          <w:sz w:val="20"/>
          <w:szCs w:val="20"/>
          <w:color w:val="auto"/>
        </w:rPr>
      </w:pPr>
      <w:r>
        <w:rPr>
          <w:rFonts w:ascii="Times New Roman" w:cs="Times New Roman" w:eastAsia="Times New Roman" w:hAnsi="Times New Roman"/>
          <w:sz w:val="20"/>
          <w:szCs w:val="20"/>
          <w:color w:val="auto"/>
        </w:rPr>
        <w:t>Policies, (a) return to Tradeweb all of the Licensed Data and other related Confidential Information in Subscriber’s or its Subscriber Users’ possession or control, or (b) destroy that Licensed Data and Confidential Information in a manner that</w:t>
      </w:r>
    </w:p>
    <w:p>
      <w:pPr>
        <w:ind w:left="1300"/>
        <w:spacing w:after="0" w:line="211" w:lineRule="auto"/>
        <w:rPr>
          <w:sz w:val="20"/>
          <w:szCs w:val="20"/>
          <w:color w:val="auto"/>
        </w:rPr>
      </w:pPr>
      <w:r>
        <w:rPr>
          <w:rFonts w:ascii="Times New Roman" w:cs="Times New Roman" w:eastAsia="Times New Roman" w:hAnsi="Times New Roman"/>
          <w:sz w:val="20"/>
          <w:szCs w:val="20"/>
          <w:color w:val="auto"/>
        </w:rPr>
        <w:t>makes that Licensed Data and Confidential Information non-readable and non-retrievable, and (c) provide Tradeweb with a</w:t>
      </w:r>
    </w:p>
    <w:p>
      <w:pPr>
        <w:spacing w:after="0" w:line="1" w:lineRule="exact"/>
        <w:rPr>
          <w:sz w:val="20"/>
          <w:szCs w:val="20"/>
          <w:color w:val="auto"/>
        </w:rPr>
      </w:pPr>
    </w:p>
    <w:p>
      <w:pPr>
        <w:jc w:val="both"/>
        <w:ind w:left="1300"/>
        <w:spacing w:after="0" w:line="215" w:lineRule="auto"/>
        <w:rPr>
          <w:sz w:val="20"/>
          <w:szCs w:val="20"/>
          <w:color w:val="auto"/>
        </w:rPr>
      </w:pPr>
      <w:r>
        <w:rPr>
          <w:rFonts w:ascii="Times New Roman" w:cs="Times New Roman" w:eastAsia="Times New Roman" w:hAnsi="Times New Roman"/>
          <w:sz w:val="19"/>
          <w:szCs w:val="19"/>
          <w:color w:val="auto"/>
        </w:rPr>
        <w:t>certificate of return or destruction that includes the dates and facts of the return or destruction and is signed under oath by an officer of Subscriber. In destroying Licensed Data and related Confidential Information in accordance with this Section 12.7,</w:t>
      </w:r>
    </w:p>
    <w:p>
      <w:pPr>
        <w:ind w:left="1300"/>
        <w:spacing w:after="0" w:line="211" w:lineRule="auto"/>
        <w:rPr>
          <w:sz w:val="20"/>
          <w:szCs w:val="20"/>
          <w:color w:val="auto"/>
        </w:rPr>
      </w:pPr>
      <w:r>
        <w:rPr>
          <w:rFonts w:ascii="Times New Roman" w:cs="Times New Roman" w:eastAsia="Times New Roman" w:hAnsi="Times New Roman"/>
          <w:sz w:val="20"/>
          <w:szCs w:val="20"/>
          <w:color w:val="auto"/>
        </w:rPr>
        <w:t>Subscriber shall destroy all (x) hard copies thereof, using technology no less destructive than cross-shredding, (y) electronic</w:t>
      </w:r>
    </w:p>
    <w:p>
      <w:pPr>
        <w:ind w:left="1300"/>
        <w:spacing w:after="0" w:line="204" w:lineRule="auto"/>
        <w:rPr>
          <w:sz w:val="20"/>
          <w:szCs w:val="20"/>
          <w:color w:val="auto"/>
        </w:rPr>
      </w:pPr>
      <w:r>
        <w:rPr>
          <w:rFonts w:ascii="Times New Roman" w:cs="Times New Roman" w:eastAsia="Times New Roman" w:hAnsi="Times New Roman"/>
          <w:sz w:val="20"/>
          <w:szCs w:val="20"/>
          <w:color w:val="auto"/>
        </w:rPr>
        <w:t>copies thereof, in a manner rendering that Licensed Data and Confidential Information contained in those copies permanently non-readable and non-retrievable, and (z) optical media and magnetic storage media containing that Licensed</w:t>
      </w:r>
    </w:p>
    <w:p>
      <w:pPr>
        <w:ind w:left="1300"/>
        <w:spacing w:after="0" w:line="223" w:lineRule="auto"/>
        <w:rPr>
          <w:sz w:val="20"/>
          <w:szCs w:val="20"/>
          <w:color w:val="auto"/>
        </w:rPr>
      </w:pPr>
      <w:r>
        <w:rPr>
          <w:rFonts w:ascii="Times New Roman" w:cs="Times New Roman" w:eastAsia="Times New Roman" w:hAnsi="Times New Roman"/>
          <w:sz w:val="19"/>
          <w:szCs w:val="19"/>
          <w:color w:val="auto"/>
        </w:rPr>
        <w:t>Data and Confidential Information, in a manner rendering any data stored in that media permanently purged or non-readable</w:t>
      </w:r>
    </w:p>
    <w:p>
      <w:pPr>
        <w:ind w:left="1300"/>
        <w:spacing w:after="0" w:line="215" w:lineRule="auto"/>
        <w:rPr>
          <w:sz w:val="20"/>
          <w:szCs w:val="20"/>
          <w:color w:val="auto"/>
        </w:rPr>
      </w:pPr>
      <w:r>
        <w:rPr>
          <w:rFonts w:ascii="Times New Roman" w:cs="Times New Roman" w:eastAsia="Times New Roman" w:hAnsi="Times New Roman"/>
          <w:sz w:val="19"/>
          <w:szCs w:val="19"/>
          <w:color w:val="auto"/>
        </w:rPr>
        <w:t>and non-retrievable. Upon termination of this Agreement, Subscriber shall delete any additional Confidential Information that it or its Subscriber Users possess or control (except as otherwise necessary to comply with applicable Law or Policies or</w:t>
      </w:r>
    </w:p>
    <w:p>
      <w:pPr>
        <w:ind w:left="1300"/>
        <w:spacing w:after="0" w:line="211" w:lineRule="auto"/>
        <w:rPr>
          <w:sz w:val="20"/>
          <w:szCs w:val="20"/>
          <w:color w:val="auto"/>
        </w:rPr>
      </w:pPr>
      <w:r>
        <w:rPr>
          <w:rFonts w:ascii="Times New Roman" w:cs="Times New Roman" w:eastAsia="Times New Roman" w:hAnsi="Times New Roman"/>
          <w:sz w:val="20"/>
          <w:szCs w:val="20"/>
          <w:color w:val="auto"/>
        </w:rPr>
        <w:t>as otherwise set forth in a Data Schedule). Subscriber has no obligation to return or destroy the Licensed Data or related</w:t>
      </w:r>
    </w:p>
    <w:p>
      <w:pPr>
        <w:ind w:left="1300" w:right="20"/>
        <w:spacing w:after="0" w:line="204" w:lineRule="auto"/>
        <w:rPr>
          <w:sz w:val="20"/>
          <w:szCs w:val="20"/>
          <w:color w:val="auto"/>
        </w:rPr>
      </w:pPr>
      <w:r>
        <w:rPr>
          <w:rFonts w:ascii="Times New Roman" w:cs="Times New Roman" w:eastAsia="Times New Roman" w:hAnsi="Times New Roman"/>
          <w:sz w:val="20"/>
          <w:szCs w:val="20"/>
          <w:color w:val="auto"/>
        </w:rPr>
        <w:t>Confidential Information (I) backed up from a computer system in the ordinary course of Subscriber’s business or (II) as required by applicable Law and Policies, but any Licensed Data or related Confidential Information so retained pursuant to</w:t>
      </w:r>
    </w:p>
    <w:p>
      <w:pPr>
        <w:spacing w:after="0" w:line="1" w:lineRule="exact"/>
        <w:rPr>
          <w:sz w:val="20"/>
          <w:szCs w:val="20"/>
          <w:color w:val="auto"/>
        </w:rPr>
      </w:pPr>
    </w:p>
    <w:p>
      <w:pPr>
        <w:ind w:left="1300" w:right="20"/>
        <w:spacing w:after="0" w:line="228" w:lineRule="auto"/>
        <w:rPr>
          <w:sz w:val="20"/>
          <w:szCs w:val="20"/>
          <w:color w:val="auto"/>
        </w:rPr>
      </w:pPr>
      <w:r>
        <w:rPr>
          <w:rFonts w:ascii="Times New Roman" w:cs="Times New Roman" w:eastAsia="Times New Roman" w:hAnsi="Times New Roman"/>
          <w:sz w:val="20"/>
          <w:szCs w:val="20"/>
          <w:color w:val="auto"/>
        </w:rPr>
        <w:t>clause (I) or (II) remains subject to all applicable obligations under this Agreement and shall not be used for any purpose other than compliance with Law and Policies.</w:t>
      </w:r>
    </w:p>
    <w:p>
      <w:pPr>
        <w:spacing w:after="0" w:line="1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Sections 2.2, 2.3, 2.4-2.6 (with respect to any Licensed Data that Subscriber is permitted to retain under a Data Schedule), 2.7,</w:t>
      </w:r>
    </w:p>
    <w:p>
      <w:pPr>
        <w:ind w:left="1300"/>
        <w:spacing w:after="0" w:line="197" w:lineRule="auto"/>
        <w:rPr>
          <w:sz w:val="20"/>
          <w:szCs w:val="20"/>
          <w:color w:val="auto"/>
        </w:rPr>
      </w:pPr>
      <w:r>
        <w:rPr>
          <w:rFonts w:ascii="Times New Roman" w:cs="Times New Roman" w:eastAsia="Times New Roman" w:hAnsi="Times New Roman"/>
          <w:sz w:val="20"/>
          <w:szCs w:val="20"/>
          <w:color w:val="auto"/>
        </w:rPr>
        <w:t>4 (with respect to any Licensed Data that Subscriber is permitted to retain under a Data Schedule), 5, 6, 7, 8, 9, 10, 11, 12.7,</w:t>
      </w:r>
    </w:p>
    <w:p>
      <w:pPr>
        <w:ind w:left="1300"/>
        <w:spacing w:after="0"/>
        <w:rPr>
          <w:sz w:val="20"/>
          <w:szCs w:val="20"/>
          <w:color w:val="auto"/>
        </w:rPr>
      </w:pPr>
      <w:r>
        <w:rPr>
          <w:rFonts w:ascii="Times New Roman" w:cs="Times New Roman" w:eastAsia="Times New Roman" w:hAnsi="Times New Roman"/>
          <w:sz w:val="20"/>
          <w:szCs w:val="20"/>
          <w:color w:val="auto"/>
        </w:rPr>
        <w:t>12.8, 13, 14, and 15 survive any termination of this Agreement.</w:t>
      </w:r>
    </w:p>
    <w:p>
      <w:pPr>
        <w:spacing w:after="0" w:line="163"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13.1   Each Party shall maintain in confidence any confidential information it obtains from the other Party in connection with this Agreement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and shall not use or disclose that information except to the extent necessary to</w:t>
      </w:r>
    </w:p>
    <w:p>
      <w:pPr>
        <w:ind w:left="1300"/>
        <w:spacing w:after="0" w:line="224" w:lineRule="auto"/>
        <w:rPr>
          <w:sz w:val="20"/>
          <w:szCs w:val="20"/>
          <w:color w:val="auto"/>
        </w:rPr>
      </w:pPr>
      <w:r>
        <w:rPr>
          <w:rFonts w:ascii="Times New Roman" w:cs="Times New Roman" w:eastAsia="Times New Roman" w:hAnsi="Times New Roman"/>
          <w:sz w:val="19"/>
          <w:szCs w:val="19"/>
          <w:color w:val="auto"/>
        </w:rPr>
        <w:t>exercise its rights or perform its obligations under this Agreement. The restrictions in the foregoing sentence do not apply to</w:t>
      </w:r>
    </w:p>
    <w:p>
      <w:pPr>
        <w:ind w:left="1300"/>
        <w:spacing w:after="0" w:line="204" w:lineRule="auto"/>
        <w:rPr>
          <w:sz w:val="20"/>
          <w:szCs w:val="20"/>
          <w:color w:val="auto"/>
        </w:rPr>
      </w:pPr>
      <w:r>
        <w:rPr>
          <w:rFonts w:ascii="Times New Roman" w:cs="Times New Roman" w:eastAsia="Times New Roman" w:hAnsi="Times New Roman"/>
          <w:sz w:val="20"/>
          <w:szCs w:val="20"/>
          <w:color w:val="auto"/>
        </w:rPr>
        <w:t>information that (i) the receiving Party (“</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or its Affiliates rightfully possessed without a duty of confidentiality before obtaining it from the disclosing Party, (ii) is or becomes generally available to and known by the public, other than</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due to Recipient’s breach of this Agreement, (iii) Recipient or its Affiliates received on an unrestricted basis from a source unrelated to either Party or its Affiliates and not under a duty of confidentiality with respect to the information, or</w:t>
      </w:r>
    </w:p>
    <w:p>
      <w:pPr>
        <w:spacing w:after="0" w:line="1" w:lineRule="exact"/>
        <w:rPr>
          <w:sz w:val="20"/>
          <w:szCs w:val="20"/>
          <w:color w:val="auto"/>
        </w:rPr>
      </w:pPr>
    </w:p>
    <w:p>
      <w:pPr>
        <w:jc w:val="both"/>
        <w:ind w:left="1300" w:firstLine="4"/>
        <w:spacing w:after="0" w:line="223" w:lineRule="auto"/>
        <w:tabs>
          <w:tab w:leader="none" w:pos="169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Recipient or its Affiliates developed independently of the disclosed information. Subscriber acknowledges that, notwithstanding the exceptions identified in the preceding sentence, the Licensed Data is the confidential information of Tradeweb.</w:t>
      </w:r>
    </w:p>
    <w:p>
      <w:pPr>
        <w:spacing w:after="0" w:line="147" w:lineRule="exact"/>
        <w:rPr>
          <w:sz w:val="20"/>
          <w:szCs w:val="20"/>
          <w:color w:val="auto"/>
        </w:rPr>
      </w:pPr>
    </w:p>
    <w:p>
      <w:pPr>
        <w:jc w:val="right"/>
        <w:ind w:left="660"/>
        <w:spacing w:after="0" w:line="222" w:lineRule="auto"/>
        <w:rPr>
          <w:sz w:val="20"/>
          <w:szCs w:val="20"/>
          <w:color w:val="auto"/>
        </w:rPr>
      </w:pPr>
      <w:r>
        <w:rPr>
          <w:rFonts w:ascii="Times New Roman" w:cs="Times New Roman" w:eastAsia="Times New Roman" w:hAnsi="Times New Roman"/>
          <w:sz w:val="20"/>
          <w:szCs w:val="20"/>
          <w:color w:val="auto"/>
        </w:rPr>
        <w:t>13.2  Recipient shall, to the extent permitted by Law, (i) promptly notify the disclosing Party if a Law requires, or a Governmental Authority requires or requests, that Recipient disclose the Confidential Information and (ii) use commercially reasonable</w:t>
      </w:r>
    </w:p>
    <w:p>
      <w:pPr>
        <w:spacing w:after="0" w:line="2" w:lineRule="exact"/>
        <w:rPr>
          <w:sz w:val="20"/>
          <w:szCs w:val="20"/>
          <w:color w:val="auto"/>
        </w:rPr>
      </w:pPr>
    </w:p>
    <w:p>
      <w:pPr>
        <w:ind w:left="1300" w:right="20"/>
        <w:spacing w:after="0" w:line="215" w:lineRule="auto"/>
        <w:rPr>
          <w:sz w:val="20"/>
          <w:szCs w:val="20"/>
          <w:color w:val="auto"/>
        </w:rPr>
      </w:pPr>
      <w:r>
        <w:rPr>
          <w:rFonts w:ascii="Times New Roman" w:cs="Times New Roman" w:eastAsia="Times New Roman" w:hAnsi="Times New Roman"/>
          <w:sz w:val="19"/>
          <w:szCs w:val="19"/>
          <w:color w:val="auto"/>
        </w:rPr>
        <w:t>efforts to allow the disclosing Party an opportunity to seek (at the disclosing Party’s sole cost and expense) injunctive relief from, or a protective order with respect to, the contemplated disclosure. If notification to the disclosing Party is not permitted</w:t>
      </w:r>
    </w:p>
    <w:p>
      <w:pPr>
        <w:ind w:left="1300"/>
        <w:spacing w:after="0" w:line="211" w:lineRule="auto"/>
        <w:rPr>
          <w:sz w:val="20"/>
          <w:szCs w:val="20"/>
          <w:color w:val="auto"/>
        </w:rPr>
      </w:pPr>
      <w:r>
        <w:rPr>
          <w:rFonts w:ascii="Times New Roman" w:cs="Times New Roman" w:eastAsia="Times New Roman" w:hAnsi="Times New Roman"/>
          <w:sz w:val="20"/>
          <w:szCs w:val="20"/>
          <w:color w:val="auto"/>
        </w:rPr>
        <w:t>by Law, or if it is permitted and that relief or order is not obtained, then Recipient shall (a) disclose only that portion of the</w:t>
      </w:r>
    </w:p>
    <w:p>
      <w:pPr>
        <w:ind w:left="1300"/>
        <w:spacing w:after="0" w:line="221" w:lineRule="auto"/>
        <w:rPr>
          <w:sz w:val="20"/>
          <w:szCs w:val="20"/>
          <w:color w:val="auto"/>
        </w:rPr>
      </w:pPr>
      <w:r>
        <w:rPr>
          <w:rFonts w:ascii="Times New Roman" w:cs="Times New Roman" w:eastAsia="Times New Roman" w:hAnsi="Times New Roman"/>
          <w:sz w:val="20"/>
          <w:szCs w:val="20"/>
          <w:color w:val="auto"/>
        </w:rPr>
        <w:t>Confidential Information that Recipient’s counsel advises must be disclosed, and (b) reasonably cooperate with the disclosing Party to ensure the disclosed Confidential Information is treated in a confidential manner after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4" w:right="339" w:bottom="1440" w:gutter="0" w:footer="0" w:header="0"/>
        </w:sectPr>
      </w:pPr>
    </w:p>
    <w:bookmarkStart w:id="167" w:name="page168"/>
    <w:bookmarkEnd w:id="167"/>
    <w:p>
      <w:pPr>
        <w:ind w:left="1280" w:hanging="647"/>
        <w:spacing w:after="0"/>
        <w:tabs>
          <w:tab w:leader="none" w:pos="1260" w:val="left"/>
        </w:tabs>
        <w:rPr>
          <w:sz w:val="20"/>
          <w:szCs w:val="20"/>
          <w:color w:val="auto"/>
        </w:rPr>
      </w:pPr>
      <w:r>
        <w:rPr>
          <w:rFonts w:ascii="Times New Roman" w:cs="Times New Roman" w:eastAsia="Times New Roman" w:hAnsi="Times New Roman"/>
          <w:sz w:val="20"/>
          <w:szCs w:val="20"/>
          <w:color w:val="auto"/>
        </w:rPr>
        <w:t>13.3</w:t>
        <w:tab/>
        <w:t>If a provision in this Section 13 conflicts with a provision in any non-disclosure agreement, confidentiality agreement, or similar agreement between the Parties, then the provision in this Section 13 governs to the extent of the conflict.</w:t>
      </w:r>
    </w:p>
    <w:p>
      <w:pPr>
        <w:spacing w:after="0" w:line="144" w:lineRule="exact"/>
        <w:rPr>
          <w:sz w:val="20"/>
          <w:szCs w:val="20"/>
          <w:color w:val="auto"/>
        </w:rPr>
      </w:pPr>
    </w:p>
    <w:p>
      <w:pPr>
        <w:ind w:left="660" w:hanging="652"/>
        <w:spacing w:after="0" w:line="213" w:lineRule="auto"/>
        <w:tabs>
          <w:tab w:leader="none" w:pos="56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If and to the extent that either Party’s performance of any of its obligations under this Agreement is prevented,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hindered, or delayed (other than Subscriber’s obligation to pay any Fees) by fire, smoke, flood, earthquake, hurricane, elements of nature or acts of God, pandemic or epidemic, acts of war, terrorism, riots, civil disorders, rebellions or revolutions, strikes, blackouts, lockouts, labor disputes, communication or Internet delays or failures, or any other cause beyond the reasonable control of that Party (each, a “</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 and such non-performance, hindrance, or delay could not have been prevented by reasonable precautions, then that Party will be excused for such non-performance, hindrance, or delay of those obligations affected by the Force Majeure Event for as long as such Force Majeure Event continues. Any Party that is unable to perform an obligation under this Agreement due to a Force Majeure Event shall give prompt notice to the other Party of the occurrence, nature and anticipated duration of such Force Majeure Event, and the Parties shall cooperate with each other to seek alternative means and methods to perform such obligation.</w:t>
      </w:r>
    </w:p>
    <w:p>
      <w:pPr>
        <w:spacing w:after="0" w:line="15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20" w:hanging="647"/>
        <w:spacing w:after="0" w:line="229" w:lineRule="auto"/>
        <w:tabs>
          <w:tab w:leader="none" w:pos="120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This Agreement, and any dispute, claim, or controversy between the Parties arising out of or relating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or the Licensed Data or provision of Data Services, whether in contract, tort, or otherwise, and the Parties’ rights,</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remedies, and obligations under this Agreement, are to be construed in accordance with and governed by the Laws of the</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State of New York without giving effect to its conflicts of law rules to the extent those rules would require applying another jurisdiction’s Laws. The Parties exclude the application to this Agreement of the United Nations Convention on Contracts for</w:t>
      </w: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the International Sale of Goods. The Parties may commence an action, suit, or proceeding arising out of or relating to this Agreement or the Licensed Data or provision of Data Services only in, and hereby consent to the exclusive jurisdiction 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federal and state courts located in the County of New York within the State of New York.</w:t>
      </w:r>
    </w:p>
    <w:p>
      <w:pPr>
        <w:spacing w:after="0" w:line="163" w:lineRule="exact"/>
        <w:rPr>
          <w:sz w:val="20"/>
          <w:szCs w:val="20"/>
          <w:color w:val="auto"/>
        </w:rPr>
      </w:pPr>
    </w:p>
    <w:p>
      <w:pPr>
        <w:jc w:val="both"/>
        <w:ind w:left="1240" w:hanging="647"/>
        <w:spacing w:after="0" w:line="217" w:lineRule="auto"/>
        <w:tabs>
          <w:tab w:leader="none" w:pos="122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constitutes the complete understanding and agreement of the Parties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hereof, and supersedes all previous or contemporaneous discussions, correspondence, negotiations,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arrangements, understandings, and agreements between the Parties with respect to its subject matter.</w:t>
      </w:r>
    </w:p>
    <w:p>
      <w:pPr>
        <w:spacing w:after="0" w:line="163" w:lineRule="exact"/>
        <w:rPr>
          <w:sz w:val="20"/>
          <w:szCs w:val="20"/>
          <w:color w:val="auto"/>
        </w:rPr>
      </w:pPr>
    </w:p>
    <w:p>
      <w:pPr>
        <w:jc w:val="both"/>
        <w:ind w:left="1300" w:hanging="647"/>
        <w:spacing w:after="0" w:line="229" w:lineRule="auto"/>
        <w:tabs>
          <w:tab w:leader="none" w:pos="128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b w:val="1"/>
          <w:bCs w:val="1"/>
          <w:color w:val="auto"/>
        </w:rPr>
        <w:t>Assignment</w:t>
      </w:r>
      <w:r>
        <w:rPr>
          <w:rFonts w:ascii="Times New Roman" w:cs="Times New Roman" w:eastAsia="Times New Roman" w:hAnsi="Times New Roman"/>
          <w:sz w:val="19"/>
          <w:szCs w:val="19"/>
          <w:color w:val="auto"/>
        </w:rPr>
        <w:t>. Neither Party shall assign, delegate, or otherwise transfer this Agreement or any of its rights, remedies,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under this Agreement without the other Party’s prior written consent; provided, however, either Party may assign</w:t>
      </w:r>
    </w:p>
    <w:p>
      <w:pPr>
        <w:ind w:left="1300"/>
        <w:spacing w:after="0" w:line="223" w:lineRule="auto"/>
        <w:rPr>
          <w:sz w:val="20"/>
          <w:szCs w:val="20"/>
          <w:color w:val="auto"/>
        </w:rPr>
      </w:pPr>
      <w:r>
        <w:rPr>
          <w:rFonts w:ascii="Times New Roman" w:cs="Times New Roman" w:eastAsia="Times New Roman" w:hAnsi="Times New Roman"/>
          <w:sz w:val="19"/>
          <w:szCs w:val="19"/>
          <w:color w:val="auto"/>
        </w:rPr>
        <w:t>this Agreement or any of its rights, remedies, or obligations under this Agreement (in whole or in part) to any Affiliate or, in</w:t>
      </w:r>
    </w:p>
    <w:p>
      <w:pPr>
        <w:ind w:left="1300"/>
        <w:spacing w:after="0" w:line="204" w:lineRule="auto"/>
        <w:rPr>
          <w:sz w:val="20"/>
          <w:szCs w:val="20"/>
          <w:color w:val="auto"/>
        </w:rPr>
      </w:pPr>
      <w:r>
        <w:rPr>
          <w:rFonts w:ascii="Times New Roman" w:cs="Times New Roman" w:eastAsia="Times New Roman" w:hAnsi="Times New Roman"/>
          <w:sz w:val="20"/>
          <w:szCs w:val="20"/>
          <w:color w:val="auto"/>
        </w:rPr>
        <w:t>the case of Tradeweb, a relevant Administrator, or in connection with a merger, consolidation, or sale of all, or substantially all, of such Party’s business, assets or interests to which this Agreement relates. Any purported assignment, delegation, or</w:t>
      </w:r>
    </w:p>
    <w:p>
      <w:pPr>
        <w:jc w:val="right"/>
        <w:spacing w:after="0" w:line="211" w:lineRule="auto"/>
        <w:rPr>
          <w:sz w:val="20"/>
          <w:szCs w:val="20"/>
          <w:color w:val="auto"/>
        </w:rPr>
      </w:pPr>
      <w:r>
        <w:rPr>
          <w:rFonts w:ascii="Times New Roman" w:cs="Times New Roman" w:eastAsia="Times New Roman" w:hAnsi="Times New Roman"/>
          <w:sz w:val="20"/>
          <w:szCs w:val="20"/>
          <w:color w:val="auto"/>
        </w:rPr>
        <w:t>other transfer in contravention of this Section 15.3 is void. Each Party acknowledges that its assignment, delegation, or other</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transfer of this Agreement will not relieve such Party of its obligations under this Agreement. This Agreement binds and inures to the benefit of the Parties and their respective permitted assignees and successors.</w:t>
      </w:r>
    </w:p>
    <w:p>
      <w:pPr>
        <w:spacing w:after="0" w:line="158" w:lineRule="exact"/>
        <w:rPr>
          <w:sz w:val="20"/>
          <w:szCs w:val="20"/>
          <w:color w:val="auto"/>
        </w:rPr>
      </w:pPr>
    </w:p>
    <w:p>
      <w:pPr>
        <w:jc w:val="both"/>
        <w:ind w:left="1200" w:hanging="647"/>
        <w:spacing w:after="0" w:line="245" w:lineRule="auto"/>
        <w:tabs>
          <w:tab w:leader="none" w:pos="118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20"/>
          <w:szCs w:val="20"/>
          <w:b w:val="1"/>
          <w:bCs w:val="1"/>
          <w:color w:val="auto"/>
        </w:rPr>
        <w:t>Independent Relationship</w:t>
      </w:r>
      <w:r>
        <w:rPr>
          <w:rFonts w:ascii="Times New Roman" w:cs="Times New Roman" w:eastAsia="Times New Roman" w:hAnsi="Times New Roman"/>
          <w:sz w:val="20"/>
          <w:szCs w:val="20"/>
          <w:color w:val="auto"/>
        </w:rPr>
        <w:t>. Tradeweb and Subscriber are and will remain independent contractors, and nothing herein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to create a partnership or joint venture between them.</w:t>
      </w:r>
    </w:p>
    <w:p>
      <w:pPr>
        <w:spacing w:after="0" w:line="138" w:lineRule="exact"/>
        <w:rPr>
          <w:sz w:val="20"/>
          <w:szCs w:val="20"/>
          <w:color w:val="auto"/>
        </w:rPr>
      </w:pPr>
    </w:p>
    <w:p>
      <w:pPr>
        <w:jc w:val="both"/>
        <w:ind w:left="1220" w:hanging="647"/>
        <w:spacing w:after="0" w:line="232" w:lineRule="auto"/>
        <w:tabs>
          <w:tab w:leader="none" w:pos="120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 Governmental Authority holds any provision of this Agreement to be unenforceable, then that provision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construed either by modifying it to the minimum extent necessary to make it enforceable (if permitted by Law) or disregarding it (if not permitted by Law). If an unenforceable provision is modified or disregarded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168" w:name="page169"/>
    <w:bookmarkEnd w:id="168"/>
    <w:p>
      <w:pPr>
        <w:ind w:left="640"/>
        <w:spacing w:after="0"/>
        <w:rPr>
          <w:sz w:val="20"/>
          <w:szCs w:val="20"/>
          <w:color w:val="auto"/>
        </w:rPr>
      </w:pPr>
      <w:r>
        <w:rPr>
          <w:rFonts w:ascii="Times New Roman" w:cs="Times New Roman" w:eastAsia="Times New Roman" w:hAnsi="Times New Roman"/>
          <w:sz w:val="20"/>
          <w:szCs w:val="20"/>
          <w:color w:val="auto"/>
        </w:rPr>
        <w:t>accordance with this Section 15.5, then all other provisions of this Agreement are to remain in effect as written, except that</w:t>
      </w:r>
    </w:p>
    <w:p>
      <w:pPr>
        <w:ind w:left="640"/>
        <w:spacing w:after="0" w:line="221" w:lineRule="auto"/>
        <w:rPr>
          <w:sz w:val="20"/>
          <w:szCs w:val="20"/>
          <w:color w:val="auto"/>
        </w:rPr>
      </w:pPr>
      <w:r>
        <w:rPr>
          <w:rFonts w:ascii="Times New Roman" w:cs="Times New Roman" w:eastAsia="Times New Roman" w:hAnsi="Times New Roman"/>
          <w:sz w:val="20"/>
          <w:szCs w:val="20"/>
          <w:color w:val="auto"/>
        </w:rPr>
        <w:t>this entire Agreement will be unenforceable if modifying or disregarding the unenforceable provision affects the economic and legal substance of the transactions contemplated by this Agreement in a manner materially adverse to either Party.</w:t>
      </w:r>
    </w:p>
    <w:p>
      <w:pPr>
        <w:spacing w:after="0" w:line="1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All notices, requests, claims, and other communications between the Parties described in or otherwise regarding this</w:t>
      </w:r>
    </w:p>
    <w:p>
      <w:pPr>
        <w:spacing w:after="0" w:line="4"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Agreement must be in writing and be given or made (and will be effective on receipt) by delivery in person, by nationally recognized overnight courier service (with signature required and all fees prepaid), by facsimile (with confirmation of</w:t>
      </w:r>
    </w:p>
    <w:p>
      <w:pPr>
        <w:ind w:left="640"/>
        <w:spacing w:after="0" w:line="223" w:lineRule="auto"/>
        <w:rPr>
          <w:sz w:val="20"/>
          <w:szCs w:val="20"/>
          <w:color w:val="auto"/>
        </w:rPr>
      </w:pPr>
      <w:r>
        <w:rPr>
          <w:rFonts w:ascii="Times New Roman" w:cs="Times New Roman" w:eastAsia="Times New Roman" w:hAnsi="Times New Roman"/>
          <w:sz w:val="19"/>
          <w:szCs w:val="19"/>
          <w:color w:val="auto"/>
        </w:rPr>
        <w:t>transmission), by e-mail, or by registered or certified mail (postage prepaid, return receipt requested) to a Party at its address</w:t>
      </w:r>
    </w:p>
    <w:p>
      <w:pPr>
        <w:ind w:left="640"/>
        <w:spacing w:after="0" w:line="215" w:lineRule="auto"/>
        <w:rPr>
          <w:sz w:val="20"/>
          <w:szCs w:val="20"/>
          <w:color w:val="auto"/>
        </w:rPr>
      </w:pPr>
      <w:r>
        <w:rPr>
          <w:rFonts w:ascii="Times New Roman" w:cs="Times New Roman" w:eastAsia="Times New Roman" w:hAnsi="Times New Roman"/>
          <w:sz w:val="19"/>
          <w:szCs w:val="19"/>
          <w:color w:val="auto"/>
        </w:rPr>
        <w:t>identified below (or in a Data Schedule) or at any other address of which that Party has notified the other Party in accordance with this Section 15.6. Notwithstanding the foregoing, notices which are applicable generally to Tradeweb data subscribers</w:t>
      </w:r>
    </w:p>
    <w:p>
      <w:pPr>
        <w:ind w:left="640"/>
        <w:spacing w:after="0" w:line="211" w:lineRule="auto"/>
        <w:rPr>
          <w:sz w:val="20"/>
          <w:szCs w:val="20"/>
          <w:color w:val="auto"/>
        </w:rPr>
      </w:pPr>
      <w:r>
        <w:rPr>
          <w:rFonts w:ascii="Times New Roman" w:cs="Times New Roman" w:eastAsia="Times New Roman" w:hAnsi="Times New Roman"/>
          <w:sz w:val="20"/>
          <w:szCs w:val="20"/>
          <w:color w:val="auto"/>
        </w:rPr>
        <w:t>(or to a subset thereof subscribed to particular Licensed Data or Data Service) may be made by posting such notice to</w:t>
      </w:r>
    </w:p>
    <w:p>
      <w:pPr>
        <w:ind w:left="640"/>
        <w:spacing w:after="0" w:line="221" w:lineRule="auto"/>
        <w:rPr>
          <w:sz w:val="20"/>
          <w:szCs w:val="20"/>
          <w:color w:val="auto"/>
        </w:rPr>
      </w:pPr>
      <w:r>
        <w:rPr>
          <w:rFonts w:ascii="Times New Roman" w:cs="Times New Roman" w:eastAsia="Times New Roman" w:hAnsi="Times New Roman"/>
          <w:sz w:val="20"/>
          <w:szCs w:val="20"/>
          <w:color w:val="auto"/>
        </w:rPr>
        <w:t>Tradeweb’s public website or to any interface where Subscriber accesses such Licensed Data or Data Service, provided that Tradeweb shall use reasonable efforts to make Subscriber aware of such notice.</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The Parties may execute this Agreement (including any Data Schedule) (i) in multiple counterparts, each of</w:t>
      </w:r>
    </w:p>
    <w:p>
      <w:pPr>
        <w:ind w:left="640"/>
        <w:spacing w:after="0" w:line="204" w:lineRule="auto"/>
        <w:rPr>
          <w:sz w:val="20"/>
          <w:szCs w:val="20"/>
          <w:color w:val="auto"/>
        </w:rPr>
      </w:pPr>
      <w:r>
        <w:rPr>
          <w:rFonts w:ascii="Times New Roman" w:cs="Times New Roman" w:eastAsia="Times New Roman" w:hAnsi="Times New Roman"/>
          <w:sz w:val="20"/>
          <w:szCs w:val="20"/>
          <w:color w:val="auto"/>
        </w:rPr>
        <w:t>which when executed by a Party’s authorized representative is an original counterpart and all of which together constitute one agreement, and (ii) by delivering in accordance with this Section 15.7 an original or copy of the counterpart of this</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Agreement bearing the handwritten, electronic, or digital signature of an authorized representative of the Party intending to be bound.</w:t>
      </w:r>
    </w:p>
    <w:p>
      <w:pPr>
        <w:spacing w:after="0" w:line="1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Except as otherwise set forth in this Agreement, this Agreement may be amended or modified only by a written</w:t>
      </w:r>
    </w:p>
    <w:p>
      <w:pPr>
        <w:spacing w:after="0" w:line="4"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instrument that refers specifically to this Agreement and is executed in accordance with Section 15.7, but “written instrument” does not include the text of e-mails or similar electronic communications.</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20"/>
          <w:szCs w:val="20"/>
          <w:b w:val="1"/>
          <w:bCs w:val="1"/>
          <w:color w:val="auto"/>
        </w:rPr>
        <w:t>No Waiver; Cumulative Remedies</w:t>
      </w:r>
      <w:r>
        <w:rPr>
          <w:rFonts w:ascii="Times New Roman" w:cs="Times New Roman" w:eastAsia="Times New Roman" w:hAnsi="Times New Roman"/>
          <w:sz w:val="20"/>
          <w:szCs w:val="20"/>
          <w:color w:val="auto"/>
        </w:rPr>
        <w:t>. A Party’s failure to enforce any provisions of or rights deriving from this Agreement</w:t>
      </w:r>
    </w:p>
    <w:p>
      <w:pPr>
        <w:ind w:left="640"/>
        <w:spacing w:after="0" w:line="215" w:lineRule="auto"/>
        <w:rPr>
          <w:sz w:val="20"/>
          <w:szCs w:val="20"/>
          <w:color w:val="auto"/>
        </w:rPr>
      </w:pPr>
      <w:r>
        <w:rPr>
          <w:rFonts w:ascii="Times New Roman" w:cs="Times New Roman" w:eastAsia="Times New Roman" w:hAnsi="Times New Roman"/>
          <w:sz w:val="19"/>
          <w:szCs w:val="19"/>
          <w:color w:val="auto"/>
        </w:rPr>
        <w:t>does not waive those provisions or rights, or that Party’s right to enforce those provisions or rights. Except to the extent stated otherwise in this Agreement, each Party’s rights and remedies under this Agreement are cumulative and are in addition</w:t>
      </w:r>
    </w:p>
    <w:p>
      <w:pPr>
        <w:ind w:left="640"/>
        <w:spacing w:after="0"/>
        <w:rPr>
          <w:sz w:val="20"/>
          <w:szCs w:val="20"/>
          <w:color w:val="auto"/>
        </w:rPr>
      </w:pPr>
      <w:r>
        <w:rPr>
          <w:rFonts w:ascii="Times New Roman" w:cs="Times New Roman" w:eastAsia="Times New Roman" w:hAnsi="Times New Roman"/>
          <w:sz w:val="20"/>
          <w:szCs w:val="20"/>
          <w:color w:val="auto"/>
        </w:rPr>
        <w:t>to any other rights and remedies available at Law or in equity.</w:t>
      </w:r>
    </w:p>
    <w:p>
      <w:pPr>
        <w:spacing w:after="0" w:line="163"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Parties acknowledge that the provisions of this Agreement are the language the Parties chose to express their mutual intent and hereby waive any remedy and the applicability of any Law that would require interpretation of any</w:t>
      </w:r>
    </w:p>
    <w:p>
      <w:pPr>
        <w:ind w:left="640"/>
        <w:spacing w:after="0" w:line="213" w:lineRule="auto"/>
        <w:rPr>
          <w:sz w:val="20"/>
          <w:szCs w:val="20"/>
          <w:color w:val="auto"/>
        </w:rPr>
      </w:pPr>
      <w:r>
        <w:rPr>
          <w:rFonts w:ascii="Times New Roman" w:cs="Times New Roman" w:eastAsia="Times New Roman" w:hAnsi="Times New Roman"/>
          <w:sz w:val="20"/>
          <w:szCs w:val="20"/>
          <w:color w:val="auto"/>
        </w:rPr>
        <w:t>claimed ambiguity, omission, or conflict in this Agreement against the Party that drafted it. The descriptive headings in this</w:t>
      </w:r>
    </w:p>
    <w:p>
      <w:pPr>
        <w:ind w:left="640"/>
        <w:spacing w:after="0" w:line="204" w:lineRule="auto"/>
        <w:rPr>
          <w:sz w:val="20"/>
          <w:szCs w:val="20"/>
          <w:color w:val="auto"/>
        </w:rPr>
      </w:pPr>
      <w:r>
        <w:rPr>
          <w:rFonts w:ascii="Times New Roman" w:cs="Times New Roman" w:eastAsia="Times New Roman" w:hAnsi="Times New Roman"/>
          <w:sz w:val="20"/>
          <w:szCs w:val="20"/>
          <w:color w:val="auto"/>
        </w:rPr>
        <w:t>Agreement are used solely for convenience and are not intended to affect its meaning or interpretation. The words “including,” “include,” and “includes” are not limiting and are to be read as if they were followed by the phrase “without</w:t>
      </w:r>
    </w:p>
    <w:p>
      <w:pPr>
        <w:ind w:left="640"/>
        <w:spacing w:after="0" w:line="223" w:lineRule="auto"/>
        <w:rPr>
          <w:sz w:val="20"/>
          <w:szCs w:val="20"/>
          <w:color w:val="auto"/>
        </w:rPr>
      </w:pPr>
      <w:r>
        <w:rPr>
          <w:rFonts w:ascii="Times New Roman" w:cs="Times New Roman" w:eastAsia="Times New Roman" w:hAnsi="Times New Roman"/>
          <w:sz w:val="19"/>
          <w:szCs w:val="19"/>
          <w:color w:val="auto"/>
        </w:rPr>
        <w:t>limitation.” “Sole discretion” means, with respect to any determination to be made under this Agreement by a Party, the sole</w:t>
      </w:r>
    </w:p>
    <w:p>
      <w:pPr>
        <w:ind w:left="640"/>
        <w:spacing w:after="0" w:line="204" w:lineRule="auto"/>
        <w:rPr>
          <w:sz w:val="20"/>
          <w:szCs w:val="20"/>
          <w:color w:val="auto"/>
        </w:rPr>
      </w:pPr>
      <w:r>
        <w:rPr>
          <w:rFonts w:ascii="Times New Roman" w:cs="Times New Roman" w:eastAsia="Times New Roman" w:hAnsi="Times New Roman"/>
          <w:sz w:val="20"/>
          <w:szCs w:val="20"/>
          <w:color w:val="auto"/>
        </w:rPr>
        <w:t>and absolute discretion of that Party, without regard to any standard of reasonableness or other standard by which the determination of that Party might be challenged. “Commercially reasonable efforts” means, with respect to a given</w:t>
      </w:r>
    </w:p>
    <w:p>
      <w:pPr>
        <w:ind w:left="640"/>
        <w:spacing w:after="0" w:line="223" w:lineRule="auto"/>
        <w:rPr>
          <w:sz w:val="20"/>
          <w:szCs w:val="20"/>
          <w:color w:val="auto"/>
        </w:rPr>
      </w:pPr>
      <w:r>
        <w:rPr>
          <w:rFonts w:ascii="Times New Roman" w:cs="Times New Roman" w:eastAsia="Times New Roman" w:hAnsi="Times New Roman"/>
          <w:sz w:val="19"/>
          <w:szCs w:val="19"/>
          <w:color w:val="auto"/>
        </w:rPr>
        <w:t>obligation, the efforts that a reasonable and prudent Person desirous of achieving a result would use in similar circumstances</w:t>
      </w:r>
    </w:p>
    <w:p>
      <w:pPr>
        <w:ind w:left="640"/>
        <w:spacing w:after="0" w:line="204" w:lineRule="auto"/>
        <w:rPr>
          <w:sz w:val="20"/>
          <w:szCs w:val="20"/>
          <w:color w:val="auto"/>
        </w:rPr>
      </w:pPr>
      <w:r>
        <w:rPr>
          <w:rFonts w:ascii="Times New Roman" w:cs="Times New Roman" w:eastAsia="Times New Roman" w:hAnsi="Times New Roman"/>
          <w:sz w:val="20"/>
          <w:szCs w:val="20"/>
          <w:color w:val="auto"/>
        </w:rPr>
        <w:t>to perform that obligation as promptly as possible consistent with its normal business practices and good-faith business judgment, including the incurrence of reasonable immaterial expenditures or liabilities. Unless stated otherwise, all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references to a date or time of day in this Agreement are references to that date or time of day in New York, New York.</w:t>
      </w:r>
    </w:p>
    <w:p>
      <w:pPr>
        <w:spacing w:after="0" w:line="163" w:lineRule="exact"/>
        <w:rPr>
          <w:sz w:val="20"/>
          <w:szCs w:val="20"/>
          <w:color w:val="auto"/>
        </w:rPr>
      </w:pPr>
    </w:p>
    <w:p>
      <w:pPr>
        <w:ind w:left="640" w:hanging="647"/>
        <w:spacing w:after="0" w:line="235" w:lineRule="auto"/>
        <w:tabs>
          <w:tab w:leader="none" w:pos="620" w:val="left"/>
        </w:tabs>
        <w:rPr>
          <w:sz w:val="20"/>
          <w:szCs w:val="20"/>
          <w:color w:val="auto"/>
        </w:rPr>
      </w:pPr>
      <w:r>
        <w:rPr>
          <w:rFonts w:ascii="Times New Roman" w:cs="Times New Roman" w:eastAsia="Times New Roman" w:hAnsi="Times New Roman"/>
          <w:sz w:val="20"/>
          <w:szCs w:val="20"/>
          <w:color w:val="auto"/>
        </w:rPr>
        <w:t>15.11</w:t>
      </w:r>
      <w:r>
        <w:rPr>
          <w:sz w:val="20"/>
          <w:szCs w:val="20"/>
          <w:color w:val="auto"/>
        </w:rPr>
        <w:tab/>
      </w:r>
      <w:r>
        <w:rPr>
          <w:rFonts w:ascii="Times New Roman" w:cs="Times New Roman" w:eastAsia="Times New Roman" w:hAnsi="Times New Roman"/>
          <w:sz w:val="20"/>
          <w:szCs w:val="20"/>
          <w:b w:val="1"/>
          <w:bCs w:val="1"/>
          <w:color w:val="auto"/>
        </w:rPr>
        <w:t>No Publicity</w:t>
      </w:r>
      <w:r>
        <w:rPr>
          <w:rFonts w:ascii="Times New Roman" w:cs="Times New Roman" w:eastAsia="Times New Roman" w:hAnsi="Times New Roman"/>
          <w:sz w:val="20"/>
          <w:szCs w:val="20"/>
          <w:color w:val="auto"/>
        </w:rPr>
        <w:t>. Neither Party shall use the other Party’s name, trade name, trademark, service mark, or symbol,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abbreviation, contraction, or simulation thereof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580"/>
          </w:cols>
          <w:pgMar w:left="980" w:top="1394" w:right="339" w:bottom="1440" w:gutter="0" w:footer="0" w:header="0"/>
        </w:sectPr>
      </w:pPr>
    </w:p>
    <w:bookmarkStart w:id="169" w:name="page170"/>
    <w:bookmarkEnd w:id="169"/>
    <w:p>
      <w:pPr>
        <w:ind w:left="640" w:right="20"/>
        <w:spacing w:after="0"/>
        <w:rPr>
          <w:sz w:val="20"/>
          <w:szCs w:val="20"/>
          <w:color w:val="auto"/>
        </w:rPr>
      </w:pPr>
      <w:r>
        <w:rPr>
          <w:rFonts w:ascii="Times New Roman" w:cs="Times New Roman" w:eastAsia="Times New Roman" w:hAnsi="Times New Roman"/>
          <w:sz w:val="20"/>
          <w:szCs w:val="20"/>
          <w:color w:val="auto"/>
        </w:rPr>
        <w:t>marketing or promotional materials or press releases without such Party’s prior written consent (which such Party may withhold in its sole discretion).</w:t>
      </w:r>
    </w:p>
    <w:p>
      <w:pPr>
        <w:spacing w:after="0" w:line="144" w:lineRule="exact"/>
        <w:rPr>
          <w:sz w:val="20"/>
          <w:szCs w:val="20"/>
          <w:color w:val="auto"/>
        </w:rPr>
      </w:pPr>
    </w:p>
    <w:p>
      <w:pPr>
        <w:jc w:val="right"/>
        <w:ind w:right="20"/>
        <w:spacing w:after="0" w:line="224" w:lineRule="auto"/>
        <w:rPr>
          <w:sz w:val="20"/>
          <w:szCs w:val="20"/>
          <w:color w:val="auto"/>
        </w:rPr>
      </w:pPr>
      <w:r>
        <w:rPr>
          <w:rFonts w:ascii="Times New Roman" w:cs="Times New Roman" w:eastAsia="Times New Roman" w:hAnsi="Times New Roman"/>
          <w:sz w:val="20"/>
          <w:szCs w:val="20"/>
          <w:color w:val="auto"/>
        </w:rPr>
        <w:t xml:space="preserve">15.12  </w:t>
      </w:r>
      <w:r>
        <w:rPr>
          <w:rFonts w:ascii="Times New Roman" w:cs="Times New Roman" w:eastAsia="Times New Roman" w:hAnsi="Times New Roman"/>
          <w:sz w:val="20"/>
          <w:szCs w:val="20"/>
          <w:b w:val="1"/>
          <w:bCs w:val="1"/>
          <w:color w:val="auto"/>
        </w:rPr>
        <w:t>Third-Party Beneficiaries</w:t>
      </w:r>
      <w:r>
        <w:rPr>
          <w:rFonts w:ascii="Times New Roman" w:cs="Times New Roman" w:eastAsia="Times New Roman" w:hAnsi="Times New Roman"/>
          <w:sz w:val="20"/>
          <w:szCs w:val="20"/>
          <w:color w:val="auto"/>
        </w:rPr>
        <w:t>. Except to the extent stated otherwise in this Agreement, nothing in this Agreement confers any legal or equitable right, benefit, or remedy upon any Person other than the Parties. Subscriber acknowledges that the relevant</w:t>
      </w:r>
    </w:p>
    <w:p>
      <w:pPr>
        <w:spacing w:after="0" w:line="2"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Administrator is a third-party beneficiary of Sections 2.3(viii), 8.2, 9.2, 10, 11.2, and 11.3, and with respect to its Confidential Information, 13.</w:t>
      </w:r>
    </w:p>
    <w:p>
      <w:pPr>
        <w:spacing w:after="0" w:line="1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15.13</w:t>
      </w:r>
      <w:r>
        <w:rPr>
          <w:sz w:val="20"/>
          <w:szCs w:val="20"/>
          <w:color w:val="auto"/>
        </w:rPr>
        <w:tab/>
      </w:r>
      <w:r>
        <w:rPr>
          <w:rFonts w:ascii="Times New Roman" w:cs="Times New Roman" w:eastAsia="Times New Roman" w:hAnsi="Times New Roman"/>
          <w:sz w:val="20"/>
          <w:szCs w:val="20"/>
          <w:b w:val="1"/>
          <w:bCs w:val="1"/>
          <w:color w:val="auto"/>
        </w:rPr>
        <w:t>Attorneys’ Fees</w:t>
      </w:r>
      <w:r>
        <w:rPr>
          <w:rFonts w:ascii="Times New Roman" w:cs="Times New Roman" w:eastAsia="Times New Roman" w:hAnsi="Times New Roman"/>
          <w:sz w:val="20"/>
          <w:szCs w:val="20"/>
          <w:color w:val="auto"/>
        </w:rPr>
        <w:t>. In any litigation, arbitration, or other proceeding by which a Party either seeks to enforce its rights under</w:t>
      </w:r>
    </w:p>
    <w:p>
      <w:pPr>
        <w:ind w:left="640"/>
        <w:spacing w:after="0" w:line="204" w:lineRule="auto"/>
        <w:rPr>
          <w:sz w:val="20"/>
          <w:szCs w:val="20"/>
          <w:color w:val="auto"/>
        </w:rPr>
      </w:pPr>
      <w:r>
        <w:rPr>
          <w:rFonts w:ascii="Times New Roman" w:cs="Times New Roman" w:eastAsia="Times New Roman" w:hAnsi="Times New Roman"/>
          <w:sz w:val="20"/>
          <w:szCs w:val="20"/>
          <w:color w:val="auto"/>
        </w:rPr>
        <w:t>this Agreement (whether in contract and/or tort), or seeks a declaration of any rights or obligations under this Agreement, the non-prevailing Party shall reimburse the prevailing Party for the prevailing Party’s reasonable attorneys’ fees and other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expenses incurred in connection therewith.</w:t>
      </w:r>
    </w:p>
    <w:p>
      <w:pPr>
        <w:spacing w:after="0" w:line="163"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color w:val="auto"/>
        </w:rPr>
        <w:t xml:space="preserve">15.14   </w:t>
      </w:r>
      <w:r>
        <w:rPr>
          <w:rFonts w:ascii="Times New Roman" w:cs="Times New Roman" w:eastAsia="Times New Roman" w:hAnsi="Times New Roman"/>
          <w:sz w:val="20"/>
          <w:szCs w:val="20"/>
          <w:b w:val="1"/>
          <w:bCs w:val="1"/>
          <w:color w:val="auto"/>
        </w:rPr>
        <w:t>Unauthorized Disclosure</w:t>
      </w:r>
      <w:r>
        <w:rPr>
          <w:rFonts w:ascii="Times New Roman" w:cs="Times New Roman" w:eastAsia="Times New Roman" w:hAnsi="Times New Roman"/>
          <w:sz w:val="20"/>
          <w:szCs w:val="20"/>
          <w:color w:val="auto"/>
        </w:rPr>
        <w:t>. Recipient acknowledges that the disclosing Party’s Confidential Information is valuable to the disclosing Party, and any unauthorized disclosure, access, use, destruction, alteration, or loss of Confidential Information (an</w:t>
      </w:r>
    </w:p>
    <w:p>
      <w:pPr>
        <w:ind w:left="640"/>
        <w:spacing w:after="0" w:line="21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Loss</w:t>
      </w:r>
      <w:r>
        <w:rPr>
          <w:rFonts w:ascii="Times New Roman" w:cs="Times New Roman" w:eastAsia="Times New Roman" w:hAnsi="Times New Roman"/>
          <w:sz w:val="20"/>
          <w:szCs w:val="20"/>
          <w:color w:val="auto"/>
        </w:rPr>
        <w:t>”) may cause irreparable injury to the disclosing Party, and (ii) the remedies at Law for any Information</w:t>
      </w:r>
    </w:p>
    <w:p>
      <w:pPr>
        <w:ind w:left="640"/>
        <w:spacing w:after="0" w:line="204" w:lineRule="auto"/>
        <w:rPr>
          <w:sz w:val="20"/>
          <w:szCs w:val="20"/>
          <w:color w:val="auto"/>
        </w:rPr>
      </w:pPr>
      <w:r>
        <w:rPr>
          <w:rFonts w:ascii="Times New Roman" w:cs="Times New Roman" w:eastAsia="Times New Roman" w:hAnsi="Times New Roman"/>
          <w:sz w:val="20"/>
          <w:szCs w:val="20"/>
          <w:color w:val="auto"/>
        </w:rPr>
        <w:t>Loss may be inadequate and the damages resulting from any breach of Section 2.3 or Section 13 may not readily be measured in monetary terms. Without limiting any of the disclosing Party’s other rights and remedies, (a) if Recipient</w:t>
      </w:r>
    </w:p>
    <w:p>
      <w:pPr>
        <w:ind w:left="640"/>
        <w:spacing w:after="0" w:line="211" w:lineRule="auto"/>
        <w:rPr>
          <w:sz w:val="20"/>
          <w:szCs w:val="20"/>
          <w:color w:val="auto"/>
        </w:rPr>
      </w:pPr>
      <w:r>
        <w:rPr>
          <w:rFonts w:ascii="Times New Roman" w:cs="Times New Roman" w:eastAsia="Times New Roman" w:hAnsi="Times New Roman"/>
          <w:sz w:val="20"/>
          <w:szCs w:val="20"/>
          <w:color w:val="auto"/>
        </w:rPr>
        <w:t>becomes aware of an actual or threatened Information Loss, then Recipient shall, to the extent permitted by Law, promptly</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notify the disclosing Party and reasonably cooperate with the disclosing Party to regain possession of its Confidential Information and prevent any further Information Loss, and (b) if there is an actual or threatened Information Loss, then the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disclosing Party may seek any injunctive or other equitable relief that a court of competent jurisdiction deems proper (including an order restraining any threatened or future Information Loss), on use of affidavit evidence or otherwise,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without furnishing proof of actual damages or posting a bond or surety.</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580"/>
          </w:cols>
          <w:pgMar w:left="980" w:top="1399" w:right="339" w:bottom="1440" w:gutter="0" w:footer="0" w:header="0"/>
        </w:sectPr>
      </w:pPr>
    </w:p>
    <w:bookmarkStart w:id="170" w:name="page171"/>
    <w:bookmarkEnd w:id="170"/>
    <w:p>
      <w:pPr>
        <w:ind w:left="640"/>
        <w:spacing w:after="0"/>
        <w:rPr>
          <w:sz w:val="20"/>
          <w:szCs w:val="20"/>
          <w:color w:val="auto"/>
        </w:rPr>
      </w:pPr>
      <w:r>
        <w:rPr>
          <w:rFonts w:ascii="Times New Roman" w:cs="Times New Roman" w:eastAsia="Times New Roman" w:hAnsi="Times New Roman"/>
          <w:sz w:val="19"/>
          <w:szCs w:val="19"/>
          <w:color w:val="auto"/>
        </w:rPr>
        <w:t>The Parties have caused this Master Data License Agreement to be executed by their respective duly authorized representatives.</w:t>
      </w:r>
    </w:p>
    <w:p>
      <w:pPr>
        <w:sectPr>
          <w:pgSz w:w="11900" w:h="16838" w:orient="portrait"/>
          <w:cols w:equalWidth="0" w:num="1">
            <w:col w:w="10760"/>
          </w:cols>
          <w:pgMar w:left="340" w:top="1399" w:right="79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REFINITIV US LLC</w:t>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Kerry Baker Relf</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Kerry Baker Relf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Group Director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October 25,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REFINITIV US ORGANIZATION LLC</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Jacobson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Paul Jacobson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Financial Controller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October 24, 2023</w:t>
      </w: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If to Refinitiv:</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28 Liberty Street</w:t>
      </w:r>
    </w:p>
    <w:p>
      <w:pPr>
        <w:ind w:left="60"/>
        <w:spacing w:after="0" w:line="197" w:lineRule="auto"/>
        <w:rPr>
          <w:sz w:val="20"/>
          <w:szCs w:val="20"/>
          <w:color w:val="auto"/>
        </w:rPr>
      </w:pPr>
      <w:r>
        <w:rPr>
          <w:rFonts w:ascii="Times New Roman" w:cs="Times New Roman" w:eastAsia="Times New Roman" w:hAnsi="Times New Roman"/>
          <w:sz w:val="20"/>
          <w:szCs w:val="20"/>
          <w:color w:val="auto"/>
        </w:rPr>
        <w:t>New York, NY 10005</w:t>
      </w:r>
    </w:p>
    <w:p>
      <w:pPr>
        <w:ind w:left="60"/>
        <w:spacing w:after="0" w:line="211" w:lineRule="auto"/>
        <w:rPr>
          <w:sz w:val="20"/>
          <w:szCs w:val="20"/>
          <w:color w:val="auto"/>
        </w:rPr>
      </w:pPr>
      <w:r>
        <w:rPr>
          <w:rFonts w:ascii="Times New Roman" w:cs="Times New Roman" w:eastAsia="Times New Roman" w:hAnsi="Times New Roman"/>
          <w:sz w:val="20"/>
          <w:szCs w:val="20"/>
          <w:color w:val="auto"/>
        </w:rPr>
        <w:t>Attention: General Counsel</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TRADEWEB MARKETS LLC</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Sara Furber</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Sara Furber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Chief Financial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October 25,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If to Tradeweb Markets LLC.:</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1177 Avenue of the Americas</w:t>
      </w:r>
    </w:p>
    <w:p>
      <w:pPr>
        <w:ind w:left="60"/>
        <w:spacing w:after="0" w:line="211" w:lineRule="auto"/>
        <w:rPr>
          <w:sz w:val="20"/>
          <w:szCs w:val="20"/>
          <w:color w:val="auto"/>
        </w:rPr>
      </w:pPr>
      <w:r>
        <w:rPr>
          <w:rFonts w:ascii="Times New Roman" w:cs="Times New Roman" w:eastAsia="Times New Roman" w:hAnsi="Times New Roman"/>
          <w:sz w:val="20"/>
          <w:szCs w:val="20"/>
          <w:color w:val="auto"/>
        </w:rPr>
        <w:t>New York, NY 10036</w:t>
      </w:r>
    </w:p>
    <w:p>
      <w:pPr>
        <w:ind w:left="60"/>
        <w:spacing w:after="0" w:line="197" w:lineRule="auto"/>
        <w:rPr>
          <w:sz w:val="20"/>
          <w:szCs w:val="20"/>
          <w:color w:val="auto"/>
        </w:rPr>
      </w:pPr>
      <w:r>
        <w:rPr>
          <w:rFonts w:ascii="Times New Roman" w:cs="Times New Roman" w:eastAsia="Times New Roman" w:hAnsi="Times New Roman"/>
          <w:sz w:val="20"/>
          <w:szCs w:val="20"/>
          <w:color w:val="auto"/>
        </w:rPr>
        <w:t>Attention: Douglas Friedman</w:t>
      </w:r>
    </w:p>
    <w:p>
      <w:pPr>
        <w:ind w:left="60"/>
        <w:spacing w:after="0" w:line="211" w:lineRule="auto"/>
        <w:rPr>
          <w:sz w:val="20"/>
          <w:szCs w:val="20"/>
          <w:color w:val="auto"/>
        </w:rPr>
      </w:pPr>
      <w:r>
        <w:rPr>
          <w:rFonts w:ascii="Times New Roman" w:cs="Times New Roman" w:eastAsia="Times New Roman" w:hAnsi="Times New Roman"/>
          <w:sz w:val="20"/>
          <w:szCs w:val="20"/>
          <w:color w:val="auto"/>
        </w:rPr>
        <w:t>E-mail: [***]</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Fax: [***]</w:t>
      </w:r>
    </w:p>
    <w:p>
      <w:pPr>
        <w:spacing w:after="0" w:line="1604" w:lineRule="exact"/>
        <w:rPr>
          <w:sz w:val="20"/>
          <w:szCs w:val="20"/>
          <w:color w:val="auto"/>
        </w:rPr>
      </w:pPr>
    </w:p>
    <w:p>
      <w:pPr>
        <w:sectPr>
          <w:pgSz w:w="11900" w:h="16838" w:orient="portrait"/>
          <w:cols w:equalWidth="0" w:num="2">
            <w:col w:w="4900" w:space="720"/>
            <w:col w:w="5140"/>
          </w:cols>
          <w:pgMar w:left="340" w:top="139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760"/>
          </w:cols>
          <w:pgMar w:left="340" w:top="1399" w:right="799" w:bottom="1440" w:gutter="0" w:footer="0" w:header="0"/>
          <w:type w:val="continuous"/>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Tradeweb Supplemental Terms</w:t>
      </w:r>
    </w:p>
    <w:p>
      <w:pPr>
        <w:spacing w:after="0" w:line="180"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Certain information and services (referred to herein as the “Licensed Data” or “Data Services”, as applicable) that you receive may be owned by Tradeweb Markets LLC (“Tradeweb”) and received through Refinitiv’s platform or services. When your firm receives the Licensed Data or Data Services, the following terms apply:</w:t>
      </w:r>
    </w:p>
    <w:p>
      <w:pPr>
        <w:spacing w:after="0" w:line="203" w:lineRule="exact"/>
        <w:rPr>
          <w:sz w:val="20"/>
          <w:szCs w:val="20"/>
          <w:color w:val="auto"/>
        </w:rPr>
      </w:pPr>
    </w:p>
    <w:p>
      <w:pPr>
        <w:ind w:left="340" w:hanging="332"/>
        <w:spacing w:after="0" w:line="261" w:lineRule="auto"/>
        <w:tabs>
          <w:tab w:leader="none" w:pos="35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LICENSED DATA IS PROVIDED “AS IS” WITHOUT WARRANTY OF ANY KIND. TRADEWEB, ITS AFFILIATES, AND ITS AND THEIR LICENSORS HEREBY DISCLAIM ALL REPRESENTATIONS AND WARRANTIES, WHETHER EXPRESS, IMPLIED, STATUTORY, OR OTHERWISE. TRADEWEB, ITS AFFILIATES, AND ITS AND THEIR LICENSORS SPECIFICALLY DISCLAIM ALL IMPLIED WARRANTIES OF MERCHANTABILITY, FITNESS FOR A PARTICULAR PURPOSE, TITLE, AND NON-INFRINGEMENT, AND ALL WARRANTIES ARISING FROM COURSE OF DEALING, USAGE, OR TRADE PRACTICE. TRADEWEB, ITS AFFILIATES, AND ITS AND THEIR LICENSORS MAKE NO WARRANTY OF ANY KIND THAT THE LICENSED DATA AND DATA SERVICES, OR ANY PRODUCTS OR RESULTS OF USE OF THE LICENSED DATA AND DATA SERVICES, WILL MEET ANY PERSON’S REQUIREMENTS OR BE ACCURATE, COMPLETE, FREE OF HARMFUL CODE, OR ERROR FREE. THE LICENSED DATA AND DATA SERVICES ARE PROVIDED FOR INFORMATION PURPOSES ONLY AND DO NOT CONSTITUTE, AND SHALL NOT BE CONSTRUED AS, FINANCIAL, LEGAL, ACCOUNTING, TAX, OR INVESTMENT ADVICE, OR A RECOMMENDATION TO BUY, SELL, OR OTHERWISE TRANSACT IN ANY INVESTMENT OR ENTER INTO ANY TRANSACTION.</w:t>
      </w:r>
    </w:p>
    <w:p>
      <w:pPr>
        <w:spacing w:after="0" w:line="360" w:lineRule="exact"/>
        <w:rPr>
          <w:rFonts w:ascii="Times New Roman" w:cs="Times New Roman" w:eastAsia="Times New Roman" w:hAnsi="Times New Roman"/>
          <w:sz w:val="20"/>
          <w:szCs w:val="20"/>
          <w:color w:val="auto"/>
        </w:rPr>
      </w:pPr>
    </w:p>
    <w:p>
      <w:pPr>
        <w:ind w:left="340" w:right="20" w:hanging="332"/>
        <w:spacing w:after="0" w:line="261" w:lineRule="auto"/>
        <w:tabs>
          <w:tab w:leader="none" w:pos="35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ITS AFFILIATES, AND ITS AND THEIR LICENSORS SHALL NOT BE RESPONSIBLE OR LIABLE FOR ANY INJURY OR DAMAGES ARISING OUT OF THE LICENSED DATA OR DATA SERVICES, INCLUDING ANY DELAYS, INTERRUPTIONS, OR OMISSIONS IN THE LICENSED DATA OR DATA SERVICES. TO THE EXTENT PERMITTED BY LAW, NEITHER TRADEWEB, ANY OF ITS AFFILIATES, NOR ITS OR THEIR LICENSORS WILL BE LIABLE TO ANY PERSON FOR ANY INDIRECT, INCIDENTAL, SPECIAL, CONSEQUENTIAL, OR SIMILAR LOSSES, DAMAGES, OR EXPENSES WHATSOEVER OR HOWSOEVER OCCURRING, WHICH MIGHT ARISE OUT OF OR IN CONNECTION WITH YOUR USE OF THE LICENSED DATA AND DATA SERVICES, INCLUDING LOSSES OR DAMAGES TO PROFITS (WHETHER CHARACTERIZED AS DIRECT OR CONSEQUENTIAL DAMAGES), SALES, TURNOVER, REPUTATION, GOODWILL, CUSTOMERS, DATA, INFORMATION, SOFTWARE, CONTRACTS, ANTICIPATED SAVINGS, WASTED EXPENDITURE, OR BUSINESS OPPORTUNITIES.</w:t>
      </w:r>
    </w:p>
    <w:p>
      <w:pPr>
        <w:spacing w:after="0" w:line="360" w:lineRule="exact"/>
        <w:rPr>
          <w:rFonts w:ascii="Times New Roman" w:cs="Times New Roman" w:eastAsia="Times New Roman" w:hAnsi="Times New Roman"/>
          <w:sz w:val="20"/>
          <w:szCs w:val="20"/>
          <w:color w:val="auto"/>
        </w:rPr>
      </w:pPr>
    </w:p>
    <w:p>
      <w:pPr>
        <w:ind w:left="340" w:right="60" w:hanging="332"/>
        <w:spacing w:after="0" w:line="286" w:lineRule="auto"/>
        <w:tabs>
          <w:tab w:leader="none" w:pos="35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acknowledge and agree that (i) as between you and Tradeweb, full title and all proprietary and intellectual property rights of any nature in the Licensed Data and Data Services (including without limitation patents, copyrights and trademarks) are owned by Tradeweb and shall remain the sole property of Tradeweb; (ii) you shall have no right or interest in such Licensed Data or Data Services, except the right to use such Licensed Data or Data Services in accordance with the terms and conditions of your agreement with Refinitiv.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94" w:right="339" w:bottom="1440" w:gutter="0" w:footer="0" w:header="0"/>
        </w:sectPr>
      </w:pPr>
    </w:p>
    <w:bookmarkStart w:id="172" w:name="page173"/>
    <w:bookmarkEnd w:id="172"/>
    <w:p>
      <w:pPr>
        <w:ind w:left="332" w:right="220" w:hanging="332"/>
        <w:spacing w:after="0" w:line="283" w:lineRule="auto"/>
        <w:tabs>
          <w:tab w:leader="none" w:pos="34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authorize Refinitiv to provide to Tradeweb any information related to your receipt and use of the Licensed Data or Data Services that Tradeweb may reasonable request, including, without limitation, your organization’s name and contact details.</w:t>
      </w:r>
    </w:p>
    <w:p>
      <w:pPr>
        <w:spacing w:after="0" w:line="308" w:lineRule="exact"/>
        <w:rPr>
          <w:rFonts w:ascii="Times New Roman" w:cs="Times New Roman" w:eastAsia="Times New Roman" w:hAnsi="Times New Roman"/>
          <w:sz w:val="20"/>
          <w:szCs w:val="20"/>
          <w:color w:val="auto"/>
        </w:rPr>
      </w:pPr>
    </w:p>
    <w:p>
      <w:pPr>
        <w:ind w:left="332" w:hanging="332"/>
        <w:spacing w:after="0" w:line="222" w:lineRule="auto"/>
        <w:tabs>
          <w:tab w:leader="none" w:pos="35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your agreement with Refinitiv, you shall cease using and delete or destroy all copies of the Licensed Data and Data Services. Upon Tradeweb’s or Refinitiv’s request, you agree to certify in writing that such Licensed Data or Data Service has been deleted or destroyed, and you shall otherwise comply with any reasonable instructions with respect thereto provided by Tradeweb or Refinitiv’s.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12"/>
          </w:cols>
          <w:pgMar w:left="328" w:top="1426" w:right="459" w:bottom="1440" w:gutter="0" w:footer="0" w:header="0"/>
        </w:sectPr>
      </w:pPr>
    </w:p>
    <w:bookmarkStart w:id="173" w:name="page174"/>
    <w:bookmarkEnd w:id="173"/>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B-1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Individual Use Restricted List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9019"/>
          </w:cols>
          <w:pgMar w:left="1440" w:top="1440" w:right="1440" w:bottom="1440" w:gutter="0" w:footer="0" w:header="0"/>
        </w:sectPr>
      </w:pPr>
    </w:p>
    <w:bookmarkStart w:id="174" w:name="page175"/>
    <w:bookmarkEnd w:id="174"/>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B-2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Enterprise Use Restricted List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9019"/>
          </w:cols>
          <w:pgMar w:left="1440" w:top="1440" w:right="1440" w:bottom="1440" w:gutter="0" w:footer="0" w:header="0"/>
        </w:sectPr>
      </w:pPr>
    </w:p>
    <w:bookmarkStart w:id="175" w:name="page176"/>
    <w:bookmarkEnd w:id="175"/>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TRADEWEB DATA SCHEDULE 1 - LEGACY DATA</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TO THE TRADEWEB MASTER DATA LICENSE AGREEMENT</w:t>
      </w:r>
    </w:p>
    <w:p>
      <w:pPr>
        <w:spacing w:after="0" w:line="28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0"/>
          <w:szCs w:val="20"/>
          <w:color w:val="auto"/>
        </w:rPr>
        <w:t>The undersigned Subscriber(s) are hereby subscribing to the Licensed Data for the Purpose and on the terms and conditions set forth in this Tradeweb Data Schedule (this “</w:t>
      </w:r>
      <w:r>
        <w:rPr>
          <w:rFonts w:ascii="Times New Roman" w:cs="Times New Roman" w:eastAsia="Times New Roman" w:hAnsi="Times New Roman"/>
          <w:sz w:val="20"/>
          <w:szCs w:val="20"/>
          <w:b w:val="1"/>
          <w:bCs w:val="1"/>
          <w:color w:val="auto"/>
        </w:rPr>
        <w:t>Data Schedule</w:t>
      </w:r>
      <w:r>
        <w:rPr>
          <w:rFonts w:ascii="Times New Roman" w:cs="Times New Roman" w:eastAsia="Times New Roman" w:hAnsi="Times New Roman"/>
          <w:sz w:val="20"/>
          <w:szCs w:val="20"/>
          <w:color w:val="auto"/>
        </w:rPr>
        <w:t>”) and the use case annexes attached hereto (each, a “</w:t>
      </w:r>
      <w:r>
        <w:rPr>
          <w:rFonts w:ascii="Times New Roman" w:cs="Times New Roman" w:eastAsia="Times New Roman" w:hAnsi="Times New Roman"/>
          <w:sz w:val="20"/>
          <w:szCs w:val="20"/>
          <w:b w:val="1"/>
          <w:bCs w:val="1"/>
          <w:color w:val="auto"/>
        </w:rPr>
        <w:t>Data Use Case Annex</w:t>
      </w:r>
      <w:r>
        <w:rPr>
          <w:rFonts w:ascii="Times New Roman" w:cs="Times New Roman" w:eastAsia="Times New Roman" w:hAnsi="Times New Roman"/>
          <w:sz w:val="20"/>
          <w:szCs w:val="20"/>
          <w:color w:val="auto"/>
        </w:rPr>
        <w:t>”), which are subject to and made a part of the Tradeweb Master Data License Agreement specified below (as amended, the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otherwise defined in this Data Schedule have the meanings given to them in the Master Agreement.</w:t>
      </w:r>
    </w:p>
    <w:p>
      <w:pPr>
        <w:spacing w:after="0" w:line="271"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Subscriber:</w:t>
      </w:r>
      <w:r>
        <w:rPr>
          <w:sz w:val="20"/>
          <w:szCs w:val="20"/>
          <w:color w:val="auto"/>
        </w:rPr>
        <w:tab/>
      </w:r>
      <w:r>
        <w:rPr>
          <w:rFonts w:ascii="Times New Roman" w:cs="Times New Roman" w:eastAsia="Times New Roman" w:hAnsi="Times New Roman"/>
          <w:sz w:val="20"/>
          <w:szCs w:val="20"/>
          <w:color w:val="auto"/>
        </w:rPr>
        <w:t>As defined in Section 1.2 of the Master Agreement</w:t>
      </w:r>
    </w:p>
    <w:p>
      <w:pPr>
        <w:spacing w:after="0" w:line="67" w:lineRule="exact"/>
        <w:rPr>
          <w:sz w:val="20"/>
          <w:szCs w:val="20"/>
          <w:color w:val="auto"/>
        </w:rPr>
      </w:pPr>
    </w:p>
    <w:p>
      <w:pPr>
        <w:ind w:left="1940" w:right="180" w:hanging="1916"/>
        <w:spacing w:after="0" w:line="275" w:lineRule="auto"/>
        <w:tabs>
          <w:tab w:leader="none" w:pos="1920" w:val="left"/>
        </w:tabs>
        <w:rPr>
          <w:sz w:val="20"/>
          <w:szCs w:val="20"/>
          <w:color w:val="auto"/>
        </w:rPr>
      </w:pPr>
      <w:r>
        <w:rPr>
          <w:rFonts w:ascii="Times New Roman" w:cs="Times New Roman" w:eastAsia="Times New Roman" w:hAnsi="Times New Roman"/>
          <w:sz w:val="20"/>
          <w:szCs w:val="20"/>
          <w:b w:val="1"/>
          <w:bCs w:val="1"/>
          <w:color w:val="auto"/>
        </w:rPr>
        <w:t>Licensed Data:</w:t>
      </w:r>
      <w:r>
        <w:rPr>
          <w:sz w:val="20"/>
          <w:szCs w:val="20"/>
          <w:color w:val="auto"/>
        </w:rPr>
        <w:tab/>
      </w:r>
      <w:r>
        <w:rPr>
          <w:rFonts w:ascii="Times New Roman" w:cs="Times New Roman" w:eastAsia="Times New Roman" w:hAnsi="Times New Roman"/>
          <w:sz w:val="20"/>
          <w:szCs w:val="20"/>
          <w:color w:val="auto"/>
        </w:rPr>
        <w:t>The market data sets (including real-time and historical data) identified on Exhibit A hereto (as amended from time to time by written consent of the Parties), as further specified in a Data Use Case Annex. As used herein, the term “</w:t>
      </w:r>
      <w:r>
        <w:rPr>
          <w:rFonts w:ascii="Times New Roman" w:cs="Times New Roman" w:eastAsia="Times New Roman" w:hAnsi="Times New Roman"/>
          <w:sz w:val="20"/>
          <w:szCs w:val="20"/>
          <w:b w:val="1"/>
          <w:bCs w:val="1"/>
          <w:color w:val="auto"/>
        </w:rPr>
        <w:t>Legacy Data</w:t>
      </w:r>
      <w:r>
        <w:rPr>
          <w:rFonts w:ascii="Times New Roman" w:cs="Times New Roman" w:eastAsia="Times New Roman" w:hAnsi="Times New Roman"/>
          <w:sz w:val="20"/>
          <w:szCs w:val="20"/>
          <w:color w:val="auto"/>
        </w:rPr>
        <w:t>” refers to the Licensed Data hereunder that is set forth on Exhibit A as of the date hereof.</w:t>
      </w:r>
    </w:p>
    <w:p>
      <w:pPr>
        <w:spacing w:after="0" w:line="154"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Master Agreement:</w:t>
      </w:r>
      <w:r>
        <w:rPr>
          <w:sz w:val="20"/>
          <w:szCs w:val="20"/>
          <w:color w:val="auto"/>
        </w:rPr>
        <w:tab/>
      </w:r>
      <w:r>
        <w:rPr>
          <w:rFonts w:ascii="Times New Roman" w:cs="Times New Roman" w:eastAsia="Times New Roman" w:hAnsi="Times New Roman"/>
          <w:sz w:val="19"/>
          <w:szCs w:val="19"/>
          <w:color w:val="auto"/>
        </w:rPr>
        <w:t>The Tradeweb Master Data License Agreement dated November 1, 2023 between Tradeweb Markets LLC</w:t>
      </w:r>
    </w:p>
    <w:p>
      <w:pPr>
        <w:spacing w:after="0" w:line="3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w:t>
      </w:r>
      <w:r>
        <w:rPr>
          <w:rFonts w:ascii="Times New Roman" w:cs="Times New Roman" w:eastAsia="Times New Roman" w:hAnsi="Times New Roman"/>
          <w:sz w:val="20"/>
          <w:szCs w:val="20"/>
          <w:color w:val="auto"/>
        </w:rPr>
        <w:t>”) and the undersigned Subscriber (each of Tradeweb and the Subscriber,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amended.</w:t>
      </w:r>
    </w:p>
    <w:p>
      <w:pPr>
        <w:spacing w:after="0" w:line="210" w:lineRule="exact"/>
        <w:rPr>
          <w:sz w:val="20"/>
          <w:szCs w:val="20"/>
          <w:color w:val="auto"/>
        </w:rPr>
      </w:pPr>
    </w:p>
    <w:p>
      <w:pPr>
        <w:ind w:left="1940" w:right="100" w:hanging="1919"/>
        <w:spacing w:after="0" w:line="286" w:lineRule="auto"/>
        <w:tabs>
          <w:tab w:leader="none" w:pos="1920" w:val="left"/>
        </w:tabs>
        <w:rPr>
          <w:sz w:val="20"/>
          <w:szCs w:val="20"/>
          <w:color w:val="auto"/>
        </w:rPr>
      </w:pPr>
      <w:r>
        <w:rPr>
          <w:rFonts w:ascii="Times New Roman" w:cs="Times New Roman" w:eastAsia="Times New Roman" w:hAnsi="Times New Roman"/>
          <w:sz w:val="19"/>
          <w:szCs w:val="19"/>
          <w:b w:val="1"/>
          <w:bCs w:val="1"/>
          <w:color w:val="auto"/>
        </w:rPr>
        <w:t>License:</w:t>
      </w:r>
      <w:r>
        <w:rPr>
          <w:sz w:val="20"/>
          <w:szCs w:val="20"/>
          <w:color w:val="auto"/>
        </w:rPr>
        <w:tab/>
      </w:r>
      <w:r>
        <w:rPr>
          <w:rFonts w:ascii="Times New Roman" w:cs="Times New Roman" w:eastAsia="Times New Roman" w:hAnsi="Times New Roman"/>
          <w:sz w:val="19"/>
          <w:szCs w:val="19"/>
          <w:color w:val="auto"/>
        </w:rPr>
        <w:t>Subject to the terms and conditions set forth in the Master Agreement and this Data Schedule (including but not limited to Section 2.7 of the Master Agreement), Tradeweb grants Subscriber a non-exclusive (except as to Exclusive Use Licensed Data as expressly set forth below), non-transferable, terminable, sub-licensable, worldwide, limited license to use and redistribute the Licensed Data for each Purpose set forth in a Data Use Case Annex.</w:t>
      </w:r>
    </w:p>
    <w:p>
      <w:pPr>
        <w:spacing w:after="0" w:line="97" w:lineRule="exact"/>
        <w:rPr>
          <w:sz w:val="20"/>
          <w:szCs w:val="20"/>
          <w:color w:val="auto"/>
        </w:rPr>
      </w:pPr>
    </w:p>
    <w:p>
      <w:pPr>
        <w:ind w:left="1940" w:right="540"/>
        <w:spacing w:after="0" w:line="275" w:lineRule="auto"/>
        <w:rPr>
          <w:sz w:val="20"/>
          <w:szCs w:val="20"/>
          <w:color w:val="auto"/>
        </w:rPr>
      </w:pPr>
      <w:r>
        <w:rPr>
          <w:rFonts w:ascii="Times New Roman" w:cs="Times New Roman" w:eastAsia="Times New Roman" w:hAnsi="Times New Roman"/>
          <w:sz w:val="20"/>
          <w:szCs w:val="20"/>
          <w:color w:val="auto"/>
        </w:rPr>
        <w:t>For the avoidance of doubt, the foregoing license does not permit Subscriber to sell or otherwise distribute any historical data, including any real time or delayed data stored by Subscriber or delivered by Tradeweb, unless expressly set forth in a Data Use Case Annex or otherwise agreed in writing by the Parties.</w:t>
      </w:r>
    </w:p>
    <w:p>
      <w:pPr>
        <w:spacing w:after="0" w:line="150"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Purpose:</w:t>
      </w:r>
      <w:r>
        <w:rPr>
          <w:sz w:val="20"/>
          <w:szCs w:val="20"/>
          <w:color w:val="auto"/>
        </w:rPr>
        <w:tab/>
      </w:r>
      <w:r>
        <w:rPr>
          <w:rFonts w:ascii="Times New Roman" w:cs="Times New Roman" w:eastAsia="Times New Roman" w:hAnsi="Times New Roman"/>
          <w:sz w:val="20"/>
          <w:szCs w:val="20"/>
          <w:color w:val="auto"/>
        </w:rPr>
        <w:t>As set forth in a Data Use Case Annex.</w:t>
      </w:r>
    </w:p>
    <w:p>
      <w:pPr>
        <w:spacing w:after="0" w:line="166" w:lineRule="exact"/>
        <w:rPr>
          <w:sz w:val="20"/>
          <w:szCs w:val="20"/>
          <w:color w:val="auto"/>
        </w:rPr>
      </w:pPr>
    </w:p>
    <w:p>
      <w:pPr>
        <w:ind w:left="1940" w:right="300"/>
        <w:spacing w:after="0" w:line="310" w:lineRule="auto"/>
        <w:rPr>
          <w:sz w:val="20"/>
          <w:szCs w:val="20"/>
          <w:color w:val="auto"/>
        </w:rPr>
      </w:pPr>
      <w:r>
        <w:rPr>
          <w:rFonts w:ascii="Times New Roman" w:cs="Times New Roman" w:eastAsia="Times New Roman" w:hAnsi="Times New Roman"/>
          <w:sz w:val="19"/>
          <w:szCs w:val="19"/>
          <w:color w:val="auto"/>
        </w:rPr>
        <w:t>Any additional purposes for which Subscriber wishes to use or redistribute the Licensed Data shall be subject to a new (or amended) Data Use Case Annex mutually agreed in writing and executed by Tradeweb and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4" w:right="339" w:bottom="1440" w:gutter="0" w:footer="0" w:header="0"/>
        </w:sectPr>
      </w:pPr>
    </w:p>
    <w:bookmarkStart w:id="176" w:name="page177"/>
    <w:bookmarkEnd w:id="176"/>
    <w:p>
      <w:pPr>
        <w:spacing w:after="0" w:line="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License Period:</w:t>
      </w:r>
      <w:r>
        <w:rPr>
          <w:sz w:val="20"/>
          <w:szCs w:val="20"/>
          <w:color w:val="auto"/>
        </w:rPr>
        <w:tab/>
      </w:r>
      <w:r>
        <w:rPr>
          <w:rFonts w:ascii="Times New Roman" w:cs="Times New Roman" w:eastAsia="Times New Roman" w:hAnsi="Times New Roman"/>
          <w:sz w:val="19"/>
          <w:szCs w:val="19"/>
          <w:color w:val="auto"/>
        </w:rPr>
        <w:t>Initial License Period: November 1, 2023 – October 31, 2025</w:t>
      </w:r>
    </w:p>
    <w:p>
      <w:pPr>
        <w:spacing w:after="0" w:line="166" w:lineRule="exact"/>
        <w:rPr>
          <w:sz w:val="20"/>
          <w:szCs w:val="20"/>
          <w:color w:val="auto"/>
        </w:rPr>
      </w:pPr>
    </w:p>
    <w:p>
      <w:pPr>
        <w:ind w:left="1920"/>
        <w:spacing w:after="0" w:line="263" w:lineRule="auto"/>
        <w:rPr>
          <w:sz w:val="20"/>
          <w:szCs w:val="20"/>
          <w:color w:val="auto"/>
        </w:rPr>
      </w:pPr>
      <w:r>
        <w:rPr>
          <w:rFonts w:ascii="Times New Roman" w:cs="Times New Roman" w:eastAsia="Times New Roman" w:hAnsi="Times New Roman"/>
          <w:sz w:val="20"/>
          <w:szCs w:val="20"/>
          <w:color w:val="auto"/>
        </w:rPr>
        <w:t>Transition Period: Following the Initial License Period, if the Parties have not entered into a written renewal (in any form as may be so agreed), then upon the notice of either Party to the other Party, the terms and conditions of this Data Schedule shall continue in full force and effect for an additional twelve (12) months following the date of expiration of the Initial License Period (the “</w:t>
      </w:r>
      <w:r>
        <w:rPr>
          <w:rFonts w:ascii="Times New Roman" w:cs="Times New Roman" w:eastAsia="Times New Roman" w:hAnsi="Times New Roman"/>
          <w:sz w:val="20"/>
          <w:szCs w:val="20"/>
          <w:b w:val="1"/>
          <w:bCs w:val="1"/>
          <w:color w:val="auto"/>
        </w:rPr>
        <w:t>Transition Period</w:t>
      </w:r>
      <w:r>
        <w:rPr>
          <w:rFonts w:ascii="Times New Roman" w:cs="Times New Roman" w:eastAsia="Times New Roman" w:hAnsi="Times New Roman"/>
          <w:sz w:val="20"/>
          <w:szCs w:val="20"/>
          <w:color w:val="auto"/>
        </w:rPr>
        <w:t>”) to allow for an orderly transition of the market data distribution arrangements contemplated under this Data Schedule. For avoidance of doubt, the Transition Period, if applicable, shall be considered part of the “License Period” for purposes of the Master Agreement and this Data Schedule.</w:t>
      </w:r>
    </w:p>
    <w:p>
      <w:pPr>
        <w:spacing w:after="0" w:line="162"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Delivery:</w:t>
      </w:r>
      <w:r>
        <w:rPr>
          <w:sz w:val="20"/>
          <w:szCs w:val="20"/>
          <w:color w:val="auto"/>
        </w:rPr>
        <w:tab/>
      </w:r>
      <w:r>
        <w:rPr>
          <w:rFonts w:ascii="Times New Roman" w:cs="Times New Roman" w:eastAsia="Times New Roman" w:hAnsi="Times New Roman"/>
          <w:sz w:val="20"/>
          <w:szCs w:val="20"/>
          <w:color w:val="auto"/>
        </w:rPr>
        <w:t>In the same manner the Legacy Data is delivered immediately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40" w:top="1440" w:right="419" w:bottom="1440" w:gutter="0" w:footer="0" w:header="0"/>
        </w:sectPr>
      </w:pPr>
    </w:p>
    <w:bookmarkStart w:id="177" w:name="page178"/>
    <w:bookmarkEnd w:id="177"/>
    <w:p>
      <w:pPr>
        <w:spacing w:after="0" w:line="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Fees:</w:t>
      </w:r>
      <w:r>
        <w:rPr>
          <w:sz w:val="20"/>
          <w:szCs w:val="20"/>
          <w:color w:val="auto"/>
        </w:rPr>
        <w:tab/>
      </w:r>
      <w:r>
        <w:rPr>
          <w:rFonts w:ascii="Times New Roman" w:cs="Times New Roman" w:eastAsia="Times New Roman" w:hAnsi="Times New Roman"/>
          <w:sz w:val="20"/>
          <w:szCs w:val="20"/>
          <w:color w:val="auto"/>
        </w:rPr>
        <w:t>Fixed Fees:</w:t>
      </w:r>
    </w:p>
    <w:p>
      <w:pPr>
        <w:spacing w:after="0" w:line="166" w:lineRule="exact"/>
        <w:rPr>
          <w:sz w:val="20"/>
          <w:szCs w:val="20"/>
          <w:color w:val="auto"/>
        </w:rPr>
      </w:pPr>
    </w:p>
    <w:p>
      <w:pPr>
        <w:ind w:left="1920" w:right="160"/>
        <w:spacing w:after="0" w:line="265" w:lineRule="auto"/>
        <w:rPr>
          <w:sz w:val="20"/>
          <w:szCs w:val="20"/>
          <w:color w:val="auto"/>
        </w:rPr>
      </w:pPr>
      <w:r>
        <w:rPr>
          <w:rFonts w:ascii="Times New Roman" w:cs="Times New Roman" w:eastAsia="Times New Roman" w:hAnsi="Times New Roman"/>
          <w:sz w:val="20"/>
          <w:szCs w:val="20"/>
          <w:color w:val="auto"/>
        </w:rPr>
        <w:t>Initial License Period: In respect of the license grants contained in Data Use Case Annexes 1, 2 and 3, Subscriber will pay to Tradeweb an annual license fee of $[***] (the “</w:t>
      </w:r>
      <w:r>
        <w:rPr>
          <w:rFonts w:ascii="Times New Roman" w:cs="Times New Roman" w:eastAsia="Times New Roman" w:hAnsi="Times New Roman"/>
          <w:sz w:val="20"/>
          <w:szCs w:val="20"/>
          <w:b w:val="1"/>
          <w:bCs w:val="1"/>
          <w:color w:val="auto"/>
        </w:rPr>
        <w:t>Annual License Fee</w:t>
      </w:r>
      <w:r>
        <w:rPr>
          <w:rFonts w:ascii="Times New Roman" w:cs="Times New Roman" w:eastAsia="Times New Roman" w:hAnsi="Times New Roman"/>
          <w:sz w:val="20"/>
          <w:szCs w:val="20"/>
          <w:color w:val="auto"/>
        </w:rPr>
        <w:t>”), which shall be payable in quarterly installments in advance on the 1st of November, February, May and August during the Initial License Period. Additionally, Subscriber will pay to Tradeweb a one-time fee of $[***] for the delivery of the Gold Copies, which shall be payable within 30 days following such delivery (together with the Annual License Fee, the “</w:t>
      </w:r>
      <w:r>
        <w:rPr>
          <w:rFonts w:ascii="Times New Roman" w:cs="Times New Roman" w:eastAsia="Times New Roman" w:hAnsi="Times New Roman"/>
          <w:sz w:val="20"/>
          <w:szCs w:val="20"/>
          <w:b w:val="1"/>
          <w:bCs w:val="1"/>
          <w:color w:val="auto"/>
        </w:rPr>
        <w:t>Fixed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Fee</w:t>
      </w:r>
      <w:r>
        <w:rPr>
          <w:rFonts w:ascii="Times New Roman" w:cs="Times New Roman" w:eastAsia="Times New Roman" w:hAnsi="Times New Roman"/>
          <w:sz w:val="20"/>
          <w:szCs w:val="20"/>
          <w:color w:val="auto"/>
        </w:rPr>
        <w:t>”).</w:t>
      </w:r>
    </w:p>
    <w:p>
      <w:pPr>
        <w:spacing w:after="0" w:line="110" w:lineRule="exact"/>
        <w:rPr>
          <w:sz w:val="20"/>
          <w:szCs w:val="20"/>
          <w:color w:val="auto"/>
        </w:rPr>
      </w:pPr>
    </w:p>
    <w:p>
      <w:pPr>
        <w:ind w:left="1920" w:right="120"/>
        <w:spacing w:after="0" w:line="263" w:lineRule="auto"/>
        <w:rPr>
          <w:sz w:val="20"/>
          <w:szCs w:val="20"/>
          <w:color w:val="auto"/>
        </w:rPr>
      </w:pPr>
      <w:r>
        <w:rPr>
          <w:rFonts w:ascii="Times New Roman" w:cs="Times New Roman" w:eastAsia="Times New Roman" w:hAnsi="Times New Roman"/>
          <w:sz w:val="20"/>
          <w:szCs w:val="20"/>
          <w:color w:val="auto"/>
        </w:rPr>
        <w:t>Transition Period (if applicable): Subscriber shall pay to Tradeweb an amount equal to the Fixed Fee in effect at the end of the Initial License Period plus a percentage increase thereof equal to the cumulative percentage increase in US CPI over the most recent twelve (12) month period immediately preceding the Transition Period. The term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CPI</w:t>
      </w:r>
      <w:r>
        <w:rPr>
          <w:rFonts w:ascii="Times New Roman" w:cs="Times New Roman" w:eastAsia="Times New Roman" w:hAnsi="Times New Roman"/>
          <w:sz w:val="20"/>
          <w:szCs w:val="20"/>
          <w:color w:val="auto"/>
        </w:rPr>
        <w:t>” means the Consumer Price Index for All Urban Consumers for the US City Average for all Items, 1982-1984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Equal 100 Base, as reported by the US Department of Labor’s Bureau of Labor Statistics. Such fee shall be payable in quarterly installments in advance on the 1st of November, February, May and August during the Transition Period.</w:t>
      </w:r>
    </w:p>
    <w:p>
      <w:pPr>
        <w:spacing w:after="0" w:line="112" w:lineRule="exact"/>
        <w:rPr>
          <w:sz w:val="20"/>
          <w:szCs w:val="20"/>
          <w:color w:val="auto"/>
        </w:rPr>
      </w:pPr>
    </w:p>
    <w:p>
      <w:pPr>
        <w:ind w:left="1920"/>
        <w:spacing w:after="0" w:line="278" w:lineRule="auto"/>
        <w:rPr>
          <w:sz w:val="20"/>
          <w:szCs w:val="20"/>
          <w:color w:val="auto"/>
        </w:rPr>
      </w:pPr>
      <w:r>
        <w:rPr>
          <w:rFonts w:ascii="Times New Roman" w:cs="Times New Roman" w:eastAsia="Times New Roman" w:hAnsi="Times New Roman"/>
          <w:sz w:val="19"/>
          <w:szCs w:val="19"/>
          <w:color w:val="auto"/>
        </w:rPr>
        <w:t>The Parties acknowledge and agree that no discount is being given with respect to the license of any Licensed Data labeled as “Regulated” on Exhibit A as of the date hereof, and the standard license fee for such “Regulated” Licensed Data (for the relevant Purpose) is included in the Annual License Fee set forth above. The Parties further acknowledge and agree that, except as may be hereafter specifically agreed in writing by the Parties, the Annual License Fee does not include (i) any license to any data that is not Legacy Data, or (ii) any license to Licensed Data for any use or distribution that is not a Purpose as of the date hereof, each of which may be subject to additional fees.</w:t>
      </w:r>
    </w:p>
    <w:p>
      <w:pPr>
        <w:spacing w:after="0" w:line="102" w:lineRule="exact"/>
        <w:rPr>
          <w:sz w:val="20"/>
          <w:szCs w:val="20"/>
          <w:color w:val="auto"/>
        </w:rPr>
      </w:pPr>
    </w:p>
    <w:p>
      <w:pPr>
        <w:ind w:left="1920" w:right="500"/>
        <w:spacing w:after="0" w:line="297" w:lineRule="auto"/>
        <w:rPr>
          <w:sz w:val="20"/>
          <w:szCs w:val="20"/>
          <w:color w:val="auto"/>
        </w:rPr>
      </w:pPr>
      <w:r>
        <w:rPr>
          <w:rFonts w:ascii="Times New Roman" w:cs="Times New Roman" w:eastAsia="Times New Roman" w:hAnsi="Times New Roman"/>
          <w:sz w:val="20"/>
          <w:szCs w:val="20"/>
          <w:color w:val="auto"/>
        </w:rPr>
        <w:t>Any other fixed fees agreed to in writing after the date hereof in a new or amended Data Use Case Annex shall constitute an increase to the Annual License Fee set forth above (prorated for any partial periods).</w:t>
      </w:r>
    </w:p>
    <w:p>
      <w:pPr>
        <w:spacing w:after="0" w:line="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Revenue Share Fees</w:t>
      </w:r>
    </w:p>
    <w:p>
      <w:pPr>
        <w:spacing w:after="0" w:line="148" w:lineRule="exact"/>
        <w:rPr>
          <w:sz w:val="20"/>
          <w:szCs w:val="20"/>
          <w:color w:val="auto"/>
        </w:rPr>
      </w:pPr>
    </w:p>
    <w:p>
      <w:pPr>
        <w:ind w:left="1920" w:right="260"/>
        <w:spacing w:after="0" w:line="275" w:lineRule="auto"/>
        <w:rPr>
          <w:sz w:val="20"/>
          <w:szCs w:val="20"/>
          <w:color w:val="auto"/>
        </w:rPr>
      </w:pPr>
      <w:r>
        <w:rPr>
          <w:rFonts w:ascii="Times New Roman" w:cs="Times New Roman" w:eastAsia="Times New Roman" w:hAnsi="Times New Roman"/>
          <w:sz w:val="20"/>
          <w:szCs w:val="20"/>
          <w:color w:val="auto"/>
        </w:rPr>
        <w:t>Any revenue share fees set forth in a Data Use Case Annex (including those set forth in Annex 4 hereto as of the date hereof) shall be payable quarterly in arrears within thirty (30) days following receipt of an invoice therefor in accordance with Section 7 of the Master Agreement.</w:t>
      </w:r>
    </w:p>
    <w:p>
      <w:pPr>
        <w:spacing w:after="0" w:line="150" w:lineRule="exact"/>
        <w:rPr>
          <w:sz w:val="20"/>
          <w:szCs w:val="20"/>
          <w:color w:val="auto"/>
        </w:rPr>
      </w:pPr>
    </w:p>
    <w:p>
      <w:pPr>
        <w:ind w:left="1920" w:right="40" w:hanging="1916"/>
        <w:spacing w:after="0" w:line="268" w:lineRule="auto"/>
        <w:tabs>
          <w:tab w:leader="none" w:pos="1900" w:val="left"/>
        </w:tabs>
        <w:rPr>
          <w:sz w:val="20"/>
          <w:szCs w:val="20"/>
          <w:color w:val="auto"/>
        </w:rPr>
      </w:pPr>
      <w:r>
        <w:rPr>
          <w:rFonts w:ascii="Times New Roman" w:cs="Times New Roman" w:eastAsia="Times New Roman" w:hAnsi="Times New Roman"/>
          <w:sz w:val="20"/>
          <w:szCs w:val="20"/>
          <w:b w:val="1"/>
          <w:bCs w:val="1"/>
          <w:color w:val="auto"/>
        </w:rPr>
        <w:t>Usage Reporting:</w:t>
      </w:r>
      <w:r>
        <w:rPr>
          <w:sz w:val="20"/>
          <w:szCs w:val="20"/>
          <w:color w:val="auto"/>
        </w:rPr>
        <w:tab/>
      </w:r>
      <w:r>
        <w:rPr>
          <w:rFonts w:ascii="Times New Roman" w:cs="Times New Roman" w:eastAsia="Times New Roman" w:hAnsi="Times New Roman"/>
          <w:sz w:val="20"/>
          <w:szCs w:val="20"/>
          <w:color w:val="auto"/>
        </w:rPr>
        <w:t>No later than thirty (30) days after last day of each calendar month of the License Period, including the information required by the relevant Data Use Case Annex. Such Usage Reporting shall be delivered to Tradeweb in csv or excel file format by email at the following address: [***]. Additional Usage Reporting requirements may also be specified in a Data Use Case Annex,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00"/>
          </w:cols>
          <w:pgMar w:left="340" w:top="1440" w:right="359" w:bottom="1440" w:gutter="0" w:footer="0" w:header="0"/>
        </w:sectPr>
      </w:pPr>
    </w:p>
    <w:bookmarkStart w:id="178" w:name="page179"/>
    <w:bookmarkEnd w:id="178"/>
    <w:p>
      <w:pPr>
        <w:spacing w:after="0" w:line="37"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9"/>
          <w:szCs w:val="19"/>
          <w:b w:val="1"/>
          <w:bCs w:val="1"/>
          <w:color w:val="auto"/>
        </w:rPr>
        <w:t>Exclusive Use Licensed Data: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With respect to the Licensed Data marked as “Exclusive Use” on Exhibit A hereto (the “</w:t>
      </w:r>
      <w:r>
        <w:rPr>
          <w:rFonts w:ascii="Times New Roman" w:cs="Times New Roman" w:eastAsia="Times New Roman" w:hAnsi="Times New Roman"/>
          <w:sz w:val="20"/>
          <w:szCs w:val="20"/>
          <w:b w:val="1"/>
          <w:bCs w:val="1"/>
          <w:color w:val="auto"/>
        </w:rPr>
        <w:t>Exclusive Use Licensed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Tradeweb shall not, and shall cause its Subsidiaries not to, without Subscriber’s prior written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 any such Exclusive Use Licensed Data to an unaffiliated third party for any Purpose that is listed on a Data Use Case Annex; provided however, that the foregoing shall not prevent Tradeweb from:</w:t>
      </w:r>
    </w:p>
    <w:p>
      <w:pPr>
        <w:spacing w:after="0" w:line="107" w:lineRule="exact"/>
        <w:rPr>
          <w:sz w:val="20"/>
          <w:szCs w:val="20"/>
          <w:color w:val="auto"/>
        </w:rPr>
      </w:pPr>
    </w:p>
    <w:p>
      <w:pPr>
        <w:sectPr>
          <w:pgSz w:w="11900" w:h="16838" w:orient="portrait"/>
          <w:cols w:equalWidth="0" w:num="2">
            <w:col w:w="1280" w:space="640"/>
            <w:col w:w="9200"/>
          </w:cols>
          <w:pgMar w:left="340" w:top="1440" w:right="439" w:bottom="1440" w:gutter="0" w:footer="0" w:header="0"/>
        </w:sectPr>
      </w:pPr>
    </w:p>
    <w:p>
      <w:pPr>
        <w:ind w:left="1920"/>
        <w:spacing w:after="0" w:line="263" w:lineRule="auto"/>
        <w:rPr>
          <w:sz w:val="20"/>
          <w:szCs w:val="20"/>
          <w:color w:val="auto"/>
        </w:rPr>
      </w:pPr>
      <w:r>
        <w:rPr>
          <w:rFonts w:ascii="Times New Roman" w:cs="Times New Roman" w:eastAsia="Times New Roman" w:hAnsi="Times New Roman"/>
          <w:sz w:val="20"/>
          <w:szCs w:val="20"/>
          <w:color w:val="auto"/>
        </w:rPr>
        <w:t>(a) using Exclusive Use Licensed Data: (i) to create, use, license or distribute derived data of any kind (in which Subscriber and its Affiliates will have no rights of any kind, including intellectual property rights), provided that the Exclusive Use Licensed Data cannot be reverse engineered or otherwise identified from analysis or further processing of the derived data, or (ii) in insubstantial amounts, in raw or manipulated form, (x) within reports for Tradeweb clients or (y) on a non-continuous, point-in-time basis as part of a bona fide Tradeweb service (and not on a standalone basis); provided that in each case of (i) and (ii), Tradeweb’s use and distribution of Exclusive Use Licensed Data cannot be used as a replacement or substitute for the Exclusive Use Licensed Data; or</w:t>
      </w:r>
    </w:p>
    <w:p>
      <w:pPr>
        <w:spacing w:after="0" w:line="112" w:lineRule="exact"/>
        <w:rPr>
          <w:sz w:val="20"/>
          <w:szCs w:val="20"/>
          <w:color w:val="auto"/>
        </w:rPr>
      </w:pPr>
    </w:p>
    <w:p>
      <w:pPr>
        <w:ind w:left="1920" w:right="280"/>
        <w:spacing w:after="0" w:line="283" w:lineRule="auto"/>
        <w:rPr>
          <w:sz w:val="20"/>
          <w:szCs w:val="20"/>
          <w:color w:val="auto"/>
        </w:rPr>
      </w:pPr>
      <w:r>
        <w:rPr>
          <w:rFonts w:ascii="Times New Roman" w:cs="Times New Roman" w:eastAsia="Times New Roman" w:hAnsi="Times New Roman"/>
          <w:sz w:val="20"/>
          <w:szCs w:val="20"/>
          <w:color w:val="auto"/>
        </w:rPr>
        <w:t>(b) licensing and distributing Exclusive Use Licensed Data on the Tradeweb viewer or by other means (and for such purposes) intended to directly support Tradeweb’s trading business; or</w:t>
      </w:r>
    </w:p>
    <w:p>
      <w:pPr>
        <w:spacing w:after="0" w:line="92" w:lineRule="exact"/>
        <w:rPr>
          <w:sz w:val="20"/>
          <w:szCs w:val="20"/>
          <w:color w:val="auto"/>
        </w:rPr>
      </w:pPr>
    </w:p>
    <w:p>
      <w:pPr>
        <w:ind w:left="1920" w:right="20"/>
        <w:spacing w:after="0" w:line="268" w:lineRule="auto"/>
        <w:rPr>
          <w:sz w:val="20"/>
          <w:szCs w:val="20"/>
          <w:color w:val="auto"/>
        </w:rPr>
      </w:pPr>
      <w:r>
        <w:rPr>
          <w:rFonts w:ascii="Times New Roman" w:cs="Times New Roman" w:eastAsia="Times New Roman" w:hAnsi="Times New Roman"/>
          <w:sz w:val="20"/>
          <w:szCs w:val="20"/>
          <w:color w:val="auto"/>
        </w:rPr>
        <w:t>(c) providing Exclusive Use Licensed Data to third parties on a time limited trial basis for evaluation purposes only, it being understood that following any such trial evaluation where the evaluating party wishes to subscribe (on a non-trial basis) to Exclusive Use License Data in a manner or for a purpose that Tradeweb is prohibited from providing pursuant to the foregoing restrictions, Tradeweb will refer such third parties to Subscriber.</w:t>
      </w:r>
    </w:p>
    <w:p>
      <w:pPr>
        <w:sectPr>
          <w:pgSz w:w="11900" w:h="16838" w:orient="portrait"/>
          <w:cols w:equalWidth="0" w:num="1">
            <w:col w:w="11120"/>
          </w:cols>
          <w:pgMar w:left="340" w:top="1440" w:right="4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Gold Copy Service: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On January 2, 2025, Tradeweb will deliver an indexed copy of all data delivered to the Subscriber during such first year pursuant to this Data Schedule (collectively, the “</w:t>
      </w:r>
      <w:r>
        <w:rPr>
          <w:rFonts w:ascii="Times New Roman" w:cs="Times New Roman" w:eastAsia="Times New Roman" w:hAnsi="Times New Roman"/>
          <w:sz w:val="20"/>
          <w:szCs w:val="20"/>
          <w:b w:val="1"/>
          <w:bCs w:val="1"/>
          <w:color w:val="auto"/>
        </w:rPr>
        <w:t>Gold Copies</w:t>
      </w:r>
      <w:r>
        <w:rPr>
          <w:rFonts w:ascii="Times New Roman" w:cs="Times New Roman" w:eastAsia="Times New Roman" w:hAnsi="Times New Roman"/>
          <w:sz w:val="20"/>
          <w:szCs w:val="20"/>
          <w:color w:val="auto"/>
        </w:rPr>
        <w:t>”). Notwithstanding anything to the contrary set forth herein, Subscriber may use such Gold Copies solely for its internal record keeping purposes.</w:t>
      </w:r>
    </w:p>
    <w:p>
      <w:pPr>
        <w:spacing w:after="0" w:line="200" w:lineRule="exact"/>
        <w:rPr>
          <w:sz w:val="20"/>
          <w:szCs w:val="20"/>
          <w:color w:val="auto"/>
        </w:rPr>
      </w:pPr>
    </w:p>
    <w:p>
      <w:pPr>
        <w:sectPr>
          <w:pgSz w:w="11900" w:h="16838" w:orient="portrait"/>
          <w:cols w:equalWidth="0" w:num="2">
            <w:col w:w="1660" w:space="260"/>
            <w:col w:w="9200"/>
          </w:cols>
          <w:pgMar w:left="340" w:top="1440" w:right="4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ectPr>
          <w:pgSz w:w="11900" w:h="16838" w:orient="portrait"/>
          <w:cols w:equalWidth="0" w:num="1">
            <w:col w:w="11120"/>
          </w:cols>
          <w:pgMar w:left="34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20"/>
          </w:cols>
          <w:pgMar w:left="340" w:top="1440" w:right="439" w:bottom="1440" w:gutter="0" w:footer="0" w:header="0"/>
          <w:type w:val="continuous"/>
        </w:sectPr>
      </w:pPr>
    </w:p>
    <w:bookmarkStart w:id="179" w:name="page180"/>
    <w:bookmarkEnd w:id="179"/>
    <w:p>
      <w:pPr>
        <w:spacing w:after="0" w:line="283" w:lineRule="auto"/>
        <w:rPr>
          <w:sz w:val="20"/>
          <w:szCs w:val="20"/>
          <w:color w:val="auto"/>
        </w:rPr>
      </w:pPr>
      <w:r>
        <w:rPr>
          <w:rFonts w:ascii="Times New Roman" w:cs="Times New Roman" w:eastAsia="Times New Roman" w:hAnsi="Times New Roman"/>
          <w:sz w:val="20"/>
          <w:szCs w:val="20"/>
          <w:color w:val="auto"/>
        </w:rPr>
        <w:t>The Parties have caused this Data Schedule to be executed by their respective duly authorized representatives with effect as of the date of Tradeweb’s signature below.</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REFINITIV US LLC</w:t>
            </w:r>
          </w:p>
        </w:tc>
        <w:tc>
          <w:tcPr>
            <w:tcW w:w="6280" w:type="dxa"/>
            <w:vAlign w:val="bottom"/>
            <w:gridSpan w:val="7"/>
          </w:tcPr>
          <w:p>
            <w:pPr>
              <w:ind w:left="3620"/>
              <w:spacing w:after="0"/>
              <w:rPr>
                <w:sz w:val="20"/>
                <w:szCs w:val="20"/>
                <w:color w:val="auto"/>
              </w:rPr>
            </w:pPr>
            <w:r>
              <w:rPr>
                <w:rFonts w:ascii="Times New Roman" w:cs="Times New Roman" w:eastAsia="Times New Roman" w:hAnsi="Times New Roman"/>
                <w:sz w:val="20"/>
                <w:szCs w:val="20"/>
                <w:b w:val="1"/>
                <w:bCs w:val="1"/>
                <w:color w:val="auto"/>
                <w:w w:val="98"/>
              </w:rPr>
              <w:t>TRADEWEB MARKETS LLC</w:t>
            </w:r>
          </w:p>
        </w:tc>
      </w:tr>
      <w:tr>
        <w:trPr>
          <w:trHeight w:val="683"/>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By: /s/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By: /s/ Sara Furber</w:t>
            </w:r>
          </w:p>
        </w:tc>
      </w:tr>
      <w:tr>
        <w:trPr>
          <w:trHeight w:val="20"/>
        </w:trPr>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Name: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Name: Sara Furber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Title: Group Director</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Date: October 25, 2023</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Date: October 25, 2023</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880"/>
          </w:cols>
          <w:pgMar w:left="320" w:top="1426" w:right="69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9019"/>
          </w:cols>
          <w:pgMar w:left="1440" w:top="1422" w:right="1440"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1440180" cy="56318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1440180" cy="563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Services:</w:t>
      </w:r>
    </w:p>
    <w:p>
      <w:pPr>
        <w:spacing w:after="0" w:line="20" w:lineRule="exact"/>
        <w:rPr>
          <w:sz w:val="20"/>
          <w:szCs w:val="20"/>
          <w:color w:val="auto"/>
        </w:rPr>
      </w:pPr>
      <w:r>
        <w:rPr>
          <w:sz w:val="20"/>
          <w:szCs w:val="20"/>
          <w:color w:val="auto"/>
        </w:rPr>
        <w:br w:type="column"/>
      </w:r>
    </w:p>
    <w:p>
      <w:pPr>
        <w:ind w:left="766"/>
        <w:spacing w:after="0"/>
        <w:rPr>
          <w:sz w:val="20"/>
          <w:szCs w:val="20"/>
          <w:color w:val="auto"/>
        </w:rPr>
      </w:pPr>
      <w:r>
        <w:rPr>
          <w:rFonts w:ascii="Times New Roman" w:cs="Times New Roman" w:eastAsia="Times New Roman" w:hAnsi="Times New Roman"/>
          <w:sz w:val="20"/>
          <w:szCs w:val="20"/>
          <w:b w:val="1"/>
          <w:bCs w:val="1"/>
          <w:u w:val="single" w:color="auto"/>
          <w:color w:val="auto"/>
        </w:rPr>
        <w:t>DATA USE CASE ANNEX 1 – Individual End User Services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right="140"/>
        <w:spacing w:after="0" w:line="268" w:lineRule="auto"/>
        <w:rPr>
          <w:sz w:val="20"/>
          <w:szCs w:val="20"/>
          <w:color w:val="auto"/>
        </w:rPr>
      </w:pPr>
      <w:r>
        <w:rPr>
          <w:rFonts w:ascii="Times New Roman" w:cs="Times New Roman" w:eastAsia="Times New Roman" w:hAnsi="Times New Roman"/>
          <w:sz w:val="20"/>
          <w:szCs w:val="20"/>
          <w:color w:val="auto"/>
        </w:rPr>
        <w:t>Distribute real time and historical Covered Data to Distribution Customers via one or more Covered Services (where the Distribution Customer’s individual end users are the recipients and users of such Licensed Data and exercise reasonable control over their receipt and use thereof through user accounts and/or credentials), solely for the Individual Use of such end users.</w:t>
      </w:r>
    </w:p>
    <w:p>
      <w:pPr>
        <w:spacing w:after="0" w:line="1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As used above, “Individual Use” means, with respect to an individual end user of a Distribution Customer:</w:t>
      </w:r>
    </w:p>
    <w:p>
      <w:pPr>
        <w:spacing w:after="0" w:line="162" w:lineRule="exact"/>
        <w:rPr>
          <w:sz w:val="20"/>
          <w:szCs w:val="20"/>
          <w:color w:val="auto"/>
        </w:rPr>
      </w:pPr>
    </w:p>
    <w:p>
      <w:pPr>
        <w:ind w:left="426" w:hanging="426"/>
        <w:spacing w:after="0"/>
        <w:tabs>
          <w:tab w:leader="none" w:pos="42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view, use and copy (download and/or print) Covered Data for such end user’s individual internal use;</w:t>
      </w:r>
    </w:p>
    <w:p>
      <w:pPr>
        <w:spacing w:after="0" w:line="161" w:lineRule="exact"/>
        <w:rPr>
          <w:rFonts w:ascii="Times New Roman" w:cs="Times New Roman" w:eastAsia="Times New Roman" w:hAnsi="Times New Roman"/>
          <w:sz w:val="20"/>
          <w:szCs w:val="20"/>
          <w:color w:val="auto"/>
        </w:rPr>
      </w:pPr>
    </w:p>
    <w:p>
      <w:pPr>
        <w:ind w:left="426" w:hanging="426"/>
        <w:spacing w:after="0"/>
        <w:tabs>
          <w:tab w:leader="none" w:pos="42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Covered Data, and create Derived Data thereof, solely for such end user’s individual internal</w:t>
      </w:r>
    </w:p>
    <w:p>
      <w:pPr>
        <w:spacing w:after="0" w:line="28" w:lineRule="exact"/>
        <w:rPr>
          <w:rFonts w:ascii="Times New Roman" w:cs="Times New Roman" w:eastAsia="Times New Roman" w:hAnsi="Times New Roman"/>
          <w:sz w:val="20"/>
          <w:szCs w:val="20"/>
          <w:color w:val="auto"/>
        </w:rPr>
      </w:pPr>
    </w:p>
    <w:p>
      <w:pPr>
        <w:ind w:left="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w:t>
      </w:r>
    </w:p>
    <w:p>
      <w:pPr>
        <w:spacing w:after="0" w:line="146" w:lineRule="exact"/>
        <w:rPr>
          <w:rFonts w:ascii="Times New Roman" w:cs="Times New Roman" w:eastAsia="Times New Roman" w:hAnsi="Times New Roman"/>
          <w:sz w:val="20"/>
          <w:szCs w:val="20"/>
          <w:color w:val="auto"/>
        </w:rPr>
      </w:pPr>
    </w:p>
    <w:p>
      <w:pPr>
        <w:ind w:left="6" w:right="340" w:hanging="6"/>
        <w:spacing w:after="0" w:line="283" w:lineRule="auto"/>
        <w:tabs>
          <w:tab w:leader="none" w:pos="42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and redistribute insubstantial portions of Covered Data and/or Derived Data thereof in a non-systematic manner; and</w:t>
      </w:r>
    </w:p>
    <w:p>
      <w:pPr>
        <w:spacing w:after="0" w:line="92" w:lineRule="exact"/>
        <w:rPr>
          <w:rFonts w:ascii="Times New Roman" w:cs="Times New Roman" w:eastAsia="Times New Roman" w:hAnsi="Times New Roman"/>
          <w:sz w:val="20"/>
          <w:szCs w:val="20"/>
          <w:color w:val="auto"/>
        </w:rPr>
      </w:pPr>
    </w:p>
    <w:p>
      <w:pPr>
        <w:ind w:left="6" w:right="400" w:hanging="6"/>
        <w:spacing w:after="0" w:line="297" w:lineRule="auto"/>
        <w:tabs>
          <w:tab w:leader="none" w:pos="43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Covered Data to other end users of the same Distribution Customer who have a subscription from Subscriber to view the same Covered Data.</w:t>
      </w:r>
    </w:p>
    <w:p>
      <w:pPr>
        <w:spacing w:after="0" w:line="1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Specific Licensed Data as indicated in Exhibit A</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following services offered by Subscriber and its Affiliates as of the date hereof (except as specified below):</w:t>
      </w:r>
    </w:p>
    <w:p>
      <w:pPr>
        <w:spacing w:after="0" w:line="173" w:lineRule="exact"/>
        <w:rPr>
          <w:sz w:val="20"/>
          <w:szCs w:val="20"/>
          <w:color w:val="auto"/>
        </w:rPr>
      </w:pPr>
    </w:p>
    <w:p>
      <w:pPr>
        <w:ind w:left="6" w:right="200" w:hanging="6"/>
        <w:spacing w:after="0" w:line="283" w:lineRule="auto"/>
        <w:tabs>
          <w:tab w:leader="none" w:pos="35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Eikon and Workspace (including such currently-existing Subscriber products and services, at such time as they are migrated into Workspace)</w:t>
      </w:r>
    </w:p>
    <w:p>
      <w:pPr>
        <w:spacing w:after="0" w:line="92"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time data feeds</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Datascope</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Tick History</w:t>
      </w:r>
    </w:p>
    <w:p>
      <w:pPr>
        <w:spacing w:after="0" w:line="161" w:lineRule="exact"/>
        <w:rPr>
          <w:rFonts w:ascii="Times New Roman" w:cs="Times New Roman" w:eastAsia="Times New Roman" w:hAnsi="Times New Roman"/>
          <w:sz w:val="20"/>
          <w:szCs w:val="20"/>
          <w:color w:val="auto"/>
        </w:rPr>
      </w:pPr>
    </w:p>
    <w:p>
      <w:pPr>
        <w:ind w:left="6" w:right="360" w:hanging="6"/>
        <w:spacing w:after="0" w:line="283" w:lineRule="auto"/>
        <w:tabs>
          <w:tab w:leader="none" w:pos="35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IFR News Platform (limited to periodic news/reporting containing insubstantial portions of the Covered Data)</w:t>
      </w:r>
    </w:p>
    <w:p>
      <w:pPr>
        <w:spacing w:after="0" w:line="92" w:lineRule="exact"/>
        <w:rPr>
          <w:sz w:val="20"/>
          <w:szCs w:val="20"/>
          <w:color w:val="auto"/>
        </w:rPr>
      </w:pPr>
    </w:p>
    <w:p>
      <w:pPr>
        <w:ind w:left="6" w:right="260"/>
        <w:spacing w:after="0" w:line="268" w:lineRule="auto"/>
        <w:rPr>
          <w:sz w:val="20"/>
          <w:szCs w:val="20"/>
          <w:color w:val="auto"/>
        </w:rPr>
      </w:pPr>
      <w:r>
        <w:rPr>
          <w:rFonts w:ascii="Times New Roman" w:cs="Times New Roman" w:eastAsia="Times New Roman" w:hAnsi="Times New Roman"/>
          <w:sz w:val="20"/>
          <w:szCs w:val="20"/>
          <w:color w:val="auto"/>
        </w:rPr>
        <w:t>The Parties acknowledge and agree that each Covered Service also includes (i) the renaming or rebranding of such Covered Service, from time to time, by Subscriber and its Affiliates in their discretion and</w:t>
      </w:r>
    </w:p>
    <w:p>
      <w:pPr>
        <w:spacing w:after="0" w:line="1" w:lineRule="exact"/>
        <w:rPr>
          <w:sz w:val="20"/>
          <w:szCs w:val="20"/>
          <w:color w:val="auto"/>
        </w:rPr>
      </w:pPr>
    </w:p>
    <w:p>
      <w:pPr>
        <w:ind w:left="6" w:hanging="6"/>
        <w:spacing w:after="0" w:line="262" w:lineRule="auto"/>
        <w:tabs>
          <w:tab w:leader="none" w:pos="29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modifications, changes, extensions, evolutions, updates, upgrades, new generations, and/or replacements of such Covered Service that do not (individually or in the aggregate) (x) materially alter or expand the functionality of such Covered Service or (y) otherwise alter such Covered Service to such a degree that it creates a new product/service.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6"/>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2">
            <w:col w:w="1534" w:space="720"/>
            <w:col w:w="8926"/>
          </w:cols>
          <w:pgMar w:left="360" w:top="1395" w:right="359" w:bottom="1440" w:gutter="0" w:footer="0" w:header="0"/>
        </w:sectPr>
      </w:pPr>
    </w:p>
    <w:bookmarkStart w:id="182" w:name="page183"/>
    <w:bookmarkEnd w:id="18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Fees:</w:t>
            </w:r>
          </w:p>
        </w:tc>
        <w:tc>
          <w:tcPr>
            <w:tcW w:w="8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Included in the Annual License Fee</w:t>
            </w:r>
          </w:p>
        </w:tc>
      </w:tr>
      <w:tr>
        <w:trPr>
          <w:trHeight w:val="21"/>
        </w:trPr>
        <w:tc>
          <w:tcPr>
            <w:tcW w:w="2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9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Usage Reporting</w:t>
            </w:r>
          </w:p>
        </w:tc>
        <w:tc>
          <w:tcPr>
            <w:tcW w:w="8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Annual report, which shall include, as reasonably available to Subscriber, information on the use of Tradeweb</w:t>
            </w:r>
          </w:p>
        </w:tc>
      </w:tr>
      <w:tr>
        <w:trPr>
          <w:trHeight w:val="262"/>
        </w:trPr>
        <w:tc>
          <w:tcPr>
            <w:tcW w:w="2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Requirements:</w:t>
            </w:r>
          </w:p>
        </w:tc>
        <w:tc>
          <w:tcPr>
            <w:tcW w:w="8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RICs by Distribution Customers.</w:t>
            </w:r>
          </w:p>
        </w:tc>
      </w:tr>
      <w:tr>
        <w:trPr>
          <w:trHeight w:val="34"/>
        </w:trPr>
        <w:tc>
          <w:tcPr>
            <w:tcW w:w="2300" w:type="dxa"/>
            <w:vAlign w:val="bottom"/>
            <w:tcBorders>
              <w:left w:val="single" w:sz="8" w:color="auto"/>
              <w:bottom w:val="single" w:sz="8" w:color="auto"/>
              <w:right w:val="single" w:sz="8" w:color="auto"/>
            </w:tcBorders>
          </w:tcPr>
          <w:p>
            <w:pPr>
              <w:spacing w:after="0"/>
              <w:rPr>
                <w:sz w:val="3"/>
                <w:szCs w:val="3"/>
                <w:color w:val="auto"/>
              </w:rPr>
            </w:pPr>
          </w:p>
        </w:tc>
        <w:tc>
          <w:tcPr>
            <w:tcW w:w="8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1440180" cy="4474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144018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w:t>
      </w:r>
    </w:p>
    <w:p>
      <w:pPr>
        <w:spacing w:after="0" w:line="81" w:lineRule="exact"/>
        <w:rPr>
          <w:sz w:val="20"/>
          <w:szCs w:val="20"/>
          <w:color w:val="auto"/>
        </w:rPr>
      </w:pPr>
    </w:p>
    <w:p>
      <w:pPr>
        <w:ind w:right="114"/>
        <w:spacing w:after="0" w:line="315" w:lineRule="auto"/>
        <w:rPr>
          <w:sz w:val="20"/>
          <w:szCs w:val="20"/>
          <w:color w:val="auto"/>
        </w:rPr>
      </w:pPr>
      <w:r>
        <w:rPr>
          <w:rFonts w:ascii="Times New Roman" w:cs="Times New Roman" w:eastAsia="Times New Roman" w:hAnsi="Times New Roman"/>
          <w:sz w:val="19"/>
          <w:szCs w:val="19"/>
          <w:b w:val="1"/>
          <w:bCs w:val="1"/>
          <w:color w:val="auto"/>
        </w:rPr>
        <w:t>Usage Reporting Requirements:</w:t>
      </w:r>
    </w:p>
    <w:p>
      <w:pPr>
        <w:spacing w:after="0" w:line="20" w:lineRule="exact"/>
        <w:rPr>
          <w:sz w:val="20"/>
          <w:szCs w:val="20"/>
          <w:color w:val="auto"/>
        </w:rPr>
      </w:pPr>
      <w:r>
        <w:rPr>
          <w:sz w:val="20"/>
          <w:szCs w:val="20"/>
          <w:color w:val="auto"/>
        </w:rPr>
        <w:br w:type="column"/>
      </w:r>
    </w:p>
    <w:p>
      <w:pPr>
        <w:ind w:left="746"/>
        <w:spacing w:after="0"/>
        <w:rPr>
          <w:sz w:val="20"/>
          <w:szCs w:val="20"/>
          <w:color w:val="auto"/>
        </w:rPr>
      </w:pPr>
      <w:r>
        <w:rPr>
          <w:rFonts w:ascii="Times New Roman" w:cs="Times New Roman" w:eastAsia="Times New Roman" w:hAnsi="Times New Roman"/>
          <w:sz w:val="20"/>
          <w:szCs w:val="20"/>
          <w:b w:val="1"/>
          <w:bCs w:val="1"/>
          <w:u w:val="single" w:color="auto"/>
          <w:color w:val="auto"/>
        </w:rPr>
        <w:t>DATA USE CASE ANNEX 2 – Customer Enterprise Services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line="264" w:lineRule="auto"/>
        <w:rPr>
          <w:sz w:val="20"/>
          <w:szCs w:val="20"/>
          <w:color w:val="auto"/>
        </w:rPr>
      </w:pPr>
      <w:r>
        <w:rPr>
          <w:rFonts w:ascii="Times New Roman" w:cs="Times New Roman" w:eastAsia="Times New Roman" w:hAnsi="Times New Roman"/>
          <w:sz w:val="20"/>
          <w:szCs w:val="20"/>
          <w:color w:val="auto"/>
        </w:rPr>
        <w:t>Distribute Covered Data to Distribution Customers via one or more Covered Services (solely where the Distribution Customer’s enterprise applications are the recipients and users of such Covered Data), solely for the internal use of such Distribution Customers, provided that such Distribution Customers will be permitted to use the data internally, to manipulate the data and create Derived Data (for internal use only), and to distribute and redistribute insubstantial portions of Covered Data in a non-systematic manner.</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Specific Licensed Data as indicated in Exhibit A</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services offered by Subscriber and its Affiliates:</w:t>
      </w:r>
    </w:p>
    <w:p>
      <w:pPr>
        <w:spacing w:after="0" w:line="162" w:lineRule="exact"/>
        <w:rPr>
          <w:sz w:val="20"/>
          <w:szCs w:val="20"/>
          <w:color w:val="auto"/>
        </w:rPr>
      </w:pPr>
    </w:p>
    <w:p>
      <w:pPr>
        <w:ind w:left="346" w:hanging="346"/>
        <w:spacing w:after="0"/>
        <w:tabs>
          <w:tab w:leader="none" w:pos="34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time data feeds</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Datascope (non-real-time data)</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Tick History</w:t>
      </w:r>
    </w:p>
    <w:p>
      <w:pPr>
        <w:spacing w:after="0" w:line="161" w:lineRule="exact"/>
        <w:rPr>
          <w:rFonts w:ascii="Times New Roman" w:cs="Times New Roman" w:eastAsia="Times New Roman" w:hAnsi="Times New Roman"/>
          <w:sz w:val="20"/>
          <w:szCs w:val="20"/>
          <w:color w:val="auto"/>
        </w:rPr>
      </w:pPr>
    </w:p>
    <w:p>
      <w:pPr>
        <w:ind w:left="6" w:right="360" w:hanging="6"/>
        <w:spacing w:after="0" w:line="283" w:lineRule="auto"/>
        <w:tabs>
          <w:tab w:leader="none" w:pos="35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IFR News Platform (limited to periodic news/reporting containing insubstantial portions of the Covered Data)</w:t>
      </w:r>
    </w:p>
    <w:p>
      <w:pPr>
        <w:spacing w:after="0" w:line="200" w:lineRule="exact"/>
        <w:rPr>
          <w:sz w:val="20"/>
          <w:szCs w:val="20"/>
          <w:color w:val="auto"/>
        </w:rPr>
      </w:pPr>
    </w:p>
    <w:p>
      <w:pPr>
        <w:spacing w:after="0" w:line="284" w:lineRule="exact"/>
        <w:rPr>
          <w:sz w:val="20"/>
          <w:szCs w:val="20"/>
          <w:color w:val="auto"/>
        </w:rPr>
      </w:pPr>
    </w:p>
    <w:p>
      <w:pPr>
        <w:ind w:left="6" w:right="260"/>
        <w:spacing w:after="0" w:line="261" w:lineRule="auto"/>
        <w:rPr>
          <w:sz w:val="20"/>
          <w:szCs w:val="20"/>
          <w:color w:val="auto"/>
        </w:rPr>
      </w:pPr>
      <w:r>
        <w:rPr>
          <w:rFonts w:ascii="Times New Roman" w:cs="Times New Roman" w:eastAsia="Times New Roman" w:hAnsi="Times New Roman"/>
          <w:sz w:val="20"/>
          <w:szCs w:val="20"/>
          <w:color w:val="auto"/>
        </w:rPr>
        <w:t>The Parties acknowledge and agree that each Covered Service also includes (i) the renaming or rebranding of such Covered Service, from time to time, by Subscriber and its Affiliates in their discretion and</w:t>
      </w:r>
    </w:p>
    <w:p>
      <w:pPr>
        <w:spacing w:after="0" w:line="1" w:lineRule="exact"/>
        <w:rPr>
          <w:sz w:val="20"/>
          <w:szCs w:val="20"/>
          <w:color w:val="auto"/>
        </w:rPr>
      </w:pPr>
    </w:p>
    <w:p>
      <w:pPr>
        <w:ind w:left="6" w:hanging="6"/>
        <w:spacing w:after="0" w:line="262" w:lineRule="auto"/>
        <w:tabs>
          <w:tab w:leader="none" w:pos="29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modifications, changes, extensions, evolutions, updates, upgrades, new generations, and/or replacements of such Covered Service that do not (individually or in the aggregate) (x) materially alter or expand the functionality of such Covered Service or (y) otherwise alter such Covered Service to such a degree that it creates a new product/service.</w:t>
      </w:r>
    </w:p>
    <w:p>
      <w:pPr>
        <w:spacing w:after="0" w:line="1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Included in the Annual License Fee</w:t>
      </w:r>
    </w:p>
    <w:p>
      <w:pPr>
        <w:spacing w:after="0" w:line="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Monthly report, which shall include the name of the Distribution Customer, and the specific data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6"/>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2">
            <w:col w:w="1534" w:space="720"/>
            <w:col w:w="8926"/>
          </w:cols>
          <w:pgMar w:left="360" w:top="1395" w:right="35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1440180" cy="3103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144018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w:t>
      </w:r>
    </w:p>
    <w:p>
      <w:pPr>
        <w:spacing w:after="0" w:line="81"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9"/>
          <w:szCs w:val="19"/>
          <w:b w:val="1"/>
          <w:bCs w:val="1"/>
          <w:color w:val="auto"/>
        </w:rPr>
        <w:t>Usage Reporting Requirements:</w:t>
      </w:r>
    </w:p>
    <w:p>
      <w:pPr>
        <w:spacing w:after="0" w:line="20" w:lineRule="exact"/>
        <w:rPr>
          <w:sz w:val="20"/>
          <w:szCs w:val="20"/>
          <w:color w:val="auto"/>
        </w:rPr>
      </w:pPr>
      <w:r>
        <w:rPr>
          <w:sz w:val="20"/>
          <w:szCs w:val="20"/>
          <w:color w:val="auto"/>
        </w:rPr>
        <w:br w:type="column"/>
      </w:r>
    </w:p>
    <w:p>
      <w:pPr>
        <w:ind w:left="1446"/>
        <w:spacing w:after="0"/>
        <w:rPr>
          <w:sz w:val="20"/>
          <w:szCs w:val="20"/>
          <w:color w:val="auto"/>
        </w:rPr>
      </w:pPr>
      <w:r>
        <w:rPr>
          <w:rFonts w:ascii="Times New Roman" w:cs="Times New Roman" w:eastAsia="Times New Roman" w:hAnsi="Times New Roman"/>
          <w:sz w:val="20"/>
          <w:szCs w:val="20"/>
          <w:b w:val="1"/>
          <w:bCs w:val="1"/>
          <w:u w:val="single" w:color="auto"/>
          <w:color w:val="auto"/>
        </w:rPr>
        <w:t>DATA USE CASE ANNEX 3 – Derived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Creation of Derived Data using the Covered Data as an input, for use in a Covered Product.</w:t>
      </w:r>
    </w:p>
    <w:p>
      <w:pPr>
        <w:spacing w:after="0" w:line="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Specific Licensed Data as indicated in Exhibit A</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As of the date hereof, the following are the only Covered Products:</w:t>
      </w:r>
    </w:p>
    <w:p>
      <w:pPr>
        <w:spacing w:after="0" w:line="162" w:lineRule="exact"/>
        <w:rPr>
          <w:sz w:val="20"/>
          <w:szCs w:val="20"/>
          <w:color w:val="auto"/>
        </w:rPr>
      </w:pPr>
    </w:p>
    <w:p>
      <w:pPr>
        <w:ind w:left="346" w:hanging="346"/>
        <w:spacing w:after="0"/>
        <w:tabs>
          <w:tab w:leader="none" w:pos="34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Evaluated Pricing Service (REPS)</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interest rate, zero coupon, and other similar yield curves</w:t>
      </w:r>
    </w:p>
    <w:p>
      <w:pPr>
        <w:spacing w:after="0" w:line="161" w:lineRule="exact"/>
        <w:rPr>
          <w:rFonts w:ascii="Times New Roman" w:cs="Times New Roman" w:eastAsia="Times New Roman" w:hAnsi="Times New Roman"/>
          <w:sz w:val="20"/>
          <w:szCs w:val="20"/>
          <w:color w:val="auto"/>
        </w:rPr>
      </w:pPr>
    </w:p>
    <w:p>
      <w:pPr>
        <w:ind w:left="346" w:hanging="346"/>
        <w:spacing w:after="0"/>
        <w:tabs>
          <w:tab w:leader="none" w:pos="34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specific legacy on-demand reports for distribution solely to UBS</w:t>
      </w:r>
    </w:p>
    <w:p>
      <w:pPr>
        <w:spacing w:after="0" w:line="162"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20"/>
          <w:szCs w:val="20"/>
          <w:color w:val="auto"/>
        </w:rPr>
        <w:t>Additional Covered Products may be added upon notice by Subscriber to Tradeweb with reasonable details about the manner and scope of use of Covered Data. Tradeweb shall have no right to object to any such addition and there shall be no additional Fees incurred for any such addition.</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Included in the Annual License Fee</w:t>
      </w:r>
    </w:p>
    <w:p>
      <w:pPr>
        <w:spacing w:after="0" w:line="81" w:lineRule="exact"/>
        <w:rPr>
          <w:sz w:val="20"/>
          <w:szCs w:val="20"/>
          <w:color w:val="auto"/>
        </w:rPr>
      </w:pPr>
    </w:p>
    <w:p>
      <w:pPr>
        <w:ind w:left="6" w:right="100"/>
        <w:spacing w:after="0" w:line="264" w:lineRule="auto"/>
        <w:rPr>
          <w:sz w:val="20"/>
          <w:szCs w:val="20"/>
          <w:color w:val="auto"/>
        </w:rPr>
      </w:pPr>
      <w:r>
        <w:rPr>
          <w:rFonts w:ascii="Times New Roman" w:cs="Times New Roman" w:eastAsia="Times New Roman" w:hAnsi="Times New Roman"/>
          <w:sz w:val="20"/>
          <w:szCs w:val="20"/>
          <w:color w:val="auto"/>
        </w:rPr>
        <w:t>On the date hereof and thereafter upon request by Tradeweb (not more than once every six calendar months during the License Term), Subscriber shall provide a list of the asset classes for which REPS use Covered Data as an input and each curve type that uses Covered Data as an input. The Parties shall discuss in good faith and mutually agree on appropriate Usage Reporting requirements for any Covered Products added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26"/>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2">
            <w:col w:w="1580" w:space="674"/>
            <w:col w:w="8886"/>
          </w:cols>
          <w:pgMar w:left="360" w:top="1395" w:right="39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1486535</wp:posOffset>
            </wp:positionV>
            <wp:extent cx="1499870" cy="27603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149987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Data:</w:t>
      </w: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Approved Third Party Redistributor: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80"/>
        <w:spacing w:after="0" w:line="315" w:lineRule="auto"/>
        <w:rPr>
          <w:sz w:val="20"/>
          <w:szCs w:val="20"/>
          <w:color w:val="auto"/>
        </w:rPr>
      </w:pPr>
      <w:r>
        <w:rPr>
          <w:rFonts w:ascii="Times New Roman" w:cs="Times New Roman" w:eastAsia="Times New Roman" w:hAnsi="Times New Roman"/>
          <w:sz w:val="19"/>
          <w:szCs w:val="19"/>
          <w:b w:val="1"/>
          <w:bCs w:val="1"/>
          <w:color w:val="auto"/>
        </w:rPr>
        <w:t>Usage Reporting Requirements: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DATA USE CASE ANNEX 4 – Redistribution Using a Third Party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Distribute Covered Data to an Approved Third Party Redistributor for the purpose of such Approved Third Party Redistributor further redistributing the Covered Data to its customers for use and/or distribution as may be mutually agreed by the Parties per the below.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Specific Licensed Data as indicated in Exhibit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 as of the date hereof</w:t>
      </w:r>
    </w:p>
    <w:p>
      <w:pPr>
        <w:spacing w:after="0" w:line="162"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9"/>
          <w:szCs w:val="19"/>
          <w:color w:val="auto"/>
        </w:rPr>
        <w:t>Additional Approved Third Party Redistributors may be added only by written agreement of the Parties (which shall include the uses for which such Approved Third Party Redistributors may license Covered Data to their customers), and nothing herein shall obligate any party to agree to enter into any such written agreement.</w:t>
      </w:r>
    </w:p>
    <w:p>
      <w:pPr>
        <w:spacing w:after="0" w:line="1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During each quarter of the License Period, Subscriber shall pay Tradeweb an amount equal to [***] percent ([***]%) of the gross revenue Subscriber and its Affiliates generate (which includes amounts invoiced with respect to such quarter regardless of whether they were paid in such quarter) from the distribution by Approved Redistribution Customers of the Covered Data under this Annex.</w:t>
      </w:r>
    </w:p>
    <w:p>
      <w:pPr>
        <w:spacing w:after="0" w:line="161"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Monthly report, which shall include the name of the Approved Third Party Redistributor, specific data licensed, license term and monthly license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2">
            <w:col w:w="1900" w:space="440"/>
            <w:col w:w="8820"/>
          </w:cols>
          <w:pgMar w:left="360" w:top="1422" w:right="379" w:bottom="1440" w:gutter="0" w:footer="0" w:header="0"/>
        </w:sectPr>
      </w:pPr>
    </w:p>
    <w:bookmarkStart w:id="186" w:name="page187"/>
    <w:bookmarkEnd w:id="186"/>
    <w:p>
      <w:pPr>
        <w:ind w:left="2400"/>
        <w:spacing w:after="0"/>
        <w:rPr>
          <w:sz w:val="20"/>
          <w:szCs w:val="20"/>
          <w:color w:val="auto"/>
        </w:rPr>
      </w:pPr>
      <w:r>
        <w:rPr>
          <w:rFonts w:ascii="Times New Roman" w:cs="Times New Roman" w:eastAsia="Times New Roman" w:hAnsi="Times New Roman"/>
          <w:sz w:val="20"/>
          <w:szCs w:val="20"/>
          <w:b w:val="1"/>
          <w:bCs w:val="1"/>
          <w:u w:val="single" w:color="auto"/>
          <w:color w:val="auto"/>
        </w:rPr>
        <w:t>TRADEWEB DATA SCHEDULE 2 – U.S. TREASURIES ACTIVES DATA</w:t>
      </w:r>
    </w:p>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TO THE TRADEWEB MASTER DATA LICENSE AGREEMENT</w:t>
      </w:r>
    </w:p>
    <w:p>
      <w:pPr>
        <w:spacing w:after="0" w:line="288"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The undersigned Subscriber is hereby subscribing to the Licensed Data for the Purpose and on the terms and conditions set forth in this Tradeweb Data Schedule (this “</w:t>
      </w:r>
      <w:r>
        <w:rPr>
          <w:rFonts w:ascii="Times New Roman" w:cs="Times New Roman" w:eastAsia="Times New Roman" w:hAnsi="Times New Roman"/>
          <w:sz w:val="20"/>
          <w:szCs w:val="20"/>
          <w:b w:val="1"/>
          <w:bCs w:val="1"/>
          <w:color w:val="auto"/>
        </w:rPr>
        <w:t>Data Schedule</w:t>
      </w:r>
      <w:r>
        <w:rPr>
          <w:rFonts w:ascii="Times New Roman" w:cs="Times New Roman" w:eastAsia="Times New Roman" w:hAnsi="Times New Roman"/>
          <w:sz w:val="20"/>
          <w:szCs w:val="20"/>
          <w:color w:val="auto"/>
        </w:rPr>
        <w:t>”), which is subject to and made a part of the Tradeweb Master Data License Agreement</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specified below (as amended, the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Capitalized terms used but not otherwise defined in this Data Schedule have the meanings given to them in the Master Agreement.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Subscriber(s):</w:t>
            </w:r>
          </w:p>
        </w:tc>
        <w:tc>
          <w:tcPr>
            <w:tcW w:w="8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 defined in Section 1.2 of the Master Agreement.</w:t>
            </w: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0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Licensed Data:</w:t>
            </w: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U.S. Treasuries Actives Data identified on Exhibit A hereto (as amended from time to time by written</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consent of the Parties).</w:t>
            </w:r>
          </w:p>
        </w:tc>
      </w:tr>
      <w:tr>
        <w:trPr>
          <w:trHeight w:val="170"/>
        </w:trPr>
        <w:tc>
          <w:tcPr>
            <w:tcW w:w="2560" w:type="dxa"/>
            <w:vAlign w:val="bottom"/>
            <w:tcBorders>
              <w:left w:val="single" w:sz="8" w:color="auto"/>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tcPr>
          <w:p>
            <w:pPr>
              <w:spacing w:after="0"/>
              <w:rPr>
                <w:sz w:val="14"/>
                <w:szCs w:val="14"/>
                <w:color w:val="auto"/>
              </w:rPr>
            </w:pPr>
          </w:p>
        </w:tc>
      </w:tr>
      <w:tr>
        <w:trPr>
          <w:trHeight w:val="250"/>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Master Agreement:</w:t>
            </w: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Tradeweb Master Data License Agreement dated November 1, 2023 between Tradeweb Markets LLC</w:t>
            </w: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w:t>
            </w:r>
            <w:r>
              <w:rPr>
                <w:rFonts w:ascii="Times New Roman" w:cs="Times New Roman" w:eastAsia="Times New Roman" w:hAnsi="Times New Roman"/>
                <w:sz w:val="20"/>
                <w:szCs w:val="20"/>
                <w:color w:val="auto"/>
              </w:rPr>
              <w:t>”) and the undersigned Subscriber (each of Tradeweb and Subscriber,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w:t>
            </w:r>
          </w:p>
        </w:tc>
      </w:tr>
      <w:tr>
        <w:trPr>
          <w:trHeight w:val="262"/>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amended.</w:t>
            </w:r>
          </w:p>
        </w:tc>
      </w:tr>
      <w:tr>
        <w:trPr>
          <w:trHeight w:val="170"/>
        </w:trPr>
        <w:tc>
          <w:tcPr>
            <w:tcW w:w="2560" w:type="dxa"/>
            <w:vAlign w:val="bottom"/>
            <w:tcBorders>
              <w:left w:val="single" w:sz="8" w:color="auto"/>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tcPr>
          <w:p>
            <w:pPr>
              <w:spacing w:after="0"/>
              <w:rPr>
                <w:sz w:val="14"/>
                <w:szCs w:val="14"/>
                <w:color w:val="auto"/>
              </w:rPr>
            </w:pPr>
          </w:p>
        </w:tc>
      </w:tr>
      <w:tr>
        <w:trPr>
          <w:trHeight w:val="254"/>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License:</w:t>
            </w: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Subject to the terms and conditions set forth in the Master Agreement and this Data Schedule (including but</w:t>
            </w:r>
          </w:p>
        </w:tc>
      </w:tr>
      <w:tr>
        <w:trPr>
          <w:trHeight w:val="25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not limited to Section 2.7 of the Master Agreement), without limiting the license granted to Subscriber in</w:t>
            </w:r>
          </w:p>
        </w:tc>
      </w:tr>
      <w:tr>
        <w:trPr>
          <w:trHeight w:val="247"/>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8"/>
              </w:rPr>
              <w:t>respect of the Licensed Data pursuant to the Tradeweb Data Schedule 1 – Legacy Data (the “</w:t>
            </w:r>
            <w:r>
              <w:rPr>
                <w:rFonts w:ascii="Times New Roman" w:cs="Times New Roman" w:eastAsia="Times New Roman" w:hAnsi="Times New Roman"/>
                <w:sz w:val="20"/>
                <w:szCs w:val="20"/>
                <w:b w:val="1"/>
                <w:bCs w:val="1"/>
                <w:color w:val="auto"/>
                <w:w w:val="98"/>
              </w:rPr>
              <w:t>UST License</w:t>
            </w:r>
            <w:r>
              <w:rPr>
                <w:rFonts w:ascii="Times New Roman" w:cs="Times New Roman" w:eastAsia="Times New Roman" w:hAnsi="Times New Roman"/>
                <w:sz w:val="20"/>
                <w:szCs w:val="20"/>
                <w:color w:val="auto"/>
                <w:w w:val="98"/>
              </w:rPr>
              <w:t>”),</w:t>
            </w:r>
          </w:p>
        </w:tc>
      </w:tr>
      <w:tr>
        <w:trPr>
          <w:trHeight w:val="239"/>
        </w:trPr>
        <w:tc>
          <w:tcPr>
            <w:tcW w:w="2560" w:type="dxa"/>
            <w:vAlign w:val="bottom"/>
            <w:tcBorders>
              <w:left w:val="single" w:sz="8" w:color="auto"/>
              <w:right w:val="single" w:sz="8" w:color="auto"/>
            </w:tcBorders>
          </w:tcPr>
          <w:p>
            <w:pPr>
              <w:spacing w:after="0"/>
              <w:rPr>
                <w:sz w:val="20"/>
                <w:szCs w:val="20"/>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Tradeweb grants Subscriber a limited license to sublicense Subscriber’s rights under the UST License to the</w:t>
            </w:r>
          </w:p>
        </w:tc>
      </w:tr>
      <w:tr>
        <w:trPr>
          <w:trHeight w:val="262"/>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19901 Service Provider solely for each Purpose set forth herein (the “</w:t>
            </w:r>
            <w:r>
              <w:rPr>
                <w:rFonts w:ascii="Times New Roman" w:cs="Times New Roman" w:eastAsia="Times New Roman" w:hAnsi="Times New Roman"/>
                <w:sz w:val="20"/>
                <w:szCs w:val="20"/>
                <w:b w:val="1"/>
                <w:bCs w:val="1"/>
                <w:color w:val="auto"/>
              </w:rPr>
              <w:t>Additional UST License</w:t>
            </w:r>
            <w:r>
              <w:rPr>
                <w:rFonts w:ascii="Times New Roman" w:cs="Times New Roman" w:eastAsia="Times New Roman" w:hAnsi="Times New Roman"/>
                <w:sz w:val="20"/>
                <w:szCs w:val="20"/>
                <w:color w:val="auto"/>
              </w:rPr>
              <w:t>”).</w:t>
            </w:r>
          </w:p>
        </w:tc>
      </w:tr>
      <w:tr>
        <w:trPr>
          <w:trHeight w:val="38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19901 Service Provider</w:t>
            </w:r>
            <w:r>
              <w:rPr>
                <w:rFonts w:ascii="Times New Roman" w:cs="Times New Roman" w:eastAsia="Times New Roman" w:hAnsi="Times New Roman"/>
                <w:sz w:val="20"/>
                <w:szCs w:val="20"/>
                <w:color w:val="auto"/>
                <w:w w:val="99"/>
              </w:rPr>
              <w:t>” shall mean, as of the date hereof, Tullet Prebon Information Limited plc (“</w:t>
            </w:r>
            <w:r>
              <w:rPr>
                <w:rFonts w:ascii="Times New Roman" w:cs="Times New Roman" w:eastAsia="Times New Roman" w:hAnsi="Times New Roman"/>
                <w:sz w:val="20"/>
                <w:szCs w:val="20"/>
                <w:b w:val="1"/>
                <w:bCs w:val="1"/>
                <w:color w:val="auto"/>
                <w:w w:val="99"/>
              </w:rPr>
              <w:t>19901</w:t>
            </w:r>
          </w:p>
        </w:tc>
      </w:tr>
      <w:tr>
        <w:trPr>
          <w:trHeight w:val="247"/>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SP</w:t>
            </w:r>
            <w:r>
              <w:rPr>
                <w:rFonts w:ascii="Times New Roman" w:cs="Times New Roman" w:eastAsia="Times New Roman" w:hAnsi="Times New Roman"/>
                <w:sz w:val="20"/>
                <w:szCs w:val="20"/>
                <w:color w:val="auto"/>
              </w:rPr>
              <w:t>”), its Affiliates and any entity that is a successor (including without limitation, by change of name,</w:t>
            </w:r>
          </w:p>
        </w:tc>
      </w:tr>
      <w:tr>
        <w:trPr>
          <w:trHeight w:val="239"/>
        </w:trPr>
        <w:tc>
          <w:tcPr>
            <w:tcW w:w="2560" w:type="dxa"/>
            <w:vAlign w:val="bottom"/>
            <w:tcBorders>
              <w:left w:val="single" w:sz="8" w:color="auto"/>
              <w:right w:val="single" w:sz="8" w:color="auto"/>
            </w:tcBorders>
          </w:tcPr>
          <w:p>
            <w:pPr>
              <w:spacing w:after="0"/>
              <w:rPr>
                <w:sz w:val="20"/>
                <w:szCs w:val="20"/>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dissolution, merger, consolidation, reorganization, sale or other disposition) to any such business entity or its</w:t>
            </w:r>
          </w:p>
        </w:tc>
      </w:tr>
      <w:tr>
        <w:trPr>
          <w:trHeight w:val="262"/>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business and assets (collectively, the “</w:t>
            </w:r>
            <w:r>
              <w:rPr>
                <w:rFonts w:ascii="Times New Roman" w:cs="Times New Roman" w:eastAsia="Times New Roman" w:hAnsi="Times New Roman"/>
                <w:sz w:val="20"/>
                <w:szCs w:val="20"/>
                <w:b w:val="1"/>
                <w:bCs w:val="1"/>
                <w:color w:val="auto"/>
              </w:rPr>
              <w:t>TP ICAP Group</w:t>
            </w:r>
            <w:r>
              <w:rPr>
                <w:rFonts w:ascii="Times New Roman" w:cs="Times New Roman" w:eastAsia="Times New Roman" w:hAnsi="Times New Roman"/>
                <w:sz w:val="20"/>
                <w:szCs w:val="20"/>
                <w:color w:val="auto"/>
              </w:rPr>
              <w:t>”).</w:t>
            </w:r>
          </w:p>
        </w:tc>
      </w:tr>
      <w:tr>
        <w:trPr>
          <w:trHeight w:val="390"/>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 the event Subscriber wishes to replace the TP ICAP Group as its RCM 19901 service provider following</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execution of this Data Schedule, Subscriber shall notify Tradeweb and the Parties will discuss in good</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faith any applicable changes to this Data Schedule arising out of such replacement.</w:t>
            </w:r>
          </w:p>
        </w:tc>
      </w:tr>
      <w:tr>
        <w:trPr>
          <w:trHeight w:val="170"/>
        </w:trPr>
        <w:tc>
          <w:tcPr>
            <w:tcW w:w="2560" w:type="dxa"/>
            <w:vAlign w:val="bottom"/>
            <w:tcBorders>
              <w:left w:val="single" w:sz="8" w:color="auto"/>
              <w:bottom w:val="single" w:sz="8" w:color="auto"/>
              <w:right w:val="single" w:sz="8" w:color="auto"/>
            </w:tcBorders>
          </w:tcPr>
          <w:p>
            <w:pPr>
              <w:spacing w:after="0"/>
              <w:rPr>
                <w:sz w:val="14"/>
                <w:szCs w:val="14"/>
                <w:color w:val="auto"/>
              </w:rPr>
            </w:pPr>
          </w:p>
        </w:tc>
        <w:tc>
          <w:tcPr>
            <w:tcW w:w="8700" w:type="dxa"/>
            <w:vAlign w:val="bottom"/>
            <w:tcBorders>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60"/>
          </w:cols>
          <w:pgMar w:left="320" w:top="1394" w:right="319" w:bottom="1440" w:gutter="0" w:footer="0" w:header="0"/>
        </w:sectPr>
      </w:pPr>
    </w:p>
    <w:bookmarkStart w:id="187" w:name="page188"/>
    <w:bookmarkEnd w:id="18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License Period: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Distribute the Licensed Data to the 19901 Service Provider solely: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-156845</wp:posOffset>
            </wp:positionV>
            <wp:extent cx="7140575" cy="5888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140575" cy="5888990"/>
                    </a:xfrm>
                    <a:prstGeom prst="rect">
                      <a:avLst/>
                    </a:prstGeom>
                    <a:noFill/>
                  </pic:spPr>
                </pic:pic>
              </a:graphicData>
            </a:graphic>
          </wp:anchor>
        </w:drawing>
      </w:r>
    </w:p>
    <w:p>
      <w:pPr>
        <w:spacing w:after="0" w:line="142" w:lineRule="exact"/>
        <w:rPr>
          <w:sz w:val="20"/>
          <w:szCs w:val="20"/>
          <w:color w:val="auto"/>
        </w:rPr>
      </w:pPr>
    </w:p>
    <w:p>
      <w:pPr>
        <w:ind w:left="660" w:right="60" w:hanging="332"/>
        <w:spacing w:after="0" w:line="275"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for the 19901 Service Provider to provide RCM 19901 to 19901 Customers pursuant to a 19901 Customer Agreement (including, without limitation, for purposes of branding, marketing, promotion and demonstration of RCM 19901),</w:t>
      </w:r>
    </w:p>
    <w:p>
      <w:pPr>
        <w:spacing w:after="0" w:line="100" w:lineRule="exact"/>
        <w:rPr>
          <w:rFonts w:ascii="Times New Roman" w:cs="Times New Roman" w:eastAsia="Times New Roman" w:hAnsi="Times New Roman"/>
          <w:sz w:val="20"/>
          <w:szCs w:val="20"/>
          <w:color w:val="auto"/>
        </w:rPr>
      </w:pPr>
    </w:p>
    <w:p>
      <w:pPr>
        <w:ind w:left="660" w:right="20" w:hanging="332"/>
        <w:spacing w:after="0" w:line="268" w:lineRule="auto"/>
        <w:tabs>
          <w:tab w:leader="none" w:pos="53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for the 19901 Service Provider to perform calculations on the Licensed Data and return the results thereof to Subscriber for delivery to 19901 Customers via a Refinitiv Delivery Mechanism, and</w:t>
      </w:r>
    </w:p>
    <w:p>
      <w:pPr>
        <w:spacing w:after="0" w:line="107" w:lineRule="exact"/>
        <w:rPr>
          <w:rFonts w:ascii="Times New Roman" w:cs="Times New Roman" w:eastAsia="Times New Roman" w:hAnsi="Times New Roman"/>
          <w:sz w:val="20"/>
          <w:szCs w:val="20"/>
          <w:color w:val="auto"/>
        </w:rPr>
      </w:pPr>
    </w:p>
    <w:p>
      <w:pPr>
        <w:ind w:left="520" w:hanging="192"/>
        <w:spacing w:after="0"/>
        <w:tabs>
          <w:tab w:leader="none" w:pos="5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internal use by the 19901 Service Provider.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herein:</w:t>
      </w:r>
    </w:p>
    <w:p>
      <w:pPr>
        <w:spacing w:after="0" w:line="15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RCM 19901</w:t>
      </w:r>
      <w:r>
        <w:rPr>
          <w:rFonts w:ascii="Times New Roman" w:cs="Times New Roman" w:eastAsia="Times New Roman" w:hAnsi="Times New Roman"/>
          <w:sz w:val="20"/>
          <w:szCs w:val="20"/>
          <w:color w:val="auto"/>
        </w:rPr>
        <w:t>” shall mean that certain Reuters Capital Markets 19901 service (including any replacement or successor services thereto).</w:t>
      </w:r>
    </w:p>
    <w:p>
      <w:pPr>
        <w:spacing w:after="0" w:line="7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19901 Customer</w:t>
      </w:r>
      <w:r>
        <w:rPr>
          <w:rFonts w:ascii="Times New Roman" w:cs="Times New Roman" w:eastAsia="Times New Roman" w:hAnsi="Times New Roman"/>
          <w:sz w:val="20"/>
          <w:szCs w:val="20"/>
          <w:color w:val="auto"/>
        </w:rPr>
        <w:t>” shall mean any RDM Subscriber that has executed a 19901 Customer Agreement with the 19901 Service Provider. For the avoidance of doubt, 19901 Customers shall not be considered Distribution Customers by virtue of their subscription to RCM 19901, provided, that such Person may separately qualify as a Distribution Customer with respect to other services offered by Subscriber.</w:t>
      </w:r>
    </w:p>
    <w:p>
      <w:pPr>
        <w:spacing w:after="0" w:line="10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19901 Customer Agreement</w:t>
      </w:r>
      <w:r>
        <w:rPr>
          <w:rFonts w:ascii="Times New Roman" w:cs="Times New Roman" w:eastAsia="Times New Roman" w:hAnsi="Times New Roman"/>
          <w:sz w:val="20"/>
          <w:szCs w:val="20"/>
          <w:color w:val="auto"/>
        </w:rPr>
        <w:t>” shall mean the 19901 Service Provider’s agreement with a 19901 Customer from time to time setting out the terms and conditions for a 19901 Customer’s access to and use of RCM 19901, including the Licensed Data via a Refinitiv Delivery Mechanism.</w:t>
      </w:r>
    </w:p>
    <w:p>
      <w:pPr>
        <w:spacing w:after="0" w:line="10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Refinitiv Delivery Mechanism</w:t>
      </w:r>
      <w:r>
        <w:rPr>
          <w:rFonts w:ascii="Times New Roman" w:cs="Times New Roman" w:eastAsia="Times New Roman" w:hAnsi="Times New Roman"/>
          <w:sz w:val="20"/>
          <w:szCs w:val="20"/>
          <w:color w:val="auto"/>
        </w:rPr>
        <w:t>” shall mean the services and facilities provided from time to time by Subscriber or any of its Affiliates in order to make available RCM 19901 to Subscribers.</w:t>
      </w:r>
    </w:p>
    <w:p>
      <w:pPr>
        <w:spacing w:after="0" w:line="84" w:lineRule="exact"/>
        <w:rPr>
          <w:sz w:val="20"/>
          <w:szCs w:val="20"/>
          <w:color w:val="auto"/>
        </w:rPr>
      </w:pPr>
    </w:p>
    <w:p>
      <w:pPr>
        <w:ind w:right="560"/>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RDM Subscriber</w:t>
      </w:r>
      <w:r>
        <w:rPr>
          <w:rFonts w:ascii="Times New Roman" w:cs="Times New Roman" w:eastAsia="Times New Roman" w:hAnsi="Times New Roman"/>
          <w:sz w:val="20"/>
          <w:szCs w:val="20"/>
          <w:color w:val="auto"/>
        </w:rPr>
        <w:t>” means any third Person that subscribes from time to time to a Refinitiv Delivery Mechanism.</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Initial License Period: November 1, 2023 – October 31, 2025</w:t>
      </w:r>
    </w:p>
    <w:p>
      <w:pPr>
        <w:spacing w:after="0" w:line="162" w:lineRule="exact"/>
        <w:rPr>
          <w:sz w:val="20"/>
          <w:szCs w:val="20"/>
          <w:color w:val="auto"/>
        </w:rPr>
      </w:pPr>
    </w:p>
    <w:p>
      <w:pPr>
        <w:ind w:left="20"/>
        <w:spacing w:after="0" w:line="263" w:lineRule="auto"/>
        <w:rPr>
          <w:sz w:val="20"/>
          <w:szCs w:val="20"/>
          <w:color w:val="auto"/>
        </w:rPr>
      </w:pPr>
      <w:r>
        <w:rPr>
          <w:rFonts w:ascii="Times New Roman" w:cs="Times New Roman" w:eastAsia="Times New Roman" w:hAnsi="Times New Roman"/>
          <w:sz w:val="20"/>
          <w:szCs w:val="20"/>
          <w:color w:val="auto"/>
        </w:rPr>
        <w:t>Transition Period: Following the Initial License Period, if the Parties have not entered into a written renewal (in any form as may be so agreed), then upon the notice of either Party to the other Party, the terms and conditions of this Data Schedule shall continue in full force and effect for an additional twelve (12) months following the date of expiration of the Initial License Period (the “</w:t>
      </w:r>
      <w:r>
        <w:rPr>
          <w:rFonts w:ascii="Times New Roman" w:cs="Times New Roman" w:eastAsia="Times New Roman" w:hAnsi="Times New Roman"/>
          <w:sz w:val="20"/>
          <w:szCs w:val="20"/>
          <w:b w:val="1"/>
          <w:bCs w:val="1"/>
          <w:color w:val="auto"/>
        </w:rPr>
        <w:t>Transition Period</w:t>
      </w:r>
      <w:r>
        <w:rPr>
          <w:rFonts w:ascii="Times New Roman" w:cs="Times New Roman" w:eastAsia="Times New Roman" w:hAnsi="Times New Roman"/>
          <w:sz w:val="20"/>
          <w:szCs w:val="20"/>
          <w:color w:val="auto"/>
        </w:rPr>
        <w:t>”) to allow for an orderly transition of the market data distribution arrangements contemplated under this Data Schedule. For avoidance of doubt, the Transition Period, if applicable, shall be considered part of the “License Period” for purposes of the Master Agreement and this Data Schedule.</w:t>
      </w:r>
    </w:p>
    <w:p>
      <w:pPr>
        <w:spacing w:after="0" w:line="200" w:lineRule="exact"/>
        <w:rPr>
          <w:sz w:val="20"/>
          <w:szCs w:val="20"/>
          <w:color w:val="auto"/>
        </w:rPr>
      </w:pPr>
    </w:p>
    <w:p>
      <w:pPr>
        <w:sectPr>
          <w:pgSz w:w="11900" w:h="16838" w:orient="portrait"/>
          <w:cols w:equalWidth="0" w:num="2">
            <w:col w:w="1800" w:space="720"/>
            <w:col w:w="8580"/>
          </w:cols>
          <w:pgMar w:left="36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00"/>
          </w:cols>
          <w:pgMar w:left="360" w:top="1440" w:right="439" w:bottom="1440" w:gutter="0" w:footer="0" w:header="0"/>
          <w:type w:val="continuous"/>
        </w:sectPr>
      </w:pPr>
    </w:p>
    <w:bookmarkStart w:id="188" w:name="page189"/>
    <w:bookmarkEnd w:id="18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Delivery:</w:t>
            </w:r>
          </w:p>
        </w:tc>
        <w:tc>
          <w:tcPr>
            <w:tcW w:w="8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 the same manner the Licensed Data is delivered immediately prior to the Effective Date or as mutually</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agreed among the Parties.</w:t>
            </w:r>
          </w:p>
        </w:tc>
      </w:tr>
      <w:tr>
        <w:trPr>
          <w:trHeight w:val="390"/>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Parties agree to work together in good faith during the Initial License Period to develop and implement</w:t>
            </w:r>
          </w:p>
        </w:tc>
      </w:tr>
      <w:tr>
        <w:trPr>
          <w:trHeight w:val="239"/>
        </w:trPr>
        <w:tc>
          <w:tcPr>
            <w:tcW w:w="2560" w:type="dxa"/>
            <w:vAlign w:val="bottom"/>
            <w:tcBorders>
              <w:left w:val="single" w:sz="8" w:color="auto"/>
              <w:right w:val="single" w:sz="8" w:color="auto"/>
            </w:tcBorders>
          </w:tcPr>
          <w:p>
            <w:pPr>
              <w:spacing w:after="0"/>
              <w:rPr>
                <w:sz w:val="20"/>
                <w:szCs w:val="20"/>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 combined stream containing the Dealerweb Active Streams marketplace data and the Dealerweb Central</w:t>
            </w:r>
          </w:p>
        </w:tc>
      </w:tr>
      <w:tr>
        <w:trPr>
          <w:trHeight w:val="247"/>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Order Limit Book data (as further described on Exhibit A) (the “</w:t>
            </w:r>
            <w:r>
              <w:rPr>
                <w:rFonts w:ascii="Times New Roman" w:cs="Times New Roman" w:eastAsia="Times New Roman" w:hAnsi="Times New Roman"/>
                <w:sz w:val="20"/>
                <w:szCs w:val="20"/>
                <w:b w:val="1"/>
                <w:bCs w:val="1"/>
                <w:color w:val="auto"/>
              </w:rPr>
              <w:t>Combined UST Stream</w:t>
            </w:r>
            <w:r>
              <w:rPr>
                <w:rFonts w:ascii="Times New Roman" w:cs="Times New Roman" w:eastAsia="Times New Roman" w:hAnsi="Times New Roman"/>
                <w:sz w:val="20"/>
                <w:szCs w:val="20"/>
                <w:color w:val="auto"/>
              </w:rPr>
              <w:t>”), which will be</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delivered to Subscriber as mutually agreed by the Parties.</w:t>
            </w:r>
          </w:p>
        </w:tc>
      </w:tr>
      <w:tr>
        <w:trPr>
          <w:trHeight w:val="170"/>
        </w:trPr>
        <w:tc>
          <w:tcPr>
            <w:tcW w:w="2560" w:type="dxa"/>
            <w:vAlign w:val="bottom"/>
            <w:tcBorders>
              <w:left w:val="single" w:sz="8" w:color="auto"/>
              <w:bottom w:val="single" w:sz="8" w:color="auto"/>
              <w:right w:val="single" w:sz="8" w:color="auto"/>
            </w:tcBorders>
          </w:tcPr>
          <w:p>
            <w:pPr>
              <w:spacing w:after="0"/>
              <w:rPr>
                <w:sz w:val="14"/>
                <w:szCs w:val="14"/>
                <w:color w:val="auto"/>
              </w:rPr>
            </w:pPr>
          </w:p>
        </w:tc>
        <w:tc>
          <w:tcPr>
            <w:tcW w:w="87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60"/>
          </w:cols>
          <w:pgMar w:left="320" w:top="1440" w:right="319" w:bottom="1440" w:gutter="0" w:footer="0" w:header="0"/>
        </w:sectPr>
      </w:pPr>
    </w:p>
    <w:bookmarkStart w:id="189" w:name="page190"/>
    <w:bookmarkEnd w:id="18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Fees:</w:t>
            </w:r>
          </w:p>
        </w:tc>
        <w:tc>
          <w:tcPr>
            <w:tcW w:w="8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During each 12 month period of the Initial License Period and the Transition Period, Subscriber shall pay to</w:t>
            </w:r>
          </w:p>
        </w:tc>
      </w:tr>
      <w:tr>
        <w:trPr>
          <w:trHeight w:val="252"/>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Tradeweb an amount equal to the greater of (i) [***]percent ([***]%) of the Qualifying Revenue for such 12</w:t>
            </w:r>
          </w:p>
        </w:tc>
      </w:tr>
      <w:tr>
        <w:trPr>
          <w:trHeight w:val="262"/>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month period, or (ii) [***] ($[***]) (the “</w:t>
            </w:r>
            <w:r>
              <w:rPr>
                <w:rFonts w:ascii="Times New Roman" w:cs="Times New Roman" w:eastAsia="Times New Roman" w:hAnsi="Times New Roman"/>
                <w:sz w:val="20"/>
                <w:szCs w:val="20"/>
                <w:b w:val="1"/>
                <w:bCs w:val="1"/>
                <w:color w:val="auto"/>
              </w:rPr>
              <w:t>UST Subscription Fee Share</w:t>
            </w:r>
            <w:r>
              <w:rPr>
                <w:rFonts w:ascii="Times New Roman" w:cs="Times New Roman" w:eastAsia="Times New Roman" w:hAnsi="Times New Roman"/>
                <w:sz w:val="20"/>
                <w:szCs w:val="20"/>
                <w:color w:val="auto"/>
              </w:rPr>
              <w:t>”).</w:t>
            </w:r>
          </w:p>
        </w:tc>
      </w:tr>
      <w:tr>
        <w:trPr>
          <w:trHeight w:val="37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UST Subscription Fee Share shall be payable quarterly in arrears within thirty (30) days following</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receipt of an invoice therefor in accordance with Section 7 of the Master Agreement. Subscriber shall pay</w:t>
            </w: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8"/>
              </w:rPr>
              <w:t>any amount necessary to satisfy the minimum amount of the UST Subscription Fee Share with respect to any</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 month period as part of the final quarterly payment for such 12 month period.</w:t>
            </w:r>
          </w:p>
        </w:tc>
      </w:tr>
      <w:tr>
        <w:trPr>
          <w:trHeight w:val="37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Where Subscriber and its Affiliates are responsible for determining the price at which RCM 19901 is</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distributed to third Persons, Subscriber agrees that neither it nor its Affiliates shall license RCM 19901 as a</w:t>
            </w: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19901 Loss Leader. Where the 19901 Service Provider is responsible for determining the price at which</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RCM 19901 is distributed to third parties, Subscriber warrants that either it or its Affiliates shall</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contractually require during the term of the UST Distribution Agreement, that the 19901 Service Provider</w:t>
            </w: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shall not license RCM 19901 as a 19901 Loss Leader, and Subscriber agrees to use commercially reasonable</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efforts to include substantially similar contractual requirements in any future arrangement (with the 19901</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Service Provider or another third Person) with respect to distribution of RCM 19901.</w:t>
            </w:r>
          </w:p>
        </w:tc>
      </w:tr>
      <w:tr>
        <w:trPr>
          <w:trHeight w:val="39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 used herein:</w:t>
            </w:r>
          </w:p>
        </w:tc>
      </w:tr>
      <w:tr>
        <w:trPr>
          <w:trHeight w:val="37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Revenue</w:t>
            </w:r>
            <w:r>
              <w:rPr>
                <w:rFonts w:ascii="Times New Roman" w:cs="Times New Roman" w:eastAsia="Times New Roman" w:hAnsi="Times New Roman"/>
                <w:sz w:val="20"/>
                <w:szCs w:val="20"/>
                <w:color w:val="auto"/>
              </w:rPr>
              <w:t>” shall mean, with respect to any relevant period of time, the aggregate value of all</w:t>
            </w: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RCM 19901 Subscription Fees for such period of time, excluding any value added, sales and/or other taxes</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and/or tariff duties directly levied on 19901 Customers in respect of the supply of RCM 19901 to them and</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any withholding or equivalent taxes that the 19901 Service Provider is required to deduct under applicable</w:t>
            </w:r>
          </w:p>
        </w:tc>
      </w:tr>
      <w:tr>
        <w:trPr>
          <w:trHeight w:val="256"/>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tax laws; provided, that if at any time the 19901 Service Provider ceases to provide RCM 19901 to 19901</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8"/>
              </w:rPr>
              <w:t>Customers, “Qualifying Revenue” shall mean the revenues directly generated by Subscriber and its Affiliates</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from the distribution by them or a third party of RCM 19901.</w:t>
            </w:r>
          </w:p>
        </w:tc>
      </w:tr>
      <w:tr>
        <w:trPr>
          <w:trHeight w:val="349"/>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RCM 19901 Subscription Fees</w:t>
            </w:r>
            <w:r>
              <w:rPr>
                <w:rFonts w:ascii="Times New Roman" w:cs="Times New Roman" w:eastAsia="Times New Roman" w:hAnsi="Times New Roman"/>
                <w:sz w:val="20"/>
                <w:szCs w:val="20"/>
                <w:color w:val="auto"/>
              </w:rPr>
              <w:t>” shall mean, with respect to any relevant period of time, all fees charged</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by the 19901 Service Provider to a 19901 Customer during such period of time for receipt and use of RCM</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19901.</w:t>
            </w:r>
          </w:p>
        </w:tc>
      </w:tr>
      <w:tr>
        <w:trPr>
          <w:trHeight w:val="484"/>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19901 Loss Leader</w:t>
            </w:r>
            <w:r>
              <w:rPr>
                <w:rFonts w:ascii="Times New Roman" w:cs="Times New Roman" w:eastAsia="Times New Roman" w:hAnsi="Times New Roman"/>
                <w:sz w:val="20"/>
                <w:szCs w:val="20"/>
                <w:color w:val="auto"/>
              </w:rPr>
              <w:t>” shall mean to offer for sale at a disproportionate discount level compared to other</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services (either Subscriber services or 19901 Service Provider services, as applicable) for the specific</w:t>
            </w:r>
          </w:p>
        </w:tc>
      </w:tr>
      <w:tr>
        <w:trPr>
          <w:trHeight w:val="256"/>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purpose of selling these other services to the same client or client Affiliate, or maintaining client’s or client</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Affiliates’ subscription to such other services. This does not cover the offer of discounts for RCM 19901</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required in order to meet competition with respect to RCM 19901.</w:t>
            </w: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60"/>
          </w:cols>
          <w:pgMar w:left="320" w:top="1440" w:right="319" w:bottom="1440" w:gutter="0" w:footer="0" w:header="0"/>
        </w:sectPr>
      </w:pPr>
    </w:p>
    <w:bookmarkStart w:id="190" w:name="page191"/>
    <w:bookmarkEnd w:id="19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5718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7140575" cy="5718175"/>
                    </a:xfrm>
                    <a:prstGeom prst="rect">
                      <a:avLst/>
                    </a:prstGeom>
                    <a:noFill/>
                  </pic:spPr>
                </pic:pic>
              </a:graphicData>
            </a:graphic>
          </wp:anchor>
        </w:drawing>
      </w:r>
    </w:p>
    <w:p>
      <w:pPr>
        <w:ind w:left="2540" w:hanging="2537"/>
        <w:spacing w:after="0" w:line="265" w:lineRule="auto"/>
        <w:tabs>
          <w:tab w:leader="none" w:pos="2520" w:val="left"/>
        </w:tabs>
        <w:rPr>
          <w:sz w:val="20"/>
          <w:szCs w:val="20"/>
          <w:color w:val="auto"/>
        </w:rPr>
      </w:pPr>
      <w:r>
        <w:rPr>
          <w:rFonts w:ascii="Times New Roman" w:cs="Times New Roman" w:eastAsia="Times New Roman" w:hAnsi="Times New Roman"/>
          <w:sz w:val="20"/>
          <w:szCs w:val="20"/>
          <w:b w:val="1"/>
          <w:bCs w:val="1"/>
          <w:color w:val="auto"/>
        </w:rPr>
        <w:t>Usage Reporting:</w:t>
      </w:r>
      <w:r>
        <w:rPr>
          <w:sz w:val="20"/>
          <w:szCs w:val="20"/>
          <w:color w:val="auto"/>
        </w:rPr>
        <w:tab/>
      </w:r>
      <w:r>
        <w:rPr>
          <w:rFonts w:ascii="Times New Roman" w:cs="Times New Roman" w:eastAsia="Times New Roman" w:hAnsi="Times New Roman"/>
          <w:sz w:val="20"/>
          <w:szCs w:val="20"/>
          <w:color w:val="auto"/>
        </w:rPr>
        <w:t>No later than thirty (30) days after last day of each quarter of the License Period including, a list of 19901 Customers receiving RCM 19901 and the amount of RCM 19901 Subscription Fees attributable to each such 19901 Customer for the relevant quarter. Such Usage Reporting shall be delivered to Tradeweb in csv or excel file format by email at the following address: [***]. Subscriber represents that no contractual restriction exists in the UST Distribution Agreement that would prohibit Subscriber from providing the information set forth herein.</w:t>
      </w:r>
    </w:p>
    <w:p>
      <w:pPr>
        <w:spacing w:after="0" w:line="177" w:lineRule="exact"/>
        <w:rPr>
          <w:sz w:val="20"/>
          <w:szCs w:val="20"/>
          <w:color w:val="auto"/>
        </w:rPr>
      </w:pPr>
    </w:p>
    <w:p>
      <w:pPr>
        <w:ind w:left="2540" w:right="40" w:hanging="2539"/>
        <w:spacing w:after="0" w:line="260" w:lineRule="auto"/>
        <w:tabs>
          <w:tab w:leader="none" w:pos="2520" w:val="left"/>
        </w:tabs>
        <w:rPr>
          <w:sz w:val="20"/>
          <w:szCs w:val="20"/>
          <w:color w:val="auto"/>
        </w:rPr>
      </w:pPr>
      <w:r>
        <w:rPr>
          <w:rFonts w:ascii="Times New Roman" w:cs="Times New Roman" w:eastAsia="Times New Roman" w:hAnsi="Times New Roman"/>
          <w:sz w:val="20"/>
          <w:szCs w:val="20"/>
          <w:b w:val="1"/>
          <w:bCs w:val="1"/>
          <w:color w:val="auto"/>
        </w:rPr>
        <w:t>Indemnification:</w:t>
      </w:r>
      <w:r>
        <w:rPr>
          <w:sz w:val="20"/>
          <w:szCs w:val="20"/>
          <w:color w:val="auto"/>
        </w:rPr>
        <w:tab/>
      </w:r>
      <w:r>
        <w:rPr>
          <w:rFonts w:ascii="Times New Roman" w:cs="Times New Roman" w:eastAsia="Times New Roman" w:hAnsi="Times New Roman"/>
          <w:sz w:val="20"/>
          <w:szCs w:val="20"/>
          <w:color w:val="auto"/>
        </w:rPr>
        <w:t>Subject to the paragraph below and the procedures set forth in Section 11.3 of the Master Agreement, Tradeweb shall, on behalf of Subscriber and its Affiliates, indemnify and hold harmless 19901 SP and its Affiliates, directors, employees, officers, managers and agents from and against any and all claims, loss, damage or expense, including reasonable attorneys’ fees and disbursements, costs of investigation, interest, fines, penalties, judgments and amounts paid in settlement (“</w:t>
      </w:r>
      <w:r>
        <w:rPr>
          <w:rFonts w:ascii="Times New Roman" w:cs="Times New Roman" w:eastAsia="Times New Roman" w:hAnsi="Times New Roman"/>
          <w:sz w:val="20"/>
          <w:szCs w:val="20"/>
          <w:b w:val="1"/>
          <w:bCs w:val="1"/>
          <w:color w:val="auto"/>
        </w:rPr>
        <w:t>19901 Service Provider Losses</w:t>
      </w:r>
      <w:r>
        <w:rPr>
          <w:rFonts w:ascii="Times New Roman" w:cs="Times New Roman" w:eastAsia="Times New Roman" w:hAnsi="Times New Roman"/>
          <w:sz w:val="20"/>
          <w:szCs w:val="20"/>
          <w:color w:val="auto"/>
        </w:rPr>
        <w:t>”) that 19901 SP may owe to a third party arising out of any infringement or alleged infringement by the Licensed Data hereunder of any third party’s intellectual property, unless such infringement or alleged infringement is caused by (i) any modifications to such Licensed Data by 19901 SP or a 19901 Customer, (ii) any combination of such Licensed Data with other data by 19901 SP or a 19901 Customer, or (iii) the use of such Licensed Data other than in accordance with the UST Distribution Agreement. In relation to the foregoing, and for purpose of Section 11 of the Master Agreement, the “Indemnitee” shall be deemed to be 19901 SP and the “Indemnitor” shall be deemed to be Tradeweb and “Losses” shall be deemed to be “</w:t>
      </w:r>
      <w:r>
        <w:rPr>
          <w:rFonts w:ascii="Times New Roman" w:cs="Times New Roman" w:eastAsia="Times New Roman" w:hAnsi="Times New Roman"/>
          <w:sz w:val="20"/>
          <w:szCs w:val="20"/>
          <w:b w:val="1"/>
          <w:bCs w:val="1"/>
          <w:color w:val="auto"/>
        </w:rPr>
        <w:t>19901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 Provider Losses</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ind w:left="2540" w:right="20"/>
        <w:spacing w:after="0" w:line="260" w:lineRule="auto"/>
        <w:rPr>
          <w:sz w:val="20"/>
          <w:szCs w:val="20"/>
          <w:color w:val="auto"/>
        </w:rPr>
      </w:pPr>
      <w:r>
        <w:rPr>
          <w:rFonts w:ascii="Times New Roman" w:cs="Times New Roman" w:eastAsia="Times New Roman" w:hAnsi="Times New Roman"/>
          <w:sz w:val="20"/>
          <w:szCs w:val="20"/>
          <w:color w:val="auto"/>
        </w:rPr>
        <w:t>With respect to the foregoing, Subscriber warrants that the UST Distribution Agreement shall, during the term thereof, contain indemnification obligations on the part of Subscriber, or its Affiliate, identical to those set forth above, and procedures substantially similar to those set forth in Section 11.3 of the Master Agreement. Tradeweb shall, at Subscriber’s or its applicable Affiliate’s direction, directly indemnify 19901 SP in accordance with the above and Section 11.3 of the Master Agreement. The Parties acknowledge that the above paragraph and Section 11.3 of the Master Agreement are not intended to mean that Tradeweb must, and Tradeweb is not obligated to, indemnify 19901 SP pursuant to this paragraph for any amount or to any other extent exceeding the amount or extent that Subscriber or its Affiliates are required to indemnify 19901 SP pursuant to the UST Distribution Agreement; provided, however, that Tradeweb shall indemnify and hold harmless Subscriber and its Affiliates in accordance with the procedures set forth in Section 11.3 of the Master Agreement from and against any and all claims, loss, damage or expense, including reasonable attorneys’ fees and disbursements, costs of investigation, interest, fines, penalties, judgments and amounts paid in settlement incurred by Subscriber or its Affiliates arising out of or related to Tradeweb’s failure to comply with the indemnification obligations set forth in the above paragraph and Section 11.3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60"/>
          </w:cols>
          <w:pgMar w:left="360" w:top="1440" w:right="379" w:bottom="1440" w:gutter="0" w:footer="0" w:header="0"/>
        </w:sectPr>
      </w:pPr>
    </w:p>
    <w:bookmarkStart w:id="191" w:name="page192"/>
    <w:bookmarkEnd w:id="19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4928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7140575" cy="4928870"/>
                    </a:xfrm>
                    <a:prstGeom prst="rect">
                      <a:avLst/>
                    </a:prstGeom>
                    <a:noFill/>
                  </pic:spPr>
                </pic:pic>
              </a:graphicData>
            </a:graphic>
          </wp:anchor>
        </w:drawing>
      </w:r>
    </w:p>
    <w:p>
      <w:pPr>
        <w:ind w:left="2520" w:hanging="2537"/>
        <w:spacing w:after="0" w:line="259" w:lineRule="auto"/>
        <w:tabs>
          <w:tab w:leader="none" w:pos="2500" w:val="left"/>
        </w:tabs>
        <w:rPr>
          <w:sz w:val="20"/>
          <w:szCs w:val="20"/>
          <w:color w:val="auto"/>
        </w:rPr>
      </w:pPr>
      <w:r>
        <w:rPr>
          <w:rFonts w:ascii="Times New Roman" w:cs="Times New Roman" w:eastAsia="Times New Roman" w:hAnsi="Times New Roman"/>
          <w:sz w:val="20"/>
          <w:szCs w:val="20"/>
          <w:b w:val="1"/>
          <w:bCs w:val="1"/>
          <w:color w:val="auto"/>
        </w:rPr>
        <w:t>Subscriber Warranty:</w:t>
      </w:r>
      <w:r>
        <w:rPr>
          <w:sz w:val="20"/>
          <w:szCs w:val="20"/>
          <w:color w:val="auto"/>
        </w:rPr>
        <w:tab/>
      </w:r>
      <w:r>
        <w:rPr>
          <w:rFonts w:ascii="Times New Roman" w:cs="Times New Roman" w:eastAsia="Times New Roman" w:hAnsi="Times New Roman"/>
          <w:sz w:val="20"/>
          <w:szCs w:val="20"/>
          <w:color w:val="auto"/>
        </w:rPr>
        <w:t>In relation to the Additional UST License, Subscriber warrants that either it or its Affiliates shall contractually require during the term of the UST Distribution Agreement, in each case, (i) that the 19901 Service Provider comply with all restrictions on the use and distribution of the Licensed Data contained in the Master Agreement and this Data Schedule, including, without limitation, Section 2.8 of the Master Agreement as modified by this Data Schedule with respect to the Licensed Data hereunder, (ii) promptly notify Tradeweb if it, or its Affiliates, become aware of any material breach or threatened material breach of such restrictions, and (iii) procure for the benefit of Tradeweb the rights under the Contracts (Rights of Third Parties) Act of 1999 to enforce the rights and restrictions set forth in the UST Distribution Agreement (excluding any relevant audit clause set forth in such agreement; provided, that Subscriber represents that, as of the Effective Date, the UST Distribution Agreement does not include any provision that would prohibit Subscriber or its Affiliates notifying Tradeweb to the extent it or such Affiliate becomes aware of any material breach or threatened material breach related to the 19901 Service Provider’s use and distribution of the Licensed Data as a result of any audit). To the extent Tradeweb exercises such rights under the Contracts (Rights of Third Parties) Act of 1999, Subscriber or its Affiliates shall, at Tradeweb’s expense, provide such assistance to Tradeweb as it reasonably requires to enforce such rights and restrictions against the 19901 Service Povider. Neither Subscriber nor its Affiliates shall be responsible for any breach by the 19901 Service Provider of the Additional UST License (as sub-licensee of Subscriber or its Affiliates), including, without limitation, any failure to comply with the restrictions on use and distribution of the Licensed Data contained in the Master Agreement or this Data Schedule.</w:t>
      </w:r>
    </w:p>
    <w:p>
      <w:pPr>
        <w:spacing w:after="0" w:line="131" w:lineRule="exact"/>
        <w:rPr>
          <w:sz w:val="20"/>
          <w:szCs w:val="20"/>
          <w:color w:val="auto"/>
        </w:rPr>
      </w:pPr>
    </w:p>
    <w:p>
      <w:pPr>
        <w:ind w:left="2520" w:right="80"/>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UST Distribution Agreement</w:t>
      </w:r>
      <w:r>
        <w:rPr>
          <w:rFonts w:ascii="Times New Roman" w:cs="Times New Roman" w:eastAsia="Times New Roman" w:hAnsi="Times New Roman"/>
          <w:sz w:val="20"/>
          <w:szCs w:val="20"/>
          <w:color w:val="auto"/>
        </w:rPr>
        <w:t>” shall mean that certain agreement by and between Subscriber or its Affiliates and a member of the 19901 Service Provider with respect to the provision of the Licensed Data to the 19901 Service Provider by Subscriber or its Affiliates in relation to the provision of RCM 19901.</w:t>
      </w:r>
    </w:p>
    <w:p>
      <w:pPr>
        <w:spacing w:after="0" w:line="162" w:lineRule="exact"/>
        <w:rPr>
          <w:sz w:val="20"/>
          <w:szCs w:val="20"/>
          <w:color w:val="auto"/>
        </w:rPr>
      </w:pPr>
    </w:p>
    <w:p>
      <w:pPr>
        <w:ind w:left="2520" w:right="120" w:hanging="2537"/>
        <w:spacing w:after="0" w:line="279" w:lineRule="auto"/>
        <w:tabs>
          <w:tab w:leader="none" w:pos="2500" w:val="left"/>
        </w:tabs>
        <w:rPr>
          <w:sz w:val="20"/>
          <w:szCs w:val="20"/>
          <w:color w:val="auto"/>
        </w:rPr>
      </w:pPr>
      <w:r>
        <w:rPr>
          <w:rFonts w:ascii="Times New Roman" w:cs="Times New Roman" w:eastAsia="Times New Roman" w:hAnsi="Times New Roman"/>
          <w:sz w:val="20"/>
          <w:szCs w:val="20"/>
          <w:b w:val="1"/>
          <w:bCs w:val="1"/>
          <w:color w:val="auto"/>
        </w:rPr>
        <w:t>UST Restricted List:</w:t>
      </w:r>
      <w:r>
        <w:rPr>
          <w:sz w:val="20"/>
          <w:szCs w:val="20"/>
          <w:color w:val="auto"/>
        </w:rPr>
        <w:tab/>
      </w:r>
      <w:r>
        <w:rPr>
          <w:rFonts w:ascii="Times New Roman" w:cs="Times New Roman" w:eastAsia="Times New Roman" w:hAnsi="Times New Roman"/>
          <w:sz w:val="19"/>
          <w:szCs w:val="19"/>
          <w:color w:val="auto"/>
        </w:rPr>
        <w:t>Notwithstanding any other provision of the Master Agreement, solely with respect to the Licensed Data hereunder, Subscriber shall not, and shall cause the 19901 Service Provider not to, without the prior written consent of Tradeweb, distribute the Licensed Data to any trading venue that (a) competes with Dealerweb Inc.’s (“</w:t>
      </w:r>
      <w:r>
        <w:rPr>
          <w:rFonts w:ascii="Times New Roman" w:cs="Times New Roman" w:eastAsia="Times New Roman" w:hAnsi="Times New Roman"/>
          <w:sz w:val="19"/>
          <w:szCs w:val="19"/>
          <w:b w:val="1"/>
          <w:bCs w:val="1"/>
          <w:color w:val="auto"/>
        </w:rPr>
        <w:t>Dealerweb</w:t>
      </w:r>
      <w:r>
        <w:rPr>
          <w:rFonts w:ascii="Times New Roman" w:cs="Times New Roman" w:eastAsia="Times New Roman" w:hAnsi="Times New Roman"/>
          <w:sz w:val="19"/>
          <w:szCs w:val="19"/>
          <w:color w:val="auto"/>
        </w:rPr>
        <w:t>”) lit order book; and (b) is owned or operated by any Person listed on Exhibit B hereto (the “</w:t>
      </w:r>
      <w:r>
        <w:rPr>
          <w:rFonts w:ascii="Times New Roman" w:cs="Times New Roman" w:eastAsia="Times New Roman" w:hAnsi="Times New Roman"/>
          <w:sz w:val="19"/>
          <w:szCs w:val="19"/>
          <w:b w:val="1"/>
          <w:bCs w:val="1"/>
          <w:color w:val="auto"/>
        </w:rPr>
        <w:t>UST Restricted List</w:t>
      </w:r>
      <w:r>
        <w:rPr>
          <w:rFonts w:ascii="Times New Roman" w:cs="Times New Roman" w:eastAsia="Times New Roman" w:hAnsi="Times New Roman"/>
          <w:sz w:val="19"/>
          <w:szCs w:val="19"/>
          <w:color w:val="auto"/>
        </w:rPr>
        <w:t>”) or any Persons reasonably known to be Affiliates of such Person (collectively, the “</w:t>
      </w:r>
      <w:r>
        <w:rPr>
          <w:rFonts w:ascii="Times New Roman" w:cs="Times New Roman" w:eastAsia="Times New Roman" w:hAnsi="Times New Roman"/>
          <w:sz w:val="19"/>
          <w:szCs w:val="19"/>
          <w:b w:val="1"/>
          <w:bCs w:val="1"/>
          <w:color w:val="auto"/>
        </w:rPr>
        <w:t>UST Restricted Parties</w:t>
      </w:r>
      <w:r>
        <w:rPr>
          <w:rFonts w:ascii="Times New Roman" w:cs="Times New Roman" w:eastAsia="Times New Roman" w:hAnsi="Times New Roman"/>
          <w:sz w:val="19"/>
          <w:szCs w:val="19"/>
          <w:color w:val="auto"/>
        </w:rPr>
        <w:t>”). References to Restricted Lists and Restricted Parties in the Master Agreement shall be deemed to include UST Restricted Lists and UST Restricted Parties,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80" w:top="1440" w:right="379" w:bottom="1440" w:gutter="0" w:footer="0" w:header="0"/>
        </w:sectPr>
      </w:pPr>
    </w:p>
    <w:bookmarkStart w:id="192" w:name="page193"/>
    <w:bookmarkEnd w:id="192"/>
    <w:p>
      <w:pPr>
        <w:spacing w:after="0" w:line="283" w:lineRule="auto"/>
        <w:rPr>
          <w:sz w:val="20"/>
          <w:szCs w:val="20"/>
          <w:color w:val="auto"/>
        </w:rPr>
      </w:pPr>
      <w:r>
        <w:rPr>
          <w:rFonts w:ascii="Times New Roman" w:cs="Times New Roman" w:eastAsia="Times New Roman" w:hAnsi="Times New Roman"/>
          <w:sz w:val="20"/>
          <w:szCs w:val="20"/>
          <w:color w:val="auto"/>
        </w:rPr>
        <w:t>The Parties have caused this Data Schedule to be executed by their respective duly authorized representatives with effect as of the date of Tradeweb’s signature below.</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REFINITIV US LLC</w:t>
            </w:r>
          </w:p>
        </w:tc>
        <w:tc>
          <w:tcPr>
            <w:tcW w:w="6280" w:type="dxa"/>
            <w:vAlign w:val="bottom"/>
            <w:gridSpan w:val="7"/>
          </w:tcPr>
          <w:p>
            <w:pPr>
              <w:ind w:left="3620"/>
              <w:spacing w:after="0"/>
              <w:rPr>
                <w:sz w:val="20"/>
                <w:szCs w:val="20"/>
                <w:color w:val="auto"/>
              </w:rPr>
            </w:pPr>
            <w:r>
              <w:rPr>
                <w:rFonts w:ascii="Times New Roman" w:cs="Times New Roman" w:eastAsia="Times New Roman" w:hAnsi="Times New Roman"/>
                <w:sz w:val="20"/>
                <w:szCs w:val="20"/>
                <w:b w:val="1"/>
                <w:bCs w:val="1"/>
                <w:color w:val="auto"/>
                <w:w w:val="98"/>
              </w:rPr>
              <w:t>TRADEWEB MARKETS LLC</w:t>
            </w:r>
          </w:p>
        </w:tc>
      </w:tr>
      <w:tr>
        <w:trPr>
          <w:trHeight w:val="683"/>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By: /s/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By: /s/ Sara Furber</w:t>
            </w:r>
          </w:p>
        </w:tc>
      </w:tr>
      <w:tr>
        <w:trPr>
          <w:trHeight w:val="20"/>
        </w:trPr>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Name: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Name: Sara Furber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Title: Group Director</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Date: October 25, 2023</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Date: October 25, 2023</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0880"/>
          </w:cols>
          <w:pgMar w:left="320" w:top="1426" w:right="69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Treasuries Actives Data</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9019"/>
          </w:cols>
          <w:pgMar w:left="1440" w:top="1395" w:right="1440" w:bottom="1440" w:gutter="0" w:footer="0" w:header="0"/>
        </w:sectPr>
      </w:pPr>
    </w:p>
    <w:bookmarkStart w:id="194" w:name="page195"/>
    <w:bookmarkEnd w:id="194"/>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UST Restricted List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9019"/>
          </w:cols>
          <w:pgMar w:left="1440" w:top="1440" w:right="1440" w:bottom="1440" w:gutter="0" w:footer="0" w:header="0"/>
        </w:sectPr>
      </w:pPr>
    </w:p>
    <w:bookmarkStart w:id="195" w:name="page196"/>
    <w:bookmarkEnd w:id="195"/>
    <w:p>
      <w:pPr>
        <w:spacing w:after="0" w:line="3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TRADEWEB DATA SCHEDULE 3 – RECAPTURED CUSTOMER DATA SERVICE</w:t>
      </w: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TO THE TRADEWEB MASTER DATA LICENSE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Subscriber is hereby subscribing to the Data Service set forth below on the terms and conditions set forth in this Tradeweb</w:t>
      </w:r>
    </w:p>
    <w:p>
      <w:pPr>
        <w:ind w:right="20"/>
        <w:spacing w:after="0" w:line="215" w:lineRule="auto"/>
        <w:rPr>
          <w:sz w:val="20"/>
          <w:szCs w:val="20"/>
          <w:color w:val="auto"/>
        </w:rPr>
      </w:pPr>
      <w:r>
        <w:rPr>
          <w:rFonts w:ascii="Times New Roman" w:cs="Times New Roman" w:eastAsia="Times New Roman" w:hAnsi="Times New Roman"/>
          <w:sz w:val="19"/>
          <w:szCs w:val="19"/>
          <w:color w:val="auto"/>
        </w:rPr>
        <w:t>Data Schedule (this “</w:t>
      </w:r>
      <w:r>
        <w:rPr>
          <w:rFonts w:ascii="Times New Roman" w:cs="Times New Roman" w:eastAsia="Times New Roman" w:hAnsi="Times New Roman"/>
          <w:sz w:val="19"/>
          <w:szCs w:val="19"/>
          <w:b w:val="1"/>
          <w:bCs w:val="1"/>
          <w:color w:val="auto"/>
        </w:rPr>
        <w:t>Data Schedule</w:t>
      </w:r>
      <w:r>
        <w:rPr>
          <w:rFonts w:ascii="Times New Roman" w:cs="Times New Roman" w:eastAsia="Times New Roman" w:hAnsi="Times New Roman"/>
          <w:sz w:val="19"/>
          <w:szCs w:val="19"/>
          <w:color w:val="auto"/>
        </w:rPr>
        <w:t>”), which is subject to and made a part of the Tradeweb Master Data License Agreement specified below (as amended, the “</w:t>
      </w:r>
      <w:r>
        <w:rPr>
          <w:rFonts w:ascii="Times New Roman" w:cs="Times New Roman" w:eastAsia="Times New Roman" w:hAnsi="Times New Roman"/>
          <w:sz w:val="19"/>
          <w:szCs w:val="19"/>
          <w:b w:val="1"/>
          <w:bCs w:val="1"/>
          <w:color w:val="auto"/>
        </w:rPr>
        <w:t>Master Agreement</w:t>
      </w:r>
      <w:r>
        <w:rPr>
          <w:rFonts w:ascii="Times New Roman" w:cs="Times New Roman" w:eastAsia="Times New Roman" w:hAnsi="Times New Roman"/>
          <w:sz w:val="19"/>
          <w:szCs w:val="19"/>
          <w:color w:val="auto"/>
        </w:rPr>
        <w:t>”). Capitalized terms used but not otherwise defined in this Data Schedule have the meanings given to</w:t>
      </w:r>
    </w:p>
    <w:p>
      <w:pPr>
        <w:spacing w:after="0"/>
        <w:rPr>
          <w:sz w:val="20"/>
          <w:szCs w:val="20"/>
          <w:color w:val="auto"/>
        </w:rPr>
      </w:pPr>
      <w:r>
        <w:rPr>
          <w:rFonts w:ascii="Times New Roman" w:cs="Times New Roman" w:eastAsia="Times New Roman" w:hAnsi="Times New Roman"/>
          <w:sz w:val="20"/>
          <w:szCs w:val="20"/>
          <w:color w:val="auto"/>
        </w:rPr>
        <w:t>them in the Master Agreement.</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9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Subscriber:</w:t>
            </w:r>
          </w:p>
        </w:tc>
        <w:tc>
          <w:tcPr>
            <w:tcW w:w="930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As defined in Section 1.2 of the Master Agreement.</w:t>
            </w:r>
          </w:p>
        </w:tc>
        <w:tc>
          <w:tcPr>
            <w:tcW w:w="0" w:type="dxa"/>
            <w:vAlign w:val="bottom"/>
          </w:tcPr>
          <w:p>
            <w:pPr>
              <w:spacing w:after="0"/>
              <w:rPr>
                <w:sz w:val="1"/>
                <w:szCs w:val="1"/>
                <w:color w:val="auto"/>
              </w:rPr>
            </w:pPr>
          </w:p>
        </w:tc>
      </w:tr>
      <w:tr>
        <w:trPr>
          <w:trHeight w:val="21"/>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1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Data Service:</w:t>
            </w: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Set forth on Attachment A hereto (as it may be modified as set forth below) are (a) certain customers (each, a</w:t>
            </w:r>
          </w:p>
        </w:tc>
        <w:tc>
          <w:tcPr>
            <w:tcW w:w="0" w:type="dxa"/>
            <w:vAlign w:val="bottom"/>
          </w:tcPr>
          <w:p>
            <w:pPr>
              <w:spacing w:after="0"/>
              <w:rPr>
                <w:sz w:val="1"/>
                <w:szCs w:val="1"/>
                <w:color w:val="auto"/>
              </w:rPr>
            </w:pPr>
          </w:p>
        </w:tc>
      </w:tr>
      <w:tr>
        <w:trPr>
          <w:trHeight w:val="166"/>
        </w:trPr>
        <w:tc>
          <w:tcPr>
            <w:tcW w:w="1960" w:type="dxa"/>
            <w:vAlign w:val="bottom"/>
            <w:tcBorders>
              <w:left w:val="single" w:sz="8" w:color="auto"/>
              <w:right w:val="single" w:sz="8" w:color="auto"/>
            </w:tcBorders>
          </w:tcPr>
          <w:p>
            <w:pPr>
              <w:spacing w:after="0"/>
              <w:rPr>
                <w:sz w:val="14"/>
                <w:szCs w:val="14"/>
                <w:color w:val="auto"/>
              </w:rPr>
            </w:pPr>
          </w:p>
        </w:tc>
        <w:tc>
          <w:tcPr>
            <w:tcW w:w="1080" w:type="dxa"/>
            <w:vAlign w:val="bottom"/>
          </w:tcPr>
          <w:p>
            <w:pPr>
              <w:ind w:left="20"/>
              <w:spacing w:after="0" w:line="16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Specified</w:t>
            </w:r>
          </w:p>
        </w:tc>
        <w:tc>
          <w:tcPr>
            <w:tcW w:w="114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9"/>
                <w:szCs w:val="19"/>
                <w:b w:val="1"/>
                <w:bCs w:val="1"/>
                <w:color w:val="auto"/>
                <w:w w:val="97"/>
              </w:rPr>
              <w:t>Customer</w:t>
            </w:r>
            <w:r>
              <w:rPr>
                <w:rFonts w:ascii="Times New Roman" w:cs="Times New Roman" w:eastAsia="Times New Roman" w:hAnsi="Times New Roman"/>
                <w:sz w:val="19"/>
                <w:szCs w:val="19"/>
                <w:color w:val="auto"/>
                <w:w w:val="97"/>
              </w:rPr>
              <w:t>”) to</w:t>
            </w:r>
          </w:p>
        </w:tc>
        <w:tc>
          <w:tcPr>
            <w:tcW w:w="708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9"/>
                <w:szCs w:val="19"/>
                <w:color w:val="auto"/>
              </w:rPr>
              <w:t>which Tradeweb provides Tradeweb Viewer access without billing for such access as</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w w:val="99"/>
              </w:rPr>
              <w:t>part of a prior cooperative arrangement among the Parties to encourage such Specified Customers to become clients</w:t>
            </w: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20"/>
                <w:szCs w:val="20"/>
                <w:color w:val="auto"/>
              </w:rPr>
              <w:t>of Subscriber’s products, and (b) the product and functionality access currently held by certain users of each such</w:t>
            </w: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930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20"/>
                <w:szCs w:val="20"/>
                <w:color w:val="auto"/>
              </w:rPr>
              <w:t>Specified Customer (such users, the “</w:t>
            </w:r>
            <w:r>
              <w:rPr>
                <w:rFonts w:ascii="Times New Roman" w:cs="Times New Roman" w:eastAsia="Times New Roman" w:hAnsi="Times New Roman"/>
                <w:sz w:val="20"/>
                <w:szCs w:val="20"/>
                <w:b w:val="1"/>
                <w:bCs w:val="1"/>
                <w:color w:val="auto"/>
              </w:rPr>
              <w:t>Covered Users</w:t>
            </w:r>
            <w:r>
              <w:rPr>
                <w:rFonts w:ascii="Times New Roman" w:cs="Times New Roman" w:eastAsia="Times New Roman" w:hAnsi="Times New Roman"/>
                <w:sz w:val="20"/>
                <w:szCs w:val="20"/>
                <w:color w:val="auto"/>
              </w:rPr>
              <w:t>” and such access, “</w:t>
            </w:r>
            <w:r>
              <w:rPr>
                <w:rFonts w:ascii="Times New Roman" w:cs="Times New Roman" w:eastAsia="Times New Roman" w:hAnsi="Times New Roman"/>
                <w:sz w:val="20"/>
                <w:szCs w:val="20"/>
                <w:b w:val="1"/>
                <w:bCs w:val="1"/>
                <w:color w:val="auto"/>
              </w:rPr>
              <w:t>Covered User Access</w:t>
            </w:r>
            <w:r>
              <w:rPr>
                <w:rFonts w:ascii="Times New Roman" w:cs="Times New Roman" w:eastAsia="Times New Roman" w:hAnsi="Times New Roman"/>
                <w:sz w:val="20"/>
                <w:szCs w:val="20"/>
                <w:color w:val="auto"/>
              </w:rPr>
              <w:t>”). As used herein,</w:t>
            </w:r>
          </w:p>
        </w:tc>
        <w:tc>
          <w:tcPr>
            <w:tcW w:w="0" w:type="dxa"/>
            <w:vAlign w:val="bottom"/>
          </w:tcPr>
          <w:p>
            <w:pPr>
              <w:spacing w:after="0"/>
              <w:rPr>
                <w:sz w:val="1"/>
                <w:szCs w:val="1"/>
                <w:color w:val="auto"/>
              </w:rPr>
            </w:pPr>
          </w:p>
        </w:tc>
      </w:tr>
      <w:tr>
        <w:trPr>
          <w:trHeight w:val="207"/>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 Viewer</w:t>
            </w:r>
            <w:r>
              <w:rPr>
                <w:rFonts w:ascii="Times New Roman" w:cs="Times New Roman" w:eastAsia="Times New Roman" w:hAnsi="Times New Roman"/>
                <w:sz w:val="20"/>
                <w:szCs w:val="20"/>
                <w:color w:val="auto"/>
              </w:rPr>
              <w:t>” means a front-end application provided by Tradeweb or any of its Affiliates to users for</w:t>
            </w:r>
          </w:p>
        </w:tc>
        <w:tc>
          <w:tcPr>
            <w:tcW w:w="0" w:type="dxa"/>
            <w:vAlign w:val="bottom"/>
          </w:tcPr>
          <w:p>
            <w:pPr>
              <w:spacing w:after="0"/>
              <w:rPr>
                <w:sz w:val="1"/>
                <w:szCs w:val="1"/>
                <w:color w:val="auto"/>
              </w:rPr>
            </w:pPr>
          </w:p>
        </w:tc>
      </w:tr>
      <w:tr>
        <w:trPr>
          <w:trHeight w:val="258"/>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accessing a multi-dealer to customer platform, whether for view and trading access or for view only access.</w:t>
            </w: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w w:val="99"/>
              </w:rPr>
              <w:t>During the Service Period, Tradeweb (or its Affiliates, as applicable) will provide Covered User Access to Covered</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rPr>
              <w:t>Users pursuant to the applicable Specified Customer agreements relevant to such Covered User Access, but shall</w:t>
            </w:r>
          </w:p>
        </w:tc>
        <w:tc>
          <w:tcPr>
            <w:tcW w:w="0" w:type="dxa"/>
            <w:vAlign w:val="bottom"/>
          </w:tcPr>
          <w:p>
            <w:pPr>
              <w:spacing w:after="0"/>
              <w:rPr>
                <w:sz w:val="1"/>
                <w:szCs w:val="1"/>
                <w:color w:val="auto"/>
              </w:rPr>
            </w:pPr>
          </w:p>
        </w:tc>
      </w:tr>
      <w:tr>
        <w:trPr>
          <w:trHeight w:val="258"/>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not invoice the Specified Customers for the Covered Fees.</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1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Master Agreement:</w:t>
            </w: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The Tradeweb Master Data License Agreement dated November 1, 2023 between Tradeweb Markets LLC</w:t>
            </w: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930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w:t>
            </w:r>
            <w:r>
              <w:rPr>
                <w:rFonts w:ascii="Times New Roman" w:cs="Times New Roman" w:eastAsia="Times New Roman" w:hAnsi="Times New Roman"/>
                <w:sz w:val="20"/>
                <w:szCs w:val="20"/>
                <w:color w:val="auto"/>
              </w:rPr>
              <w:t>”) and the undersigned Subscriber (each of Tradeweb and the Subscriber,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w:t>
            </w:r>
          </w:p>
        </w:tc>
        <w:tc>
          <w:tcPr>
            <w:tcW w:w="0" w:type="dxa"/>
            <w:vAlign w:val="bottom"/>
          </w:tcPr>
          <w:p>
            <w:pPr>
              <w:spacing w:after="0"/>
              <w:rPr>
                <w:sz w:val="1"/>
                <w:szCs w:val="1"/>
                <w:color w:val="auto"/>
              </w:rPr>
            </w:pPr>
          </w:p>
        </w:tc>
      </w:tr>
      <w:tr>
        <w:trPr>
          <w:trHeight w:val="262"/>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amended.</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Service Period:</w:t>
            </w:r>
          </w:p>
        </w:tc>
        <w:tc>
          <w:tcPr>
            <w:tcW w:w="930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November 1, 2023 – October 31, 2024</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tcPr>
          <w:p>
            <w:pPr>
              <w:spacing w:after="0"/>
              <w:rPr>
                <w:sz w:val="7"/>
                <w:szCs w:val="7"/>
                <w:color w:val="auto"/>
              </w:rPr>
            </w:pPr>
          </w:p>
        </w:tc>
        <w:tc>
          <w:tcPr>
            <w:tcW w:w="93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right w:val="single" w:sz="8" w:color="auto"/>
            </w:tcBorders>
          </w:tcPr>
          <w:p>
            <w:pPr>
              <w:spacing w:after="0"/>
              <w:rPr>
                <w:sz w:val="20"/>
                <w:szCs w:val="20"/>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At the request of Tradeweb, Subscriber shall notify the relevant Specified Customer of the end of its relevant</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rPr>
              <w:t>Covered User Access and direct such Specified Customer (and/or its Covered Users) to Tradeweb for continued</w:t>
            </w:r>
          </w:p>
        </w:tc>
        <w:tc>
          <w:tcPr>
            <w:tcW w:w="0" w:type="dxa"/>
            <w:vAlign w:val="bottom"/>
          </w:tcPr>
          <w:p>
            <w:pPr>
              <w:spacing w:after="0"/>
              <w:rPr>
                <w:sz w:val="1"/>
                <w:szCs w:val="1"/>
                <w:color w:val="auto"/>
              </w:rPr>
            </w:pPr>
          </w:p>
        </w:tc>
      </w:tr>
      <w:tr>
        <w:trPr>
          <w:trHeight w:val="258"/>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access to the Covered User Access.</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60"/>
          </w:cols>
          <w:pgMar w:left="320" w:top="1440" w:right="319" w:bottom="1440" w:gutter="0" w:footer="0" w:header="0"/>
        </w:sectPr>
      </w:pPr>
    </w:p>
    <w:bookmarkStart w:id="196" w:name="page197"/>
    <w:bookmarkEnd w:id="196"/>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31546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7140575" cy="31546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16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Fees:</w:t>
            </w:r>
          </w:p>
        </w:tc>
        <w:tc>
          <w:tcPr>
            <w:tcW w:w="9620" w:type="dxa"/>
            <w:vAlign w:val="bottom"/>
            <w:gridSpan w:val="3"/>
            <w:vMerge w:val="restart"/>
          </w:tcPr>
          <w:p>
            <w:pPr>
              <w:ind w:left="340"/>
              <w:spacing w:after="0"/>
              <w:rPr>
                <w:sz w:val="20"/>
                <w:szCs w:val="20"/>
                <w:color w:val="auto"/>
              </w:rPr>
            </w:pPr>
            <w:r>
              <w:rPr>
                <w:rFonts w:ascii="Times New Roman" w:cs="Times New Roman" w:eastAsia="Times New Roman" w:hAnsi="Times New Roman"/>
                <w:sz w:val="20"/>
                <w:szCs w:val="20"/>
                <w:color w:val="auto"/>
              </w:rPr>
              <w:t>No fees shall be payable by Subscriber hereunder.</w:t>
            </w:r>
          </w:p>
        </w:tc>
        <w:tc>
          <w:tcPr>
            <w:tcW w:w="0" w:type="dxa"/>
            <w:vAlign w:val="bottom"/>
          </w:tcPr>
          <w:p>
            <w:pPr>
              <w:spacing w:after="0"/>
              <w:rPr>
                <w:sz w:val="1"/>
                <w:szCs w:val="1"/>
                <w:color w:val="auto"/>
              </w:rPr>
            </w:pPr>
          </w:p>
        </w:tc>
      </w:tr>
      <w:tr>
        <w:trPr>
          <w:trHeight w:val="81"/>
        </w:trPr>
        <w:tc>
          <w:tcPr>
            <w:tcW w:w="1640" w:type="dxa"/>
            <w:vAlign w:val="bottom"/>
          </w:tcPr>
          <w:p>
            <w:pPr>
              <w:spacing w:after="0"/>
              <w:rPr>
                <w:sz w:val="7"/>
                <w:szCs w:val="7"/>
                <w:color w:val="auto"/>
              </w:rPr>
            </w:pPr>
          </w:p>
        </w:tc>
        <w:tc>
          <w:tcPr>
            <w:tcW w:w="9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640" w:type="dxa"/>
            <w:vAlign w:val="bottom"/>
          </w:tcPr>
          <w:p>
            <w:pPr>
              <w:spacing w:after="0"/>
              <w:rPr>
                <w:sz w:val="21"/>
                <w:szCs w:val="21"/>
                <w:color w:val="auto"/>
              </w:rPr>
            </w:pPr>
          </w:p>
        </w:tc>
        <w:tc>
          <w:tcPr>
            <w:tcW w:w="962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Tradeweb shall not invoice a Specified Customer for any Covered User Access; provided, that Tradeweb may</w:t>
            </w: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2"/>
                <w:szCs w:val="22"/>
                <w:color w:val="auto"/>
              </w:rPr>
            </w:pPr>
          </w:p>
        </w:tc>
        <w:tc>
          <w:tcPr>
            <w:tcW w:w="962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invoice a Specified Customer for other goods or services provided to it that do not constitute Covered User Access.</w:t>
            </w:r>
          </w:p>
        </w:tc>
        <w:tc>
          <w:tcPr>
            <w:tcW w:w="0" w:type="dxa"/>
            <w:vAlign w:val="bottom"/>
          </w:tcPr>
          <w:p>
            <w:pPr>
              <w:spacing w:after="0"/>
              <w:rPr>
                <w:sz w:val="1"/>
                <w:szCs w:val="1"/>
                <w:color w:val="auto"/>
              </w:rPr>
            </w:pPr>
          </w:p>
        </w:tc>
      </w:tr>
      <w:tr>
        <w:trPr>
          <w:trHeight w:val="106"/>
        </w:trPr>
        <w:tc>
          <w:tcPr>
            <w:tcW w:w="1640" w:type="dxa"/>
            <w:vAlign w:val="bottom"/>
            <w:tcBorders>
              <w:bottom w:val="single" w:sz="8" w:color="auto"/>
            </w:tcBorders>
          </w:tcPr>
          <w:p>
            <w:pPr>
              <w:spacing w:after="0"/>
              <w:rPr>
                <w:sz w:val="9"/>
                <w:szCs w:val="9"/>
                <w:color w:val="auto"/>
              </w:rPr>
            </w:pPr>
          </w:p>
        </w:tc>
        <w:tc>
          <w:tcPr>
            <w:tcW w:w="8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Changes to</w:t>
            </w:r>
          </w:p>
        </w:tc>
        <w:tc>
          <w:tcPr>
            <w:tcW w:w="9620" w:type="dxa"/>
            <w:vAlign w:val="bottom"/>
            <w:gridSpan w:val="3"/>
            <w:vMerge w:val="restart"/>
          </w:tcPr>
          <w:p>
            <w:pPr>
              <w:ind w:left="340"/>
              <w:spacing w:after="0"/>
              <w:rPr>
                <w:sz w:val="20"/>
                <w:szCs w:val="20"/>
                <w:color w:val="auto"/>
              </w:rPr>
            </w:pPr>
            <w:r>
              <w:rPr>
                <w:rFonts w:ascii="Times New Roman" w:cs="Times New Roman" w:eastAsia="Times New Roman" w:hAnsi="Times New Roman"/>
                <w:sz w:val="20"/>
                <w:szCs w:val="20"/>
                <w:color w:val="auto"/>
                <w:w w:val="99"/>
              </w:rPr>
              <w:t>In addition to amendments to this Data Schedule permitted under the terms of the Master Agreement, Attachment A</w:t>
            </w:r>
          </w:p>
        </w:tc>
        <w:tc>
          <w:tcPr>
            <w:tcW w:w="0" w:type="dxa"/>
            <w:vAlign w:val="bottom"/>
          </w:tcPr>
          <w:p>
            <w:pPr>
              <w:spacing w:after="0"/>
              <w:rPr>
                <w:sz w:val="1"/>
                <w:szCs w:val="1"/>
                <w:color w:val="auto"/>
              </w:rPr>
            </w:pPr>
          </w:p>
        </w:tc>
      </w:tr>
      <w:tr>
        <w:trPr>
          <w:trHeight w:val="54"/>
        </w:trPr>
        <w:tc>
          <w:tcPr>
            <w:tcW w:w="1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Attachment A:</w:t>
            </w:r>
          </w:p>
        </w:tc>
        <w:tc>
          <w:tcPr>
            <w:tcW w:w="9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640" w:type="dxa"/>
            <w:vAlign w:val="bottom"/>
            <w:vMerge w:val="continue"/>
          </w:tcPr>
          <w:p>
            <w:pPr>
              <w:spacing w:after="0"/>
              <w:rPr>
                <w:sz w:val="20"/>
                <w:szCs w:val="20"/>
                <w:color w:val="auto"/>
              </w:rPr>
            </w:pPr>
          </w:p>
        </w:tc>
        <w:tc>
          <w:tcPr>
            <w:tcW w:w="84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hereto may be modified as follows:</w:t>
            </w: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660" w:right="80" w:hanging="317"/>
        <w:spacing w:after="0" w:line="234" w:lineRule="auto"/>
        <w:tabs>
          <w:tab w:leader="none" w:pos="2671"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part of </w:t>
      </w:r>
      <w:r>
        <w:rPr>
          <w:rFonts w:ascii="Times New Roman" w:cs="Times New Roman" w:eastAsia="Times New Roman" w:hAnsi="Times New Roman"/>
          <w:sz w:val="19"/>
          <w:szCs w:val="19"/>
          <w:u w:val="single" w:color="auto"/>
          <w:color w:val="auto"/>
        </w:rPr>
        <w:t>Attachment A</w:t>
      </w:r>
      <w:r>
        <w:rPr>
          <w:rFonts w:ascii="Times New Roman" w:cs="Times New Roman" w:eastAsia="Times New Roman" w:hAnsi="Times New Roman"/>
          <w:sz w:val="19"/>
          <w:szCs w:val="19"/>
          <w:color w:val="auto"/>
        </w:rPr>
        <w:t xml:space="preserve"> may be modified at any time by email confirmation by both of (i) for Tradeweb, a Managing Director in the Market Data group (or successor thereto) or an executive level corporate officer of Tradeweb, and (ii) for Subscriber, Andrew Hughes, Global Partnership Director or the Head of Content Acquisition (or such persons’ designated successor(s)) (each, a Party’s “</w:t>
      </w:r>
      <w:r>
        <w:rPr>
          <w:rFonts w:ascii="Times New Roman" w:cs="Times New Roman" w:eastAsia="Times New Roman" w:hAnsi="Times New Roman"/>
          <w:sz w:val="19"/>
          <w:szCs w:val="19"/>
          <w:b w:val="1"/>
          <w:bCs w:val="1"/>
          <w:color w:val="auto"/>
        </w:rPr>
        <w:t>Designated Authority</w:t>
      </w:r>
      <w:r>
        <w:rPr>
          <w:rFonts w:ascii="Times New Roman" w:cs="Times New Roman" w:eastAsia="Times New Roman" w:hAnsi="Times New Roman"/>
          <w:sz w:val="19"/>
          <w:szCs w:val="19"/>
          <w:color w:val="auto"/>
        </w:rPr>
        <w:t>”).</w:t>
      </w:r>
    </w:p>
    <w:p>
      <w:pPr>
        <w:spacing w:after="0" w:line="52" w:lineRule="exact"/>
        <w:rPr>
          <w:rFonts w:ascii="Times New Roman" w:cs="Times New Roman" w:eastAsia="Times New Roman" w:hAnsi="Times New Roman"/>
          <w:sz w:val="19"/>
          <w:szCs w:val="19"/>
          <w:color w:val="auto"/>
        </w:rPr>
      </w:pPr>
    </w:p>
    <w:p>
      <w:pPr>
        <w:jc w:val="both"/>
        <w:ind w:left="2660" w:right="80" w:hanging="317"/>
        <w:spacing w:after="0" w:line="220" w:lineRule="auto"/>
        <w:tabs>
          <w:tab w:leader="none" w:pos="274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Covered User Access may be removed at any time following notice from Subscriber’s Designated Authority to Tradeweb’s Designated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Subscriber shall, at the same time such notice is provided to Tradeweb, notify the relevant Specified Customer (and/or its Covered Users) of the end of its relevant Covered User Access and direct such Specified Customer (and/or its Covered Users) to Tradeweb for continued access to the Covered User Access.</w:t>
      </w:r>
    </w:p>
    <w:p>
      <w:pPr>
        <w:spacing w:after="0" w:line="39" w:lineRule="exact"/>
        <w:rPr>
          <w:rFonts w:ascii="Times New Roman" w:cs="Times New Roman" w:eastAsia="Times New Roman" w:hAnsi="Times New Roman"/>
          <w:sz w:val="20"/>
          <w:szCs w:val="20"/>
          <w:color w:val="auto"/>
        </w:rPr>
      </w:pPr>
    </w:p>
    <w:p>
      <w:pPr>
        <w:jc w:val="both"/>
        <w:ind w:left="2660" w:right="80" w:hanging="317"/>
        <w:spacing w:after="0" w:line="218" w:lineRule="auto"/>
        <w:tabs>
          <w:tab w:leader="none" w:pos="268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Tradeweb’s Designated Authority shall notify Subscriber’s Designated Authority if it determines in its sole discretion to cease offering any Covered User Access to the relevant Covered User or if any Specified Customer cancels any Covered User Access and the relevant Covered User Access shall be removed with effect from such notice (provided, that in the event Tradeweb thereafter determines to begin offering such Covered User Access again, it shall notify Subscriber in the same manner and, if requested by Subscriber’s Designated Authority, such Covered User Access shall be added to </w:t>
      </w:r>
      <w:r>
        <w:rPr>
          <w:rFonts w:ascii="Times New Roman" w:cs="Times New Roman" w:eastAsia="Times New Roman" w:hAnsi="Times New Roman"/>
          <w:sz w:val="20"/>
          <w:szCs w:val="20"/>
          <w:u w:val="single" w:color="auto"/>
          <w:color w:val="auto"/>
        </w:rPr>
        <w:t>Attachment A</w:t>
      </w:r>
      <w:r>
        <w:rPr>
          <w:rFonts w:ascii="Times New Roman" w:cs="Times New Roman" w:eastAsia="Times New Roman" w:hAnsi="Times New Roman"/>
          <w:sz w:val="20"/>
          <w:szCs w:val="20"/>
          <w:color w:val="auto"/>
        </w:rPr>
        <w:t xml:space="preserve"> again).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60"/>
          </w:cols>
          <w:pgMar w:left="320" w:top="1440" w:right="319" w:bottom="1440" w:gutter="0" w:footer="0" w:header="0"/>
        </w:sectPr>
      </w:pPr>
    </w:p>
    <w:bookmarkStart w:id="197" w:name="page198"/>
    <w:bookmarkEnd w:id="197"/>
    <w:p>
      <w:pPr>
        <w:spacing w:after="0" w:line="283" w:lineRule="auto"/>
        <w:rPr>
          <w:sz w:val="20"/>
          <w:szCs w:val="20"/>
          <w:color w:val="auto"/>
        </w:rPr>
      </w:pPr>
      <w:r>
        <w:rPr>
          <w:rFonts w:ascii="Times New Roman" w:cs="Times New Roman" w:eastAsia="Times New Roman" w:hAnsi="Times New Roman"/>
          <w:sz w:val="20"/>
          <w:szCs w:val="20"/>
          <w:color w:val="auto"/>
        </w:rPr>
        <w:t>The Parties have caused this Data Schedule to be executed by their respective duly authorized representatives with effect as of the date of Tradeweb’s signature below.</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REFINITIV US LLC</w:t>
            </w:r>
          </w:p>
        </w:tc>
        <w:tc>
          <w:tcPr>
            <w:tcW w:w="6280" w:type="dxa"/>
            <w:vAlign w:val="bottom"/>
            <w:gridSpan w:val="7"/>
          </w:tcPr>
          <w:p>
            <w:pPr>
              <w:ind w:left="3620"/>
              <w:spacing w:after="0"/>
              <w:rPr>
                <w:sz w:val="20"/>
                <w:szCs w:val="20"/>
                <w:color w:val="auto"/>
              </w:rPr>
            </w:pPr>
            <w:r>
              <w:rPr>
                <w:rFonts w:ascii="Times New Roman" w:cs="Times New Roman" w:eastAsia="Times New Roman" w:hAnsi="Times New Roman"/>
                <w:sz w:val="20"/>
                <w:szCs w:val="20"/>
                <w:b w:val="1"/>
                <w:bCs w:val="1"/>
                <w:color w:val="auto"/>
                <w:w w:val="98"/>
              </w:rPr>
              <w:t>TRADEWEB MARKETS LLC</w:t>
            </w:r>
          </w:p>
        </w:tc>
      </w:tr>
      <w:tr>
        <w:trPr>
          <w:trHeight w:val="683"/>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By: /s/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By: /s/ Sara Furber</w:t>
            </w:r>
          </w:p>
        </w:tc>
      </w:tr>
      <w:tr>
        <w:trPr>
          <w:trHeight w:val="20"/>
        </w:trPr>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Name: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Name: Sara Furber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Title: Group Director</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Date: October 25, 2023</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Date: October 25, 2023</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880"/>
          </w:cols>
          <w:pgMar w:left="320" w:top="1426" w:right="69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9019"/>
          </w:cols>
          <w:pgMar w:left="1440" w:top="1422" w:right="1440" w:bottom="1440" w:gutter="0" w:footer="0" w:header="0"/>
        </w:sectPr>
      </w:pPr>
    </w:p>
    <w:bookmarkStart w:id="199" w:name="page200"/>
    <w:bookmarkEnd w:id="199"/>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TRADEWEB DATA SCHEDULE 4 – REVENUE SHARE DATA</w:t>
      </w: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TO THE TRADEWEB MASTER DATA LICENSE AGREEMENT</w:t>
      </w:r>
    </w:p>
    <w:p>
      <w:pPr>
        <w:spacing w:after="0" w:line="288"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The undersigned Subscriber is hereby subscribing to the Licensed Data for the Purpose and on the terms and conditions set forth in this Tradeweb Data Schedule (this “</w:t>
      </w:r>
      <w:r>
        <w:rPr>
          <w:rFonts w:ascii="Times New Roman" w:cs="Times New Roman" w:eastAsia="Times New Roman" w:hAnsi="Times New Roman"/>
          <w:sz w:val="20"/>
          <w:szCs w:val="20"/>
          <w:b w:val="1"/>
          <w:bCs w:val="1"/>
          <w:color w:val="auto"/>
        </w:rPr>
        <w:t>Data Schedule</w:t>
      </w:r>
      <w:r>
        <w:rPr>
          <w:rFonts w:ascii="Times New Roman" w:cs="Times New Roman" w:eastAsia="Times New Roman" w:hAnsi="Times New Roman"/>
          <w:sz w:val="20"/>
          <w:szCs w:val="20"/>
          <w:color w:val="auto"/>
        </w:rPr>
        <w:t>”), which is subject to and made a part of the Tradeweb Master Data License Agreement</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specified below (as amended, the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Capitalized terms used but not otherwise defined in this Data Schedule have the meanings given to them in the Master Agreement.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Subscriber(s):</w:t>
            </w:r>
          </w:p>
        </w:tc>
        <w:tc>
          <w:tcPr>
            <w:tcW w:w="904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As defined in Section 1.2 of the Master Agreement.</w:t>
            </w:r>
          </w:p>
        </w:tc>
      </w:tr>
      <w:tr>
        <w:trPr>
          <w:trHeight w:val="21"/>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Licensed Data:</w:t>
            </w: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The market data sets identified on Exhibit A hereto (as amended from time to time by written consent of the</w:t>
            </w:r>
          </w:p>
        </w:tc>
      </w:tr>
      <w:tr>
        <w:trPr>
          <w:trHeight w:val="238"/>
        </w:trPr>
        <w:tc>
          <w:tcPr>
            <w:tcW w:w="2220" w:type="dxa"/>
            <w:vAlign w:val="bottom"/>
            <w:tcBorders>
              <w:left w:val="single" w:sz="8" w:color="auto"/>
              <w:right w:val="single" w:sz="8" w:color="auto"/>
            </w:tcBorders>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Parties)</w:t>
            </w:r>
          </w:p>
        </w:tc>
        <w:tc>
          <w:tcPr>
            <w:tcW w:w="800" w:type="dxa"/>
            <w:vAlign w:val="bottom"/>
            <w:tcBorders>
              <w:top w:val="single" w:sz="8" w:color="auto"/>
            </w:tcBorders>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p>
        </w:tc>
      </w:tr>
      <w:tr>
        <w:trPr>
          <w:trHeight w:val="93"/>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380" w:type="dxa"/>
            <w:vAlign w:val="bottom"/>
            <w:tcBorders>
              <w:bottom w:val="single" w:sz="8" w:color="auto"/>
              <w:right w:val="single" w:sz="8" w:color="auto"/>
            </w:tcBorders>
          </w:tcPr>
          <w:p>
            <w:pPr>
              <w:spacing w:after="0"/>
              <w:rPr>
                <w:sz w:val="8"/>
                <w:szCs w:val="8"/>
                <w:color w:val="auto"/>
              </w:rPr>
            </w:pPr>
          </w:p>
        </w:tc>
      </w:tr>
      <w:tr>
        <w:trPr>
          <w:trHeight w:val="291"/>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Master Agreement:</w:t>
            </w: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The Tradeweb Master Data License Agreement dated November 1, 2023 between Tradeweb Markets LLC</w:t>
            </w:r>
          </w:p>
        </w:tc>
      </w:tr>
      <w:tr>
        <w:trPr>
          <w:trHeight w:val="202"/>
        </w:trPr>
        <w:tc>
          <w:tcPr>
            <w:tcW w:w="2220" w:type="dxa"/>
            <w:vAlign w:val="bottom"/>
            <w:tcBorders>
              <w:left w:val="single" w:sz="8" w:color="auto"/>
              <w:right w:val="single" w:sz="8" w:color="auto"/>
            </w:tcBorders>
          </w:tcPr>
          <w:p>
            <w:pPr>
              <w:spacing w:after="0"/>
              <w:rPr>
                <w:sz w:val="17"/>
                <w:szCs w:val="17"/>
                <w:color w:val="auto"/>
              </w:rPr>
            </w:pPr>
          </w:p>
        </w:tc>
        <w:tc>
          <w:tcPr>
            <w:tcW w:w="9040" w:type="dxa"/>
            <w:vAlign w:val="bottom"/>
            <w:tcBorders>
              <w:right w:val="single" w:sz="8" w:color="auto"/>
            </w:tcBorders>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w:t>
            </w:r>
            <w:r>
              <w:rPr>
                <w:rFonts w:ascii="Times New Roman" w:cs="Times New Roman" w:eastAsia="Times New Roman" w:hAnsi="Times New Roman"/>
                <w:sz w:val="20"/>
                <w:szCs w:val="20"/>
                <w:color w:val="auto"/>
              </w:rPr>
              <w:t>”) and the undersigned Subscriber (each of Tradeweb and Subscriber,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w:t>
            </w:r>
          </w:p>
        </w:tc>
      </w:tr>
      <w:tr>
        <w:trPr>
          <w:trHeight w:val="262"/>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amended.</w:t>
            </w:r>
          </w:p>
        </w:tc>
      </w:tr>
      <w:tr>
        <w:trPr>
          <w:trHeight w:val="102"/>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380" w:type="dxa"/>
            <w:vAlign w:val="bottom"/>
            <w:tcBorders>
              <w:bottom w:val="single" w:sz="8" w:color="auto"/>
              <w:right w:val="single" w:sz="8" w:color="auto"/>
            </w:tcBorders>
          </w:tcPr>
          <w:p>
            <w:pPr>
              <w:spacing w:after="0"/>
              <w:rPr>
                <w:sz w:val="8"/>
                <w:szCs w:val="8"/>
                <w:color w:val="auto"/>
              </w:rPr>
            </w:pPr>
          </w:p>
        </w:tc>
      </w:tr>
      <w:tr>
        <w:trPr>
          <w:trHeight w:val="295"/>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License:</w:t>
            </w: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Subject to the terms and conditions set forth in the Master Agreement and this Data Schedule (including but not</w:t>
            </w: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9040" w:type="dxa"/>
            <w:vAlign w:val="bottom"/>
            <w:tcBorders>
              <w:right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20"/>
                <w:szCs w:val="20"/>
                <w:color w:val="auto"/>
              </w:rPr>
              <w:t>limited to Section 2.7 of the Master Agreement), Tradeweb grants Subscriber a non-exclusive, non-transferable,</w:t>
            </w:r>
          </w:p>
        </w:tc>
      </w:tr>
      <w:tr>
        <w:trPr>
          <w:trHeight w:val="193"/>
        </w:trPr>
        <w:tc>
          <w:tcPr>
            <w:tcW w:w="2220" w:type="dxa"/>
            <w:vAlign w:val="bottom"/>
            <w:tcBorders>
              <w:left w:val="single" w:sz="8" w:color="auto"/>
              <w:right w:val="single" w:sz="8" w:color="auto"/>
            </w:tcBorders>
          </w:tcPr>
          <w:p>
            <w:pPr>
              <w:spacing w:after="0"/>
              <w:rPr>
                <w:sz w:val="16"/>
                <w:szCs w:val="16"/>
                <w:color w:val="auto"/>
              </w:rPr>
            </w:pPr>
          </w:p>
        </w:tc>
        <w:tc>
          <w:tcPr>
            <w:tcW w:w="9040" w:type="dxa"/>
            <w:vAlign w:val="bottom"/>
            <w:tcBorders>
              <w:right w:val="single" w:sz="8" w:color="auto"/>
            </w:tcBorders>
            <w:gridSpan w:val="3"/>
          </w:tcPr>
          <w:p>
            <w:pPr>
              <w:ind w:left="20"/>
              <w:spacing w:after="0" w:line="193" w:lineRule="exact"/>
              <w:rPr>
                <w:sz w:val="20"/>
                <w:szCs w:val="20"/>
                <w:color w:val="auto"/>
              </w:rPr>
            </w:pPr>
            <w:r>
              <w:rPr>
                <w:rFonts w:ascii="Times New Roman" w:cs="Times New Roman" w:eastAsia="Times New Roman" w:hAnsi="Times New Roman"/>
                <w:sz w:val="20"/>
                <w:szCs w:val="20"/>
                <w:color w:val="auto"/>
              </w:rPr>
              <w:t>terminable, sub-licensable, worldwide, limited license to distribute the Licensed Data for each Purpose set forth</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herein.</w:t>
            </w:r>
          </w:p>
        </w:tc>
      </w:tr>
      <w:tr>
        <w:trPr>
          <w:trHeight w:val="251"/>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For the avoidance of doubt, the foregoing license does not permit Subscriber to sell or otherwise distribute any</w:t>
            </w:r>
          </w:p>
        </w:tc>
      </w:tr>
      <w:tr>
        <w:trPr>
          <w:trHeight w:val="193"/>
        </w:trPr>
        <w:tc>
          <w:tcPr>
            <w:tcW w:w="2220" w:type="dxa"/>
            <w:vAlign w:val="bottom"/>
            <w:tcBorders>
              <w:left w:val="single" w:sz="8" w:color="auto"/>
              <w:right w:val="single" w:sz="8" w:color="auto"/>
            </w:tcBorders>
          </w:tcPr>
          <w:p>
            <w:pPr>
              <w:spacing w:after="0"/>
              <w:rPr>
                <w:sz w:val="16"/>
                <w:szCs w:val="16"/>
                <w:color w:val="auto"/>
              </w:rPr>
            </w:pPr>
          </w:p>
        </w:tc>
        <w:tc>
          <w:tcPr>
            <w:tcW w:w="9040" w:type="dxa"/>
            <w:vAlign w:val="bottom"/>
            <w:tcBorders>
              <w:right w:val="single" w:sz="8" w:color="auto"/>
            </w:tcBorders>
            <w:gridSpan w:val="3"/>
          </w:tcPr>
          <w:p>
            <w:pPr>
              <w:ind w:left="20"/>
              <w:spacing w:after="0" w:line="193" w:lineRule="exact"/>
              <w:rPr>
                <w:sz w:val="20"/>
                <w:szCs w:val="20"/>
                <w:color w:val="auto"/>
              </w:rPr>
            </w:pPr>
            <w:r>
              <w:rPr>
                <w:rFonts w:ascii="Times New Roman" w:cs="Times New Roman" w:eastAsia="Times New Roman" w:hAnsi="Times New Roman"/>
                <w:sz w:val="20"/>
                <w:szCs w:val="20"/>
                <w:color w:val="auto"/>
              </w:rPr>
              <w:t>historical data, including any real time or delayed data stored by Subscriber or delivered by Tradeweb, unless</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otherwise agreed in writing by the Parties.</w:t>
            </w:r>
          </w:p>
        </w:tc>
      </w:tr>
      <w:tr>
        <w:trPr>
          <w:trHeight w:val="115"/>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38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60"/>
          </w:cols>
          <w:pgMar w:left="320" w:top="1394" w:right="319" w:bottom="1440" w:gutter="0" w:footer="0" w:header="0"/>
        </w:sectPr>
      </w:pPr>
    </w:p>
    <w:bookmarkStart w:id="200" w:name="page201"/>
    <w:bookmarkEnd w:id="20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66782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7140575" cy="6678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514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w w:val="98"/>
              </w:rPr>
              <w:t>Distribute Licensed Data to Distribution Customers via:</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900" w:right="20" w:hanging="327"/>
        <w:spacing w:after="0" w:line="217" w:lineRule="auto"/>
        <w:tabs>
          <w:tab w:leader="none" w:pos="292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Eikon or Workspace (including such currently-existing Subscriber products and services, at such time as they are migrated into Workspace) (the “</w:t>
      </w:r>
      <w:r>
        <w:rPr>
          <w:rFonts w:ascii="Times New Roman" w:cs="Times New Roman" w:eastAsia="Times New Roman" w:hAnsi="Times New Roman"/>
          <w:sz w:val="20"/>
          <w:szCs w:val="20"/>
          <w:b w:val="1"/>
          <w:bCs w:val="1"/>
          <w:color w:val="auto"/>
        </w:rPr>
        <w:t>Desktop Services</w:t>
      </w:r>
      <w:r>
        <w:rPr>
          <w:rFonts w:ascii="Times New Roman" w:cs="Times New Roman" w:eastAsia="Times New Roman" w:hAnsi="Times New Roman"/>
          <w:sz w:val="20"/>
          <w:szCs w:val="20"/>
          <w:color w:val="auto"/>
        </w:rPr>
        <w:t>”) (solely where the Distribution Customer’s individual end users are the recipients and users of such Licensed Data and exercise control over their receipt and use thereof through user accounts and/or credentials), solely for the Individual Use of such end users or</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2900" w:right="160" w:hanging="327"/>
        <w:spacing w:after="0" w:line="220" w:lineRule="auto"/>
        <w:tabs>
          <w:tab w:leader="none" w:pos="292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Non-Desktop Services (solely where the Distribution Customer’s enterprise applications are the recipients and users of such Licensed Data), solely for the internal use of such Distribution Customers; provided that such Distribution Customers will be permitted to use the data internally, to manipulate the data and create Derived Data (for internal use only), and to distribute and redistribute insubstantial portions of Licensed Data in a non-systematic manner;</w:t>
      </w:r>
    </w:p>
    <w:p>
      <w:pPr>
        <w:spacing w:after="0" w:line="39" w:lineRule="exact"/>
        <w:rPr>
          <w:sz w:val="20"/>
          <w:szCs w:val="20"/>
          <w:color w:val="auto"/>
        </w:rPr>
      </w:pPr>
    </w:p>
    <w:p>
      <w:pPr>
        <w:ind w:left="2200" w:right="220"/>
        <w:spacing w:after="0" w:line="230" w:lineRule="auto"/>
        <w:rPr>
          <w:sz w:val="20"/>
          <w:szCs w:val="20"/>
          <w:color w:val="auto"/>
        </w:rPr>
      </w:pPr>
      <w:r>
        <w:rPr>
          <w:rFonts w:ascii="Times New Roman" w:cs="Times New Roman" w:eastAsia="Times New Roman" w:hAnsi="Times New Roman"/>
          <w:sz w:val="20"/>
          <w:szCs w:val="20"/>
          <w:color w:val="auto"/>
        </w:rPr>
        <w:t>provided, that access to any Licensed Data distributed via a Desktop Service or Non-Desktop Service must be set up with a Permissionable Entity code in Subscriber’s systems (a “</w:t>
      </w:r>
      <w:r>
        <w:rPr>
          <w:rFonts w:ascii="Times New Roman" w:cs="Times New Roman" w:eastAsia="Times New Roman" w:hAnsi="Times New Roman"/>
          <w:sz w:val="20"/>
          <w:szCs w:val="20"/>
          <w:b w:val="1"/>
          <w:bCs w:val="1"/>
          <w:color w:val="auto"/>
        </w:rPr>
        <w:t>PE Code</w:t>
      </w:r>
      <w:r>
        <w:rPr>
          <w:rFonts w:ascii="Times New Roman" w:cs="Times New Roman" w:eastAsia="Times New Roman" w:hAnsi="Times New Roman"/>
          <w:sz w:val="20"/>
          <w:szCs w:val="20"/>
          <w:color w:val="auto"/>
        </w:rPr>
        <w:t>”) to control fee-liable entitlements for the Licensed Data.</w:t>
      </w:r>
    </w:p>
    <w:p>
      <w:pPr>
        <w:spacing w:after="0" w:line="3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As used above, “</w:t>
      </w:r>
      <w:r>
        <w:rPr>
          <w:rFonts w:ascii="Times New Roman" w:cs="Times New Roman" w:eastAsia="Times New Roman" w:hAnsi="Times New Roman"/>
          <w:sz w:val="20"/>
          <w:szCs w:val="20"/>
          <w:b w:val="1"/>
          <w:bCs w:val="1"/>
          <w:color w:val="auto"/>
        </w:rPr>
        <w:t>Individual Use</w:t>
      </w:r>
      <w:r>
        <w:rPr>
          <w:rFonts w:ascii="Times New Roman" w:cs="Times New Roman" w:eastAsia="Times New Roman" w:hAnsi="Times New Roman"/>
          <w:sz w:val="20"/>
          <w:szCs w:val="20"/>
          <w:color w:val="auto"/>
        </w:rPr>
        <w:t>” means, with respect to an individual end user of a Distribution Customer:</w:t>
      </w:r>
    </w:p>
    <w:p>
      <w:pPr>
        <w:spacing w:after="0" w:line="85" w:lineRule="exact"/>
        <w:rPr>
          <w:sz w:val="20"/>
          <w:szCs w:val="20"/>
          <w:color w:val="auto"/>
        </w:rPr>
      </w:pPr>
    </w:p>
    <w:p>
      <w:pPr>
        <w:ind w:left="3060" w:right="280" w:hanging="325"/>
        <w:spacing w:after="0"/>
        <w:tabs>
          <w:tab w:leader="none" w:pos="315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view, use and copy (download and/or print) Licensed Data for such end user’s individual internal use;</w:t>
      </w:r>
    </w:p>
    <w:p>
      <w:pPr>
        <w:spacing w:after="0" w:line="39" w:lineRule="exact"/>
        <w:rPr>
          <w:rFonts w:ascii="Times New Roman" w:cs="Times New Roman" w:eastAsia="Times New Roman" w:hAnsi="Times New Roman"/>
          <w:sz w:val="20"/>
          <w:szCs w:val="20"/>
          <w:color w:val="auto"/>
        </w:rPr>
      </w:pPr>
    </w:p>
    <w:p>
      <w:pPr>
        <w:ind w:left="3060" w:right="340" w:hanging="325"/>
        <w:spacing w:after="0"/>
        <w:tabs>
          <w:tab w:leader="none" w:pos="313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Licensed Data, and create Derived Data thereof, solely for such end user’s individual internal use;</w:t>
      </w:r>
    </w:p>
    <w:p>
      <w:pPr>
        <w:spacing w:after="0" w:line="39" w:lineRule="exact"/>
        <w:rPr>
          <w:rFonts w:ascii="Times New Roman" w:cs="Times New Roman" w:eastAsia="Times New Roman" w:hAnsi="Times New Roman"/>
          <w:sz w:val="20"/>
          <w:szCs w:val="20"/>
          <w:color w:val="auto"/>
        </w:rPr>
      </w:pPr>
    </w:p>
    <w:p>
      <w:pPr>
        <w:ind w:left="3060" w:right="160" w:hanging="325"/>
        <w:spacing w:after="0"/>
        <w:tabs>
          <w:tab w:leader="none" w:pos="316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and redistribute insubstantial portions of Licensed Data and/or Derived Data thereof in a non-systematic manner; and</w:t>
      </w:r>
    </w:p>
    <w:p>
      <w:pPr>
        <w:spacing w:after="0" w:line="53" w:lineRule="exact"/>
        <w:rPr>
          <w:rFonts w:ascii="Times New Roman" w:cs="Times New Roman" w:eastAsia="Times New Roman" w:hAnsi="Times New Roman"/>
          <w:sz w:val="20"/>
          <w:szCs w:val="20"/>
          <w:color w:val="auto"/>
        </w:rPr>
      </w:pPr>
    </w:p>
    <w:p>
      <w:pPr>
        <w:ind w:left="3060" w:right="840" w:hanging="325"/>
        <w:spacing w:after="0" w:line="233" w:lineRule="auto"/>
        <w:tabs>
          <w:tab w:leader="none" w:pos="316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Licensed Data to other end users of the same Distribution Customer who have a subscription from Subscriber to view the same Licensed Data.</w:t>
      </w:r>
    </w:p>
    <w:p>
      <w:pPr>
        <w:spacing w:after="0" w:line="49" w:lineRule="exact"/>
        <w:rPr>
          <w:sz w:val="20"/>
          <w:szCs w:val="20"/>
          <w:color w:val="auto"/>
        </w:rPr>
      </w:pPr>
    </w:p>
    <w:p>
      <w:pPr>
        <w:ind w:left="2200" w:right="120"/>
        <w:spacing w:after="0" w:line="245" w:lineRule="auto"/>
        <w:rPr>
          <w:sz w:val="20"/>
          <w:szCs w:val="20"/>
          <w:color w:val="auto"/>
        </w:rPr>
      </w:pPr>
      <w:r>
        <w:rPr>
          <w:rFonts w:ascii="Times New Roman" w:cs="Times New Roman" w:eastAsia="Times New Roman" w:hAnsi="Times New Roman"/>
          <w:sz w:val="20"/>
          <w:szCs w:val="20"/>
          <w:color w:val="auto"/>
        </w:rPr>
        <w:t>As used above, “</w:t>
      </w:r>
      <w:r>
        <w:rPr>
          <w:rFonts w:ascii="Times New Roman" w:cs="Times New Roman" w:eastAsia="Times New Roman" w:hAnsi="Times New Roman"/>
          <w:sz w:val="20"/>
          <w:szCs w:val="20"/>
          <w:b w:val="1"/>
          <w:bCs w:val="1"/>
          <w:color w:val="auto"/>
        </w:rPr>
        <w:t>Non-Desktop Services</w:t>
      </w:r>
      <w:r>
        <w:rPr>
          <w:rFonts w:ascii="Times New Roman" w:cs="Times New Roman" w:eastAsia="Times New Roman" w:hAnsi="Times New Roman"/>
          <w:sz w:val="20"/>
          <w:szCs w:val="20"/>
          <w:color w:val="auto"/>
        </w:rPr>
        <w:t>” means, the following services offered by Subscriber and its Affiliates as of the date hereof (except as specified below):</w:t>
      </w:r>
    </w:p>
    <w:p>
      <w:pPr>
        <w:spacing w:after="0" w:line="101" w:lineRule="exact"/>
        <w:rPr>
          <w:sz w:val="20"/>
          <w:szCs w:val="20"/>
          <w:color w:val="auto"/>
        </w:rPr>
      </w:pPr>
    </w:p>
    <w:p>
      <w:pPr>
        <w:ind w:left="2920" w:hanging="347"/>
        <w:spacing w:after="0"/>
        <w:tabs>
          <w:tab w:leader="none" w:pos="2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time data feeds</w:t>
      </w:r>
    </w:p>
    <w:p>
      <w:pPr>
        <w:spacing w:after="0" w:line="229" w:lineRule="exact"/>
        <w:rPr>
          <w:rFonts w:ascii="Times New Roman" w:cs="Times New Roman" w:eastAsia="Times New Roman" w:hAnsi="Times New Roman"/>
          <w:sz w:val="20"/>
          <w:szCs w:val="20"/>
          <w:color w:val="auto"/>
        </w:rPr>
      </w:pPr>
    </w:p>
    <w:p>
      <w:pPr>
        <w:ind w:left="2920" w:hanging="347"/>
        <w:spacing w:after="0"/>
        <w:tabs>
          <w:tab w:leader="none" w:pos="2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Datascope (non-real-time data)</w:t>
      </w:r>
    </w:p>
    <w:p>
      <w:pPr>
        <w:spacing w:after="0" w:line="215" w:lineRule="exact"/>
        <w:rPr>
          <w:rFonts w:ascii="Times New Roman" w:cs="Times New Roman" w:eastAsia="Times New Roman" w:hAnsi="Times New Roman"/>
          <w:sz w:val="20"/>
          <w:szCs w:val="20"/>
          <w:color w:val="auto"/>
        </w:rPr>
      </w:pPr>
    </w:p>
    <w:p>
      <w:pPr>
        <w:ind w:left="2920" w:hanging="347"/>
        <w:spacing w:after="0"/>
        <w:tabs>
          <w:tab w:leader="none" w:pos="2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Tick History</w:t>
      </w:r>
    </w:p>
    <w:p>
      <w:pPr>
        <w:spacing w:after="0" w:line="229" w:lineRule="exact"/>
        <w:rPr>
          <w:rFonts w:ascii="Times New Roman" w:cs="Times New Roman" w:eastAsia="Times New Roman" w:hAnsi="Times New Roman"/>
          <w:sz w:val="20"/>
          <w:szCs w:val="20"/>
          <w:color w:val="auto"/>
        </w:rPr>
      </w:pPr>
    </w:p>
    <w:p>
      <w:pPr>
        <w:ind w:left="2900" w:right="700" w:hanging="327"/>
        <w:spacing w:after="0" w:line="380" w:lineRule="auto"/>
        <w:tabs>
          <w:tab w:leader="none" w:pos="292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IFR News Platform (limited to periodic news/reporting containing insubstantial portions of the Licensed Data)</w:t>
      </w:r>
    </w:p>
    <w:p>
      <w:pPr>
        <w:ind w:left="2240"/>
        <w:spacing w:after="0" w:line="235" w:lineRule="auto"/>
        <w:rPr>
          <w:sz w:val="20"/>
          <w:szCs w:val="20"/>
          <w:color w:val="auto"/>
        </w:rPr>
      </w:pPr>
      <w:r>
        <w:rPr>
          <w:rFonts w:ascii="Times New Roman" w:cs="Times New Roman" w:eastAsia="Times New Roman" w:hAnsi="Times New Roman"/>
          <w:sz w:val="20"/>
          <w:szCs w:val="20"/>
          <w:color w:val="auto"/>
        </w:rPr>
        <w:t>The Parties acknowledge and agree that each Desktop Service or Non-Desktop Service also includes (i) the</w:t>
      </w:r>
    </w:p>
    <w:p>
      <w:pPr>
        <w:ind w:left="2240" w:right="280"/>
        <w:spacing w:after="0" w:line="215" w:lineRule="auto"/>
        <w:rPr>
          <w:sz w:val="20"/>
          <w:szCs w:val="20"/>
          <w:color w:val="auto"/>
        </w:rPr>
      </w:pPr>
      <w:r>
        <w:rPr>
          <w:rFonts w:ascii="Times New Roman" w:cs="Times New Roman" w:eastAsia="Times New Roman" w:hAnsi="Times New Roman"/>
          <w:sz w:val="19"/>
          <w:szCs w:val="19"/>
          <w:color w:val="auto"/>
        </w:rPr>
        <w:t>renaming or rebranding of such service, from time to time, by Subscriber and its Affiliates in their discretion and (ii) modifications, changes, extensions, evolutions, updates, upgrades, new generations, and/or</w:t>
      </w:r>
    </w:p>
    <w:p>
      <w:pPr>
        <w:ind w:left="2240"/>
        <w:spacing w:after="0" w:line="211" w:lineRule="auto"/>
        <w:rPr>
          <w:sz w:val="20"/>
          <w:szCs w:val="20"/>
          <w:color w:val="auto"/>
        </w:rPr>
      </w:pPr>
      <w:r>
        <w:rPr>
          <w:rFonts w:ascii="Times New Roman" w:cs="Times New Roman" w:eastAsia="Times New Roman" w:hAnsi="Times New Roman"/>
          <w:sz w:val="20"/>
          <w:szCs w:val="20"/>
          <w:color w:val="auto"/>
        </w:rPr>
        <w:t>replacements of such service that do not (individually or in the aggregate) (x) materially alter or expand the</w:t>
      </w:r>
    </w:p>
    <w:p>
      <w:pPr>
        <w:ind w:left="2240" w:right="940"/>
        <w:spacing w:after="0" w:line="221" w:lineRule="auto"/>
        <w:rPr>
          <w:sz w:val="20"/>
          <w:szCs w:val="20"/>
          <w:color w:val="auto"/>
        </w:rPr>
      </w:pPr>
      <w:r>
        <w:rPr>
          <w:rFonts w:ascii="Times New Roman" w:cs="Times New Roman" w:eastAsia="Times New Roman" w:hAnsi="Times New Roman"/>
          <w:sz w:val="20"/>
          <w:szCs w:val="20"/>
          <w:color w:val="auto"/>
        </w:rPr>
        <w:t>functionality of such service or (y) otherwise alter such service to such a degree that it creates a new product/service.</w:t>
      </w:r>
    </w:p>
    <w:p>
      <w:pPr>
        <w:spacing w:after="0" w:line="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Any additional purposes for which Subscriber wishes to use or redistribute the Licensed Data shall be subject to a new (or amended) Data Schedule mutually agreed in writing and executed by Tradeweb and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20"/>
          </w:cols>
          <w:pgMar w:left="360" w:top="1440" w:right="419" w:bottom="1440" w:gutter="0" w:footer="0" w:header="0"/>
        </w:sectPr>
      </w:pPr>
    </w:p>
    <w:bookmarkStart w:id="201" w:name="page202"/>
    <w:bookmarkEnd w:id="20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1397000" cy="45345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1397000" cy="45345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License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Delivery: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Usage Reporting:</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Initial License Period: November 1, 2023 – October 31, 2025</w:t>
      </w:r>
    </w:p>
    <w:p>
      <w:pPr>
        <w:spacing w:after="0" w:line="16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color w:val="auto"/>
        </w:rPr>
        <w:t>Transition Period: Following the Initial License Period, if the Parties have not entered into a written renewal (in any form as may be so agreed), then upon the notice of either Party to the other Party, the terms and conditions of this Data Schedule shall continue in full force and effect for an additional twelve (12) months following the date of expiration of the Initial License Period (the “Transition Period”) to allow for an orderly transition of the market data distribution arrangements contemplated under this Data Schedule. For avoidance of doubt, the Transition Period, if applicable, shall be considered part of the “License Period” for purposes of the Master Agreement and this Data Schedule.</w:t>
      </w:r>
    </w:p>
    <w:p>
      <w:pPr>
        <w:spacing w:after="0" w:line="16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In the same manner the Licensed Data is delivered immediately prior to the Effective Date or as mutually agreed among the Parties.</w:t>
      </w:r>
    </w:p>
    <w:p>
      <w:pPr>
        <w:spacing w:after="0" w:line="1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During the Initial License Period and the Transition Period, if applicable, with respect to the specific data listed on Exhibit A, Subscriber shall pay to Tradeweb the percentage specified on Exhibit A of the gross revenue Subscriber directly generates from the distribution of the Licensed Data to Distribution Customers by means of the Desktop Products or Non-Desktop Products.</w:t>
      </w:r>
    </w:p>
    <w:p>
      <w:pPr>
        <w:spacing w:after="0" w:line="10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9"/>
          <w:szCs w:val="19"/>
          <w:color w:val="auto"/>
        </w:rPr>
        <w:t>Any Fees shall be payable quarterly in arrears within thirty (30) days following receipt of an invoice therefor in accordance with Section 7 of the Master Agreement. For purposes of calculating any applicable revenue share payable by Subscriber and set forth herein, the gross revenue Subscriber and its Affiliates directly generate from the distribution of the Licensed Data to a third Person shall be deemed to be the greater of (x) Tradeweb’s listed price for the relevant Licensed Data and (y) the actual fees charged to such Person by Subscriber.</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color w:val="auto"/>
        </w:rPr>
        <w:t>No later than thirty (30) days after last day of each calendar month of the License Period including, with respect to Desktop Services and Non-Desktop Services distribution, the name of each individual end user who was permissioned to access a respective PE Code in such month, the Distribution Customer for that end user, the access source (i.e., Eikon, Workspace or other Refinitiv service), and the gross fees charged to individual end user for each PE Code entitled data product. Such Usage Reporting shall be delivered to Tradeweb in csv or excel file format by email at the following address: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2">
            <w:col w:w="1480" w:space="700"/>
            <w:col w:w="8980"/>
          </w:cols>
          <w:pgMar w:left="360" w:top="1440" w:right="379" w:bottom="1440" w:gutter="0" w:footer="0" w:header="0"/>
        </w:sectPr>
      </w:pPr>
    </w:p>
    <w:bookmarkStart w:id="202" w:name="page203"/>
    <w:bookmarkEnd w:id="202"/>
    <w:p>
      <w:pPr>
        <w:spacing w:after="0" w:line="283" w:lineRule="auto"/>
        <w:rPr>
          <w:sz w:val="20"/>
          <w:szCs w:val="20"/>
          <w:color w:val="auto"/>
        </w:rPr>
      </w:pPr>
      <w:r>
        <w:rPr>
          <w:rFonts w:ascii="Times New Roman" w:cs="Times New Roman" w:eastAsia="Times New Roman" w:hAnsi="Times New Roman"/>
          <w:sz w:val="20"/>
          <w:szCs w:val="20"/>
          <w:color w:val="auto"/>
        </w:rPr>
        <w:t>The Parties have caused this Data Schedule to be executed by their respective duly authorized representatives with effect as of the date of Tradeweb’s signature below.</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REFINITIV US LLC</w:t>
            </w:r>
          </w:p>
        </w:tc>
        <w:tc>
          <w:tcPr>
            <w:tcW w:w="6280" w:type="dxa"/>
            <w:vAlign w:val="bottom"/>
            <w:gridSpan w:val="7"/>
          </w:tcPr>
          <w:p>
            <w:pPr>
              <w:ind w:left="3620"/>
              <w:spacing w:after="0"/>
              <w:rPr>
                <w:sz w:val="20"/>
                <w:szCs w:val="20"/>
                <w:color w:val="auto"/>
              </w:rPr>
            </w:pPr>
            <w:r>
              <w:rPr>
                <w:rFonts w:ascii="Times New Roman" w:cs="Times New Roman" w:eastAsia="Times New Roman" w:hAnsi="Times New Roman"/>
                <w:sz w:val="20"/>
                <w:szCs w:val="20"/>
                <w:b w:val="1"/>
                <w:bCs w:val="1"/>
                <w:color w:val="auto"/>
                <w:w w:val="98"/>
              </w:rPr>
              <w:t>TRADEWEB MARKETS LLC</w:t>
            </w:r>
          </w:p>
        </w:tc>
      </w:tr>
      <w:tr>
        <w:trPr>
          <w:trHeight w:val="683"/>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By: /s/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By: /s/ Sara Furber</w:t>
            </w:r>
          </w:p>
        </w:tc>
      </w:tr>
      <w:tr>
        <w:trPr>
          <w:trHeight w:val="20"/>
        </w:trPr>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Name: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Name: Sara Furber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Title: Group Director</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Date: October 25, 2023</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Date: October 25, 2023</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880"/>
          </w:cols>
          <w:pgMar w:left="320" w:top="1426" w:right="69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9019"/>
          </w:cols>
          <w:pgMar w:left="1440" w:top="1395" w:right="1440" w:bottom="1440" w:gutter="0" w:footer="0" w:header="0"/>
        </w:sectPr>
      </w:pPr>
    </w:p>
    <w:bookmarkStart w:id="204" w:name="page205"/>
    <w:bookmarkEnd w:id="204"/>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TRADEWEB DATA SCHEDULE 5 – MARKS FILE AND MD SERVER DATA SERVICE</w:t>
      </w: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TO THE TRADEWEB MASTER DATA LICENSE AGREEMENT</w:t>
      </w:r>
    </w:p>
    <w:p>
      <w:pPr>
        <w:spacing w:after="0" w:line="28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The undersigned Subscriber is hereby subscribing to the Data Service set forth below on the terms and conditions set forth in this Tradeweb Data Schedule (this “</w:t>
      </w:r>
      <w:r>
        <w:rPr>
          <w:rFonts w:ascii="Times New Roman" w:cs="Times New Roman" w:eastAsia="Times New Roman" w:hAnsi="Times New Roman"/>
          <w:sz w:val="19"/>
          <w:szCs w:val="19"/>
          <w:b w:val="1"/>
          <w:bCs w:val="1"/>
          <w:color w:val="auto"/>
        </w:rPr>
        <w:t>Data Schedule</w:t>
      </w:r>
      <w:r>
        <w:rPr>
          <w:rFonts w:ascii="Times New Roman" w:cs="Times New Roman" w:eastAsia="Times New Roman" w:hAnsi="Times New Roman"/>
          <w:sz w:val="19"/>
          <w:szCs w:val="19"/>
          <w:color w:val="auto"/>
        </w:rPr>
        <w:t>”), which is subject to and made a part of the Tradeweb Master Data License Agreement specified below</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(as amended, the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Capitalized terms used but not otherwise defined in this Data Schedule have the meanings given to them in the Master Agreement.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9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Subscriber:</w:t>
            </w:r>
          </w:p>
        </w:tc>
        <w:tc>
          <w:tcPr>
            <w:tcW w:w="93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 defined in Section 1.2 of the Master Agreement.</w:t>
            </w:r>
          </w:p>
        </w:tc>
        <w:tc>
          <w:tcPr>
            <w:tcW w:w="0" w:type="dxa"/>
            <w:vAlign w:val="bottom"/>
          </w:tcPr>
          <w:p>
            <w:pPr>
              <w:spacing w:after="0"/>
              <w:rPr>
                <w:sz w:val="1"/>
                <w:szCs w:val="1"/>
                <w:color w:val="auto"/>
              </w:rPr>
            </w:pPr>
          </w:p>
        </w:tc>
      </w:tr>
      <w:tr>
        <w:trPr>
          <w:trHeight w:val="21"/>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Data Service:</w:t>
            </w:r>
          </w:p>
        </w:tc>
        <w:tc>
          <w:tcPr>
            <w:tcW w:w="9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MD Server and Marks Market File Set</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right w:val="single" w:sz="8" w:color="auto"/>
            </w:tcBorders>
          </w:tcPr>
          <w:p>
            <w:pPr>
              <w:spacing w:after="0"/>
              <w:rPr>
                <w:sz w:val="21"/>
                <w:szCs w:val="21"/>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Tradeweb shall, and shall cause its Affiliates to, provide Licensed Data via Tradeweb’s server (the “</w:t>
            </w:r>
            <w:r>
              <w:rPr>
                <w:rFonts w:ascii="Times New Roman" w:cs="Times New Roman" w:eastAsia="Times New Roman" w:hAnsi="Times New Roman"/>
                <w:sz w:val="20"/>
                <w:szCs w:val="20"/>
                <w:b w:val="1"/>
                <w:bCs w:val="1"/>
                <w:color w:val="auto"/>
              </w:rPr>
              <w:t>MD Server</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3"/>
        </w:trPr>
        <w:tc>
          <w:tcPr>
            <w:tcW w:w="1960" w:type="dxa"/>
            <w:vAlign w:val="bottom"/>
            <w:tcBorders>
              <w:left w:val="single" w:sz="8" w:color="auto"/>
              <w:right w:val="single" w:sz="8" w:color="auto"/>
            </w:tcBorders>
          </w:tcPr>
          <w:p>
            <w:pPr>
              <w:spacing w:after="0"/>
              <w:rPr>
                <w:sz w:val="16"/>
                <w:szCs w:val="16"/>
                <w:color w:val="auto"/>
              </w:rPr>
            </w:pPr>
          </w:p>
        </w:tc>
        <w:tc>
          <w:tcPr>
            <w:tcW w:w="930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and files from https://md-us.tradeweb.com/marks) to certain customers of Subscriber during the Service Period, as</w:t>
            </w:r>
          </w:p>
        </w:tc>
        <w:tc>
          <w:tcPr>
            <w:tcW w:w="0" w:type="dxa"/>
            <w:vAlign w:val="bottom"/>
          </w:tcPr>
          <w:p>
            <w:pPr>
              <w:spacing w:after="0"/>
              <w:rPr>
                <w:sz w:val="1"/>
                <w:szCs w:val="1"/>
                <w:color w:val="auto"/>
              </w:rPr>
            </w:pPr>
          </w:p>
        </w:tc>
      </w:tr>
      <w:tr>
        <w:trPr>
          <w:trHeight w:val="258"/>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requested by Subscriber.</w:t>
            </w: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right w:val="single" w:sz="8" w:color="auto"/>
            </w:tcBorders>
          </w:tcPr>
          <w:p>
            <w:pPr>
              <w:spacing w:after="0"/>
              <w:rPr>
                <w:sz w:val="21"/>
                <w:szCs w:val="21"/>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Tradeweb shall, and shall cause its Affiliates to: (i) use commercially reasonable efforts to assist Subscriber in</w:t>
            </w:r>
          </w:p>
        </w:tc>
        <w:tc>
          <w:tcPr>
            <w:tcW w:w="0" w:type="dxa"/>
            <w:vAlign w:val="bottom"/>
          </w:tcPr>
          <w:p>
            <w:pPr>
              <w:spacing w:after="0"/>
              <w:rPr>
                <w:sz w:val="1"/>
                <w:szCs w:val="1"/>
                <w:color w:val="auto"/>
              </w:rPr>
            </w:pPr>
          </w:p>
        </w:tc>
      </w:tr>
      <w:tr>
        <w:trPr>
          <w:trHeight w:val="193"/>
        </w:trPr>
        <w:tc>
          <w:tcPr>
            <w:tcW w:w="1960" w:type="dxa"/>
            <w:vAlign w:val="bottom"/>
            <w:tcBorders>
              <w:left w:val="single" w:sz="8" w:color="auto"/>
              <w:right w:val="single" w:sz="8" w:color="auto"/>
            </w:tcBorders>
          </w:tcPr>
          <w:p>
            <w:pPr>
              <w:spacing w:after="0"/>
              <w:rPr>
                <w:sz w:val="16"/>
                <w:szCs w:val="16"/>
                <w:color w:val="auto"/>
              </w:rPr>
            </w:pPr>
          </w:p>
        </w:tc>
        <w:tc>
          <w:tcPr>
            <w:tcW w:w="930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migrating such customers from the existing Tradeweb infrastructure to Subscriber infrastructure and, where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applicable, from legacy Tradeweb contracts to Subscriber contracts; and (ii) promptly upon request by Subscriber,</w:t>
            </w: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cease to provide Licensed Data via such Tradeweb infrastructure to any such customer of Subscriber as notified</w:t>
            </w:r>
          </w:p>
        </w:tc>
        <w:tc>
          <w:tcPr>
            <w:tcW w:w="0" w:type="dxa"/>
            <w:vAlign w:val="bottom"/>
          </w:tcPr>
          <w:p>
            <w:pPr>
              <w:spacing w:after="0"/>
              <w:rPr>
                <w:sz w:val="1"/>
                <w:szCs w:val="1"/>
                <w:color w:val="auto"/>
              </w:rPr>
            </w:pPr>
          </w:p>
        </w:tc>
      </w:tr>
      <w:tr>
        <w:trPr>
          <w:trHeight w:val="193"/>
        </w:trPr>
        <w:tc>
          <w:tcPr>
            <w:tcW w:w="1960" w:type="dxa"/>
            <w:vAlign w:val="bottom"/>
            <w:tcBorders>
              <w:left w:val="single" w:sz="8" w:color="auto"/>
              <w:right w:val="single" w:sz="8" w:color="auto"/>
            </w:tcBorders>
          </w:tcPr>
          <w:p>
            <w:pPr>
              <w:spacing w:after="0"/>
              <w:rPr>
                <w:sz w:val="16"/>
                <w:szCs w:val="16"/>
                <w:color w:val="auto"/>
              </w:rPr>
            </w:pPr>
          </w:p>
        </w:tc>
        <w:tc>
          <w:tcPr>
            <w:tcW w:w="930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w w:val="99"/>
              </w:rPr>
              <w:t>(including via email) to Tradeweb by Subscriber; provided, that where applicable, prior to terminating access to the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relevant Licensed Data, Tradeweb and Subscriber shall work together in good faith to resolve any issues relating to</w:t>
            </w: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such customer, including, but not limited to, providing such customer with a cure period consistent with such</w:t>
            </w:r>
          </w:p>
        </w:tc>
        <w:tc>
          <w:tcPr>
            <w:tcW w:w="0" w:type="dxa"/>
            <w:vAlign w:val="bottom"/>
          </w:tcPr>
          <w:p>
            <w:pPr>
              <w:spacing w:after="0"/>
              <w:rPr>
                <w:sz w:val="1"/>
                <w:szCs w:val="1"/>
                <w:color w:val="auto"/>
              </w:rPr>
            </w:pPr>
          </w:p>
        </w:tc>
      </w:tr>
      <w:tr>
        <w:trPr>
          <w:trHeight w:val="258"/>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customer’s contract with Subscriber.</w:t>
            </w:r>
          </w:p>
        </w:tc>
        <w:tc>
          <w:tcPr>
            <w:tcW w:w="0" w:type="dxa"/>
            <w:vAlign w:val="bottom"/>
          </w:tcPr>
          <w:p>
            <w:pPr>
              <w:spacing w:after="0"/>
              <w:rPr>
                <w:sz w:val="1"/>
                <w:szCs w:val="1"/>
                <w:color w:val="auto"/>
              </w:rPr>
            </w:pPr>
          </w:p>
        </w:tc>
      </w:tr>
      <w:tr>
        <w:trPr>
          <w:trHeight w:val="106"/>
        </w:trPr>
        <w:tc>
          <w:tcPr>
            <w:tcW w:w="1960" w:type="dxa"/>
            <w:vAlign w:val="bottom"/>
            <w:tcBorders>
              <w:left w:val="single" w:sz="8" w:color="auto"/>
              <w:bottom w:val="single" w:sz="8" w:color="auto"/>
              <w:right w:val="single" w:sz="8" w:color="auto"/>
            </w:tcBorders>
          </w:tcPr>
          <w:p>
            <w:pPr>
              <w:spacing w:after="0"/>
              <w:rPr>
                <w:sz w:val="9"/>
                <w:szCs w:val="9"/>
                <w:color w:val="auto"/>
              </w:rPr>
            </w:pPr>
          </w:p>
        </w:tc>
        <w:tc>
          <w:tcPr>
            <w:tcW w:w="9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Master Agreement:</w:t>
            </w: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Tradeweb Master Data License Agreement dated November 1, 2023 between Tradeweb Markets LLC</w:t>
            </w:r>
          </w:p>
        </w:tc>
        <w:tc>
          <w:tcPr>
            <w:tcW w:w="0" w:type="dxa"/>
            <w:vAlign w:val="bottom"/>
          </w:tcPr>
          <w:p>
            <w:pPr>
              <w:spacing w:after="0"/>
              <w:rPr>
                <w:sz w:val="1"/>
                <w:szCs w:val="1"/>
                <w:color w:val="auto"/>
              </w:rPr>
            </w:pPr>
          </w:p>
        </w:tc>
      </w:tr>
      <w:tr>
        <w:trPr>
          <w:trHeight w:val="202"/>
        </w:trPr>
        <w:tc>
          <w:tcPr>
            <w:tcW w:w="1960" w:type="dxa"/>
            <w:vAlign w:val="bottom"/>
            <w:tcBorders>
              <w:left w:val="single" w:sz="8" w:color="auto"/>
              <w:right w:val="single" w:sz="8" w:color="auto"/>
            </w:tcBorders>
          </w:tcPr>
          <w:p>
            <w:pPr>
              <w:spacing w:after="0"/>
              <w:rPr>
                <w:sz w:val="17"/>
                <w:szCs w:val="17"/>
                <w:color w:val="auto"/>
              </w:rPr>
            </w:pPr>
          </w:p>
        </w:tc>
        <w:tc>
          <w:tcPr>
            <w:tcW w:w="930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Tradeweb</w:t>
            </w:r>
            <w:r>
              <w:rPr>
                <w:rFonts w:ascii="Times New Roman" w:cs="Times New Roman" w:eastAsia="Times New Roman" w:hAnsi="Times New Roman"/>
                <w:sz w:val="20"/>
                <w:szCs w:val="20"/>
                <w:color w:val="auto"/>
              </w:rPr>
              <w:t>”) and the undersigned Subscriber (each of Tradeweb and the Subscriber,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w:t>
            </w:r>
          </w:p>
        </w:tc>
        <w:tc>
          <w:tcPr>
            <w:tcW w:w="0" w:type="dxa"/>
            <w:vAlign w:val="bottom"/>
          </w:tcPr>
          <w:p>
            <w:pPr>
              <w:spacing w:after="0"/>
              <w:rPr>
                <w:sz w:val="1"/>
                <w:szCs w:val="1"/>
                <w:color w:val="auto"/>
              </w:rPr>
            </w:pPr>
          </w:p>
        </w:tc>
      </w:tr>
      <w:tr>
        <w:trPr>
          <w:trHeight w:val="262"/>
        </w:trPr>
        <w:tc>
          <w:tcPr>
            <w:tcW w:w="1960" w:type="dxa"/>
            <w:vAlign w:val="bottom"/>
            <w:tcBorders>
              <w:left w:val="single" w:sz="8" w:color="auto"/>
              <w:right w:val="single" w:sz="8" w:color="auto"/>
            </w:tcBorders>
          </w:tcPr>
          <w:p>
            <w:pPr>
              <w:spacing w:after="0"/>
              <w:rPr>
                <w:sz w:val="22"/>
                <w:szCs w:val="22"/>
                <w:color w:val="auto"/>
              </w:rPr>
            </w:pPr>
          </w:p>
        </w:tc>
        <w:tc>
          <w:tcPr>
            <w:tcW w:w="9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amended.</w:t>
            </w:r>
          </w:p>
        </w:tc>
        <w:tc>
          <w:tcPr>
            <w:tcW w:w="0" w:type="dxa"/>
            <w:vAlign w:val="bottom"/>
          </w:tcPr>
          <w:p>
            <w:pPr>
              <w:spacing w:after="0"/>
              <w:rPr>
                <w:sz w:val="1"/>
                <w:szCs w:val="1"/>
                <w:color w:val="auto"/>
              </w:rPr>
            </w:pPr>
          </w:p>
        </w:tc>
      </w:tr>
      <w:tr>
        <w:trPr>
          <w:trHeight w:val="102"/>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9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60"/>
          </w:cols>
          <w:pgMar w:left="320" w:top="1394" w:right="319" w:bottom="1440" w:gutter="0" w:footer="0" w:header="0"/>
        </w:sectPr>
      </w:pPr>
    </w:p>
    <w:bookmarkStart w:id="205" w:name="page206"/>
    <w:bookmarkEnd w:id="205"/>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5657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7140575" cy="56578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Service Period:</w:t>
            </w:r>
          </w:p>
        </w:tc>
        <w:tc>
          <w:tcPr>
            <w:tcW w:w="930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i w:val="1"/>
                <w:iCs w:val="1"/>
                <w:color w:val="auto"/>
              </w:rPr>
              <w:t>Initial Service Period</w:t>
            </w:r>
            <w:r>
              <w:rPr>
                <w:rFonts w:ascii="Times New Roman" w:cs="Times New Roman" w:eastAsia="Times New Roman" w:hAnsi="Times New Roman"/>
                <w:sz w:val="20"/>
                <w:szCs w:val="20"/>
                <w:color w:val="auto"/>
              </w:rPr>
              <w:t>: November 1, 2023 – October 31, 2025</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93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i w:val="1"/>
                <w:iCs w:val="1"/>
                <w:color w:val="auto"/>
              </w:rPr>
              <w:t xml:space="preserve">Transition Period: </w:t>
            </w:r>
            <w:r>
              <w:rPr>
                <w:rFonts w:ascii="Times New Roman" w:cs="Times New Roman" w:eastAsia="Times New Roman" w:hAnsi="Times New Roman"/>
                <w:sz w:val="20"/>
                <w:szCs w:val="20"/>
                <w:color w:val="auto"/>
              </w:rPr>
              <w:t>Following the Initial License Period, if the Parties have not entered into a written renewal (in</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930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20"/>
                <w:szCs w:val="20"/>
                <w:color w:val="auto"/>
              </w:rPr>
              <w:t>any form as may be so agreed), then upon the notice of either Party to the other Party, the terms and conditions of</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9300" w:type="dxa"/>
            <w:vAlign w:val="bottom"/>
            <w:gridSpan w:val="5"/>
          </w:tcPr>
          <w:p>
            <w:pPr>
              <w:ind w:left="20"/>
              <w:spacing w:after="0" w:line="199" w:lineRule="exact"/>
              <w:rPr>
                <w:sz w:val="20"/>
                <w:szCs w:val="20"/>
                <w:color w:val="auto"/>
              </w:rPr>
            </w:pPr>
            <w:r>
              <w:rPr>
                <w:rFonts w:ascii="Times New Roman" w:cs="Times New Roman" w:eastAsia="Times New Roman" w:hAnsi="Times New Roman"/>
                <w:sz w:val="20"/>
                <w:szCs w:val="20"/>
                <w:color w:val="auto"/>
              </w:rPr>
              <w:t>this Data Schedule shall continue in full force and effect for an additional twelve (12) months following the date of</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930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20"/>
                <w:szCs w:val="20"/>
                <w:color w:val="auto"/>
              </w:rPr>
              <w:t>expiration of the Initial License Period (the “</w:t>
            </w:r>
            <w:r>
              <w:rPr>
                <w:rFonts w:ascii="Times New Roman" w:cs="Times New Roman" w:eastAsia="Times New Roman" w:hAnsi="Times New Roman"/>
                <w:sz w:val="20"/>
                <w:szCs w:val="20"/>
                <w:b w:val="1"/>
                <w:bCs w:val="1"/>
                <w:color w:val="auto"/>
              </w:rPr>
              <w:t>Transition Period</w:t>
            </w:r>
            <w:r>
              <w:rPr>
                <w:rFonts w:ascii="Times New Roman" w:cs="Times New Roman" w:eastAsia="Times New Roman" w:hAnsi="Times New Roman"/>
                <w:sz w:val="20"/>
                <w:szCs w:val="20"/>
                <w:color w:val="auto"/>
              </w:rPr>
              <w:t>”) to allow for an orderly transition of the market</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930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20"/>
                <w:szCs w:val="20"/>
                <w:color w:val="auto"/>
              </w:rPr>
              <w:t>data distribution arrangements contemplated under this Data Schedule. For avoidance of doubt, the Transition</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930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20"/>
                <w:szCs w:val="20"/>
                <w:color w:val="auto"/>
              </w:rPr>
              <w:t>Period, if applicable, shall be considered part of the “License Period” for purposes of the Master Agreement and</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this Data Schedule.</w:t>
            </w:r>
          </w:p>
        </w:tc>
        <w:tc>
          <w:tcPr>
            <w:tcW w:w="0" w:type="dxa"/>
            <w:vAlign w:val="bottom"/>
          </w:tcPr>
          <w:p>
            <w:pPr>
              <w:spacing w:after="0"/>
              <w:rPr>
                <w:sz w:val="1"/>
                <w:szCs w:val="1"/>
                <w:color w:val="auto"/>
              </w:rPr>
            </w:pPr>
          </w:p>
        </w:tc>
      </w:tr>
      <w:tr>
        <w:trPr>
          <w:trHeight w:val="102"/>
        </w:trPr>
        <w:tc>
          <w:tcPr>
            <w:tcW w:w="19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9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Fees:</w:t>
            </w: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MD Server Fees</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60" w:type="dxa"/>
            <w:vAlign w:val="bottom"/>
          </w:tcPr>
          <w:p>
            <w:pPr>
              <w:spacing w:after="0"/>
              <w:rPr>
                <w:sz w:val="24"/>
                <w:szCs w:val="24"/>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For the first unique pair of login passwords per customer assigned to an MD Server (each, an “</w:t>
            </w:r>
            <w:r>
              <w:rPr>
                <w:rFonts w:ascii="Times New Roman" w:cs="Times New Roman" w:eastAsia="Times New Roman" w:hAnsi="Times New Roman"/>
                <w:sz w:val="20"/>
                <w:szCs w:val="20"/>
                <w:b w:val="1"/>
                <w:bCs w:val="1"/>
                <w:color w:val="auto"/>
              </w:rPr>
              <w:t>MD Server Pair</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9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20"/>
                <w:szCs w:val="20"/>
                <w:color w:val="auto"/>
              </w:rPr>
              <w:t>and thereafter for each additional customer login and password assigned to an MD Server for such customer (each,</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7"/>
                <w:szCs w:val="17"/>
                <w:color w:val="auto"/>
              </w:rPr>
            </w:pPr>
          </w:p>
        </w:tc>
        <w:tc>
          <w:tcPr>
            <w:tcW w:w="930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Additional MD Server</w:t>
            </w:r>
            <w:r>
              <w:rPr>
                <w:rFonts w:ascii="Times New Roman" w:cs="Times New Roman" w:eastAsia="Times New Roman" w:hAnsi="Times New Roman"/>
                <w:sz w:val="20"/>
                <w:szCs w:val="20"/>
                <w:color w:val="auto"/>
              </w:rPr>
              <w:t>”), Subscriber will pay the below annual amounts to Tradeweb in advance for each MD</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Server Pair and Additional MD Server in service.</w:t>
            </w: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Year 1: $</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Year 2: $</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Transition Period: $</w:t>
            </w: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960" w:type="dxa"/>
            <w:vAlign w:val="bottom"/>
          </w:tcPr>
          <w:p>
            <w:pPr>
              <w:spacing w:after="0"/>
              <w:rPr>
                <w:sz w:val="23"/>
                <w:szCs w:val="23"/>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The total number of unique login passwords shall be calculated as of October 31 immediately prior to the applicable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930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20"/>
                <w:szCs w:val="20"/>
                <w:color w:val="auto"/>
              </w:rPr>
              <w:t>year of the Service Period. No payment will be made in any subsequent period for servers canceled prior to such</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30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p>
        </w:tc>
        <w:tc>
          <w:tcPr>
            <w:tcW w:w="93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Each customer is entitled to a single Qualified Disaster Recovery or business continuity server at no charge to</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3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Subscriber provided that:</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660" w:right="100" w:hanging="317"/>
        <w:spacing w:after="0" w:line="233" w:lineRule="auto"/>
        <w:tabs>
          <w:tab w:leader="none" w:pos="276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server pair is not in the same physical geographic location as the MD Server Pair or Additional MD Server(s).</w:t>
      </w:r>
    </w:p>
    <w:p>
      <w:pPr>
        <w:spacing w:after="0" w:line="52" w:lineRule="exact"/>
        <w:rPr>
          <w:rFonts w:ascii="Times New Roman" w:cs="Times New Roman" w:eastAsia="Times New Roman" w:hAnsi="Times New Roman"/>
          <w:sz w:val="20"/>
          <w:szCs w:val="20"/>
          <w:color w:val="auto"/>
        </w:rPr>
      </w:pPr>
    </w:p>
    <w:p>
      <w:pPr>
        <w:ind w:left="2660" w:right="80" w:hanging="317"/>
        <w:spacing w:after="0"/>
        <w:tabs>
          <w:tab w:leader="none" w:pos="289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server pair does not have the same public IP address as the MD Server Pair or Additional MD Server(s).</w:t>
      </w:r>
    </w:p>
    <w:p>
      <w:pPr>
        <w:spacing w:after="0" w:line="39" w:lineRule="exact"/>
        <w:rPr>
          <w:rFonts w:ascii="Times New Roman" w:cs="Times New Roman" w:eastAsia="Times New Roman" w:hAnsi="Times New Roman"/>
          <w:sz w:val="20"/>
          <w:szCs w:val="20"/>
          <w:color w:val="auto"/>
        </w:rPr>
      </w:pPr>
    </w:p>
    <w:p>
      <w:pPr>
        <w:ind w:left="2840" w:hanging="497"/>
        <w:spacing w:after="0"/>
        <w:tabs>
          <w:tab w:leader="none" w:pos="28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Subscriber is not charging the customer a fee for the server pair.</w:t>
      </w:r>
    </w:p>
    <w:p>
      <w:pPr>
        <w:spacing w:after="0" w:line="81" w:lineRule="exact"/>
        <w:rPr>
          <w:sz w:val="20"/>
          <w:szCs w:val="20"/>
          <w:color w:val="auto"/>
        </w:rPr>
      </w:pPr>
    </w:p>
    <w:p>
      <w:pPr>
        <w:ind w:left="1980" w:right="100"/>
        <w:spacing w:after="0" w:line="233" w:lineRule="auto"/>
        <w:rPr>
          <w:sz w:val="20"/>
          <w:szCs w:val="20"/>
          <w:color w:val="auto"/>
        </w:rPr>
      </w:pPr>
      <w:r>
        <w:rPr>
          <w:rFonts w:ascii="Times New Roman" w:cs="Times New Roman" w:eastAsia="Times New Roman" w:hAnsi="Times New Roman"/>
          <w:sz w:val="20"/>
          <w:szCs w:val="20"/>
          <w:color w:val="auto"/>
        </w:rPr>
        <w:t>Tradeweb shall provide Subscriber annual invoices indicating company name, server login ID, server location, the number of billable MD Server Pairs, and Additional MD Servers</w:t>
      </w:r>
    </w:p>
    <w:p>
      <w:pPr>
        <w:spacing w:after="0" w:line="5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u w:val="single" w:color="auto"/>
          <w:color w:val="auto"/>
        </w:rPr>
        <w:t>Marks Fees</w:t>
      </w:r>
    </w:p>
    <w:p>
      <w:pPr>
        <w:spacing w:after="0" w:line="77" w:lineRule="exact"/>
        <w:rPr>
          <w:sz w:val="20"/>
          <w:szCs w:val="20"/>
          <w:color w:val="auto"/>
        </w:rPr>
      </w:pPr>
    </w:p>
    <w:p>
      <w:pPr>
        <w:ind w:left="1980" w:right="100"/>
        <w:spacing w:after="0" w:line="217" w:lineRule="auto"/>
        <w:rPr>
          <w:sz w:val="20"/>
          <w:szCs w:val="20"/>
          <w:color w:val="auto"/>
        </w:rPr>
      </w:pPr>
      <w:r>
        <w:rPr>
          <w:rFonts w:ascii="Times New Roman" w:cs="Times New Roman" w:eastAsia="Times New Roman" w:hAnsi="Times New Roman"/>
          <w:sz w:val="20"/>
          <w:szCs w:val="20"/>
          <w:color w:val="auto"/>
        </w:rPr>
        <w:t xml:space="preserve">Subscriber agrees to pay Tradeweb annually in advance the greater of: (i)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of the annual revenue for each Tradeweb Marks account maintained by Tradeweb for a customer of Subscriber or (ii) the sum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per year</w:t>
      </w:r>
    </w:p>
    <w:p>
      <w:pPr>
        <w:ind w:left="1980"/>
        <w:spacing w:after="0" w:line="213" w:lineRule="auto"/>
        <w:rPr>
          <w:sz w:val="20"/>
          <w:szCs w:val="20"/>
          <w:color w:val="auto"/>
        </w:rPr>
      </w:pPr>
      <w:r>
        <w:rPr>
          <w:rFonts w:ascii="Times New Roman" w:cs="Times New Roman" w:eastAsia="Times New Roman" w:hAnsi="Times New Roman"/>
          <w:sz w:val="20"/>
          <w:szCs w:val="20"/>
          <w:color w:val="auto"/>
        </w:rPr>
        <w:t>for each set of Tradeweb Marks files respective to a specified market (e.g., U.S. Treasuries) (each a “</w:t>
      </w:r>
      <w:r>
        <w:rPr>
          <w:rFonts w:ascii="Times New Roman" w:cs="Times New Roman" w:eastAsia="Times New Roman" w:hAnsi="Times New Roman"/>
          <w:sz w:val="20"/>
          <w:szCs w:val="20"/>
          <w:b w:val="1"/>
          <w:bCs w:val="1"/>
          <w:color w:val="auto"/>
        </w:rPr>
        <w:t>Marks</w:t>
      </w:r>
    </w:p>
    <w:p>
      <w:pPr>
        <w:ind w:left="1980" w:right="80"/>
        <w:spacing w:after="0" w:line="215" w:lineRule="auto"/>
        <w:rPr>
          <w:sz w:val="20"/>
          <w:szCs w:val="20"/>
          <w:color w:val="auto"/>
        </w:rPr>
      </w:pPr>
      <w:r>
        <w:rPr>
          <w:rFonts w:ascii="Times New Roman" w:cs="Times New Roman" w:eastAsia="Times New Roman" w:hAnsi="Times New Roman"/>
          <w:sz w:val="19"/>
          <w:szCs w:val="19"/>
          <w:b w:val="1"/>
          <w:bCs w:val="1"/>
          <w:color w:val="auto"/>
        </w:rPr>
        <w:t>Market File Set</w:t>
      </w:r>
      <w:r>
        <w:rPr>
          <w:rFonts w:ascii="Times New Roman" w:cs="Times New Roman" w:eastAsia="Times New Roman" w:hAnsi="Times New Roman"/>
          <w:sz w:val="19"/>
          <w:szCs w:val="19"/>
          <w:color w:val="auto"/>
        </w:rPr>
        <w:t>”) for each customer account to which the Marks Market File Sets are made available;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with respect to the [***] Platinum Tradeweb Marks account, Subscriber shall pay Tradeweb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per year for</w:t>
      </w:r>
    </w:p>
    <w:p>
      <w:pPr>
        <w:ind w:left="1980"/>
        <w:spacing w:after="0"/>
        <w:rPr>
          <w:sz w:val="20"/>
          <w:szCs w:val="20"/>
          <w:color w:val="auto"/>
        </w:rPr>
      </w:pPr>
      <w:r>
        <w:rPr>
          <w:rFonts w:ascii="Times New Roman" w:cs="Times New Roman" w:eastAsia="Times New Roman" w:hAnsi="Times New Roman"/>
          <w:sz w:val="20"/>
          <w:szCs w:val="20"/>
          <w:color w:val="auto"/>
        </w:rPr>
        <w:t>each Marks Market File Set.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60"/>
          </w:cols>
          <w:pgMar w:left="320" w:top="1440" w:right="319" w:bottom="1440" w:gutter="0" w:footer="0" w:header="0"/>
        </w:sectPr>
      </w:pPr>
    </w:p>
    <w:bookmarkStart w:id="206" w:name="page207"/>
    <w:bookmarkEnd w:id="206"/>
    <w:p>
      <w:pPr>
        <w:spacing w:after="0" w:line="283" w:lineRule="auto"/>
        <w:rPr>
          <w:sz w:val="20"/>
          <w:szCs w:val="20"/>
          <w:color w:val="auto"/>
        </w:rPr>
      </w:pPr>
      <w:r>
        <w:rPr>
          <w:rFonts w:ascii="Times New Roman" w:cs="Times New Roman" w:eastAsia="Times New Roman" w:hAnsi="Times New Roman"/>
          <w:sz w:val="20"/>
          <w:szCs w:val="20"/>
          <w:color w:val="auto"/>
        </w:rPr>
        <w:t>The Parties have caused this Data Schedule to be executed by their respective duly authorized representatives with effect as of the date of Tradeweb’s signature below.</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REFINITIV US LLC</w:t>
            </w:r>
          </w:p>
        </w:tc>
        <w:tc>
          <w:tcPr>
            <w:tcW w:w="6280" w:type="dxa"/>
            <w:vAlign w:val="bottom"/>
            <w:gridSpan w:val="7"/>
          </w:tcPr>
          <w:p>
            <w:pPr>
              <w:ind w:left="3620"/>
              <w:spacing w:after="0"/>
              <w:rPr>
                <w:sz w:val="20"/>
                <w:szCs w:val="20"/>
                <w:color w:val="auto"/>
              </w:rPr>
            </w:pPr>
            <w:r>
              <w:rPr>
                <w:rFonts w:ascii="Times New Roman" w:cs="Times New Roman" w:eastAsia="Times New Roman" w:hAnsi="Times New Roman"/>
                <w:sz w:val="20"/>
                <w:szCs w:val="20"/>
                <w:b w:val="1"/>
                <w:bCs w:val="1"/>
                <w:color w:val="auto"/>
                <w:w w:val="98"/>
              </w:rPr>
              <w:t>TRADEWEB MARKETS LLC</w:t>
            </w:r>
          </w:p>
        </w:tc>
      </w:tr>
      <w:tr>
        <w:trPr>
          <w:trHeight w:val="683"/>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By: /s/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By: /s/ Sara Furber</w:t>
            </w:r>
          </w:p>
        </w:tc>
      </w:tr>
      <w:tr>
        <w:trPr>
          <w:trHeight w:val="20"/>
        </w:trPr>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Name: Kerry Baker Relf</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Name: Sara Furber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Title: Group Director</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20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Date: October 25, 2023</w:t>
            </w:r>
          </w:p>
        </w:tc>
        <w:tc>
          <w:tcPr>
            <w:tcW w:w="6280" w:type="dxa"/>
            <w:vAlign w:val="bottom"/>
            <w:gridSpan w:val="7"/>
          </w:tcPr>
          <w:p>
            <w:pPr>
              <w:ind w:left="3680"/>
              <w:spacing w:after="0"/>
              <w:rPr>
                <w:sz w:val="20"/>
                <w:szCs w:val="20"/>
                <w:color w:val="auto"/>
              </w:rPr>
            </w:pPr>
            <w:r>
              <w:rPr>
                <w:rFonts w:ascii="Times New Roman" w:cs="Times New Roman" w:eastAsia="Times New Roman" w:hAnsi="Times New Roman"/>
                <w:sz w:val="20"/>
                <w:szCs w:val="20"/>
                <w:color w:val="auto"/>
              </w:rPr>
              <w:t>Date: October 25, 2023</w:t>
            </w: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0880"/>
          </w:cols>
          <w:pgMar w:left="320" w:top="1426" w:right="6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9620" w:type="dxa"/>
            <w:vAlign w:val="bottom"/>
            <w:gridSpan w:val="2"/>
          </w:tcPr>
          <w:p>
            <w:pPr>
              <w:ind w:left="3740"/>
              <w:spacing w:after="0"/>
              <w:rPr>
                <w:sz w:val="20"/>
                <w:szCs w:val="20"/>
                <w:color w:val="auto"/>
              </w:rPr>
            </w:pPr>
            <w:r>
              <w:rPr>
                <w:rFonts w:ascii="Times New Roman" w:cs="Times New Roman" w:eastAsia="Times New Roman" w:hAnsi="Times New Roman"/>
                <w:sz w:val="18"/>
                <w:szCs w:val="18"/>
                <w:b w:val="1"/>
                <w:bCs w:val="1"/>
                <w:color w:val="auto"/>
              </w:rPr>
              <w:t>Subsidiaries of Tradeweb Markets Inc.</w:t>
            </w:r>
          </w:p>
        </w:tc>
      </w:tr>
      <w:tr>
        <w:trPr>
          <w:trHeight w:val="500"/>
        </w:trPr>
        <w:tc>
          <w:tcPr>
            <w:tcW w:w="3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40"/>
        </w:trPr>
        <w:tc>
          <w:tcPr>
            <w:tcW w:w="38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Markets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BondDesk Group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Dealerweb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New York</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US Tradeweb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 Hackers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TIPS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Wyoming</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Information Technology Services (Shanghai) Co.,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Direct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 B.V.</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Europe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45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Execution Services B.V.</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Holding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Global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IDB Markets, Inc.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Japan K.K.</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 SEF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TWC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 Holding LLC</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(DIFC) Limited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Dubai International Finance Centre</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TWAS Holding II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Tradeweb Australia Pty Ltd</w:t>
            </w:r>
          </w:p>
        </w:tc>
        <w:tc>
          <w:tcPr>
            <w:tcW w:w="4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220"/>
          </w:cols>
          <w:pgMar w:left="340" w:top="887"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333- 232186 and 333- 261781 on Form S-8 of our reports dated February 9, 2024, relating to the financial statements of Tradeweb Markets Inc. (the “Company”) and the effectiveness of the Company’s internal control over financial reporting appearing in this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ectPr>
          <w:pgSz w:w="11900" w:h="16838" w:orient="portrait"/>
          <w:cols w:equalWidth="0" w:num="1">
            <w:col w:w="11240"/>
          </w:cols>
          <w:pgMar w:left="320" w:top="1062"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9,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9,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2023,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9,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Tradeweb Markets Inc. (the “Company”) for the fiscal year ended December 31, 2023,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9,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CLAWBACK POLICY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October 2, 2023</w:t>
      </w:r>
    </w:p>
    <w:p>
      <w:pPr>
        <w:jc w:val="both"/>
        <w:ind w:firstLine="8"/>
        <w:spacing w:after="0" w:line="210" w:lineRule="auto"/>
        <w:tabs>
          <w:tab w:leader="none" w:pos="6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The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Tradeweb Markets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it is in the best interests of the Company and its shareholders to create and maintain a culture that emphasizes integrity and accountability and that reinforces the Company’s pay-for-performance compensation philosophy. The Committee has therefore adopted this policy which provides for the recoupment of (i) certain executive compensation in the event of an accounting restatement resulting from material noncompliance with financial reporting requirements under the federal securities laws and (ii) other compensation as may be granted under any of the Company’s incentive compensation programs as set forth herein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8"/>
        <w:spacing w:after="0" w:line="226" w:lineRule="auto"/>
        <w:tabs>
          <w:tab w:leader="none" w:pos="64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color w:val="auto"/>
        </w:rPr>
        <w:t>. This Policy shall be administered by the Committee or, if it so elects, by the Board, in which case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references herein to the Committee shall be deemed references to the Board. Any determinations made by the Committee shall be final and binding on all affected individuals. The Committee may consult with the Audit Committee of the Board in evaluating any determinations made pursuant to this Policy. To the extent applicable, this Policy is intended to comply with and to be administered and interpreted consistent with, and subject to the exceptions set forth in, Listing Rule 5608 adopted by the Nasdaq Stock Market to implement Rule 10D-1 under the Securities Exchange Act of 1934, as amended (collectively, “</w:t>
      </w:r>
      <w:r>
        <w:rPr>
          <w:rFonts w:ascii="Times New Roman" w:cs="Times New Roman" w:eastAsia="Times New Roman" w:hAnsi="Times New Roman"/>
          <w:sz w:val="21"/>
          <w:szCs w:val="21"/>
          <w:u w:val="single" w:color="auto"/>
          <w:color w:val="auto"/>
        </w:rPr>
        <w:t>Rule 10D-1</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8"/>
        <w:spacing w:after="0" w:line="221" w:lineRule="auto"/>
        <w:tabs>
          <w:tab w:leader="none" w:pos="6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Participating Employees</w:t>
      </w:r>
      <w:r>
        <w:rPr>
          <w:rFonts w:ascii="Times New Roman" w:cs="Times New Roman" w:eastAsia="Times New Roman" w:hAnsi="Times New Roman"/>
          <w:sz w:val="22"/>
          <w:szCs w:val="22"/>
          <w:color w:val="auto"/>
        </w:rPr>
        <w:t>. This Policy applies to the Company’s current and former (i) executive officers, as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Board in accordance with Rule 10D-1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and (ii) all employees at the Vice President level and above and any other employee who may from time to time be deemed subject to the Policy by the Committee (together with the Executive Officers, the “</w:t>
      </w:r>
      <w:r>
        <w:rPr>
          <w:rFonts w:ascii="Times New Roman" w:cs="Times New Roman" w:eastAsia="Times New Roman" w:hAnsi="Times New Roman"/>
          <w:sz w:val="22"/>
          <w:szCs w:val="22"/>
          <w:u w:val="single" w:color="auto"/>
          <w:color w:val="auto"/>
        </w:rPr>
        <w:t>Participating Employees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80" w:firstLine="648"/>
        <w:spacing w:after="0" w:line="21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event the Company is required to prepare an accounting restatement of the Company’s financial statements (including any such correction that is material to the previously issued financial statements, or that would result in a material misstatement if the error were corrected in the current period or left uncorrected in the current period) due to material non-compliance with any financial reporting requirement under the federal securities laws, the Company will recover on a reasonably prompt basis the amount of any Incentive Compensation Received by an Executive Officer during the Recovery Period that exceeds the amount that otherwise would have been Received had it been determined based on the restated financial statements.</w:t>
      </w:r>
    </w:p>
    <w:p>
      <w:pPr>
        <w:spacing w:after="0" w:line="1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179"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means any compensation granted, earned or vested based in whole or in part on the Company’s attainment of a financial reporting measure that was Received by a person (i) on or after the Effective Date and after the person began service as an Executive Officer and (ii) who served as an Executive Officer at any time during the performance period for the Incentive Compensation. A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(i) any measure that is determined and presented in accordance with the accounting</w:t>
      </w:r>
    </w:p>
    <w:p>
      <w:pPr>
        <w:sectPr>
          <w:pgSz w:w="11900" w:h="16838" w:orient="portrait"/>
          <w:cols w:equalWidth="0" w:num="1">
            <w:col w:w="11240"/>
          </w:cols>
          <w:pgMar w:left="320" w:top="1413" w:right="339" w:bottom="1440" w:gutter="0" w:footer="0" w:header="0"/>
        </w:sectPr>
      </w:pPr>
    </w:p>
    <w:bookmarkStart w:id="214" w:name="page215"/>
    <w:bookmarkEnd w:id="214"/>
    <w:p>
      <w:pPr>
        <w:jc w:val="both"/>
        <w:ind w:left="652" w:right="20"/>
        <w:spacing w:after="0" w:line="236" w:lineRule="auto"/>
        <w:rPr>
          <w:sz w:val="20"/>
          <w:szCs w:val="20"/>
          <w:color w:val="auto"/>
        </w:rPr>
      </w:pPr>
      <w:r>
        <w:rPr>
          <w:rFonts w:ascii="Times New Roman" w:cs="Times New Roman" w:eastAsia="Times New Roman" w:hAnsi="Times New Roman"/>
          <w:sz w:val="22"/>
          <w:szCs w:val="22"/>
          <w:color w:val="auto"/>
        </w:rPr>
        <w:t>principles used in preparing the Company’s financial statements and any measure derived wholly or in part from such a measure, and (ii) any measure based in whole or in part on the Company’s stock price or total shareholder return.</w:t>
      </w:r>
    </w:p>
    <w:p>
      <w:pPr>
        <w:spacing w:after="0" w:line="150" w:lineRule="exact"/>
        <w:rPr>
          <w:sz w:val="20"/>
          <w:szCs w:val="20"/>
          <w:color w:val="auto"/>
        </w:rPr>
      </w:pPr>
    </w:p>
    <w:p>
      <w:pPr>
        <w:jc w:val="both"/>
        <w:ind w:left="652"/>
        <w:spacing w:after="0" w:line="236" w:lineRule="auto"/>
        <w:rPr>
          <w:sz w:val="20"/>
          <w:szCs w:val="20"/>
          <w:color w:val="auto"/>
        </w:rPr>
      </w:pPr>
      <w:r>
        <w:rPr>
          <w:rFonts w:ascii="Times New Roman" w:cs="Times New Roman" w:eastAsia="Times New Roman" w:hAnsi="Times New Roman"/>
          <w:sz w:val="22"/>
          <w:szCs w:val="22"/>
          <w:color w:val="auto"/>
        </w:rPr>
        <w:t>Incentive Compensation is deemed to be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 the fiscal period during which the relevant financial reporting measure is attained, regardless of when the compensation is actually paid or awarded.</w:t>
      </w:r>
    </w:p>
    <w:p>
      <w:pPr>
        <w:spacing w:after="0" w:line="150" w:lineRule="exact"/>
        <w:rPr>
          <w:sz w:val="20"/>
          <w:szCs w:val="20"/>
          <w:color w:val="auto"/>
        </w:rPr>
      </w:pPr>
    </w:p>
    <w:p>
      <w:pPr>
        <w:jc w:val="both"/>
        <w:ind w:left="652"/>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means the three completed fiscal years immediately preceding the date that the Company is required to prepare the accounting restatement described in this Section 4(a), as determined pursuant to Rule 10D-1, and any transition period of less than nine months that is within or immediately following such three fiscal years.</w:t>
      </w:r>
    </w:p>
    <w:p>
      <w:pPr>
        <w:spacing w:after="0" w:line="153" w:lineRule="exact"/>
        <w:rPr>
          <w:sz w:val="20"/>
          <w:szCs w:val="20"/>
          <w:color w:val="auto"/>
        </w:rPr>
      </w:pPr>
    </w:p>
    <w:p>
      <w:pPr>
        <w:jc w:val="both"/>
        <w:ind w:left="72" w:firstLine="657"/>
        <w:spacing w:after="0" w:line="211" w:lineRule="auto"/>
        <w:tabs>
          <w:tab w:leader="none" w:pos="128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without limiting the foregoing), in the event that the Company is required to prepare an accounting restatement of its financial statements due to material non-compliance with any financial reporting requirement under the federal securities laws and the Committee determines, in its sole discretion, that any Participating Employee committed an act or omission that contributed to the circumstances requiring the accounting restatement and which involved negligence, misconduct, wrongdoing or a violation of any of the Company’s policies, including the Code of Business Conduct and Ethics, or of any applicable legal or regulatory requirements in the course of the Participating Employee’s employment by, or otherwise in connection with, the Company, the Committee, will determine whether to seek to recover, and if determined to do so, will make a reasonable attempt to recover any Incentive Compensation Received by the Participating Employee during the Recovery Period that exceeds the amount that otherwise would have been Received had it been determined based on the restated financial statements.</w:t>
      </w:r>
    </w:p>
    <w:p>
      <w:pPr>
        <w:spacing w:after="0" w:line="151" w:lineRule="exact"/>
        <w:rPr>
          <w:rFonts w:ascii="Times New Roman" w:cs="Times New Roman" w:eastAsia="Times New Roman" w:hAnsi="Times New Roman"/>
          <w:sz w:val="22"/>
          <w:szCs w:val="22"/>
          <w:color w:val="auto"/>
        </w:rPr>
      </w:pPr>
    </w:p>
    <w:p>
      <w:pPr>
        <w:jc w:val="both"/>
        <w:ind w:left="72" w:firstLine="657"/>
        <w:spacing w:after="0" w:line="209" w:lineRule="auto"/>
        <w:tabs>
          <w:tab w:leader="none" w:pos="12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without limiting the foregoing), in the event that the Committee determines, in its sole discretion, that a Participating Employee committed an act or omission which involved (i) willful, knowing or intentional misconduct or (ii) a willful, knowing or intentional violation of any of the Company’s policies, including the Company’s Code of Business Conduct and Ethics, or any applicable legal or regulatory requirements, fraud or other illegal conduct during the course of the Participating Employee’s employment with the Company, in either case, that contributed to the circumstances requiring the accounting restatement, the Committee will determine whether to seek to recover, and if determined to do so, will make a reasonable attempt to recover from such Participating Employee up to 100% (as determined by the Committee in its sole discretion as appropriate based on the conduct involved) of the Incentive Compensation Received from the Company during the Recovery Period and not just the excess of what would have been Received by the Participating Employee had it been determined based on the restated financial statement. In addition, under such circumstances the Committee will determine whether to seek to recover, and if determined to do so, will make a reasonable attempt to recover from such Participating Employee up to 100% (as determined by the Committee in its sole discretion as appropriate based on the conduct involved) of any other incentive-based compensation, including, without limitation, any time-based short-term or long-term equity or other incentive awards that were granted, vested or settled during the Recovery Period.</w:t>
      </w:r>
    </w:p>
    <w:p>
      <w:pPr>
        <w:spacing w:after="0" w:line="15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Excess Incentive Compensation: Amount Subject to Recovery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72" w:firstLine="657"/>
        <w:spacing w:after="0" w:line="220" w:lineRule="auto"/>
        <w:tabs>
          <w:tab w:leader="none" w:pos="1275"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be recovered under Sections 4(a) and (b) will be determined on a pre-tax basis and will be the excess of the Incentive Compensation Received by the Participating Employee over the Incentive Compensation that would have been Received by the Participating Employee had it been determined based on the restated financial statements, as determined by the Committee. The amount to be recovered under Sections 4(c) will be</w:t>
      </w:r>
    </w:p>
    <w:p>
      <w:pPr>
        <w:sectPr>
          <w:pgSz w:w="11900" w:h="16838" w:orient="portrait"/>
          <w:cols w:equalWidth="0" w:num="1">
            <w:col w:w="11232"/>
          </w:cols>
          <w:pgMar w:left="328" w:top="1395" w:right="339" w:bottom="1440" w:gutter="0" w:footer="0" w:header="0"/>
        </w:sectPr>
      </w:pPr>
    </w:p>
    <w:bookmarkStart w:id="215" w:name="page216"/>
    <w:bookmarkEnd w:id="215"/>
    <w:p>
      <w:pPr>
        <w:ind w:left="72"/>
        <w:spacing w:after="0" w:line="236" w:lineRule="auto"/>
        <w:rPr>
          <w:sz w:val="20"/>
          <w:szCs w:val="20"/>
          <w:color w:val="auto"/>
        </w:rPr>
      </w:pPr>
      <w:r>
        <w:rPr>
          <w:rFonts w:ascii="Times New Roman" w:cs="Times New Roman" w:eastAsia="Times New Roman" w:hAnsi="Times New Roman"/>
          <w:sz w:val="22"/>
          <w:szCs w:val="22"/>
          <w:color w:val="auto"/>
        </w:rPr>
        <w:t>determined by the Committee in its sole discretion and may be up to 100% of the incentive-based compensation granted, vested, settled or otherwise Received during the Recovery Period.</w:t>
      </w:r>
    </w:p>
    <w:p>
      <w:pPr>
        <w:spacing w:after="0" w:line="150" w:lineRule="exact"/>
        <w:rPr>
          <w:sz w:val="20"/>
          <w:szCs w:val="20"/>
          <w:color w:val="auto"/>
        </w:rPr>
      </w:pPr>
    </w:p>
    <w:p>
      <w:pPr>
        <w:jc w:val="both"/>
        <w:ind w:left="72" w:firstLine="657"/>
        <w:spacing w:after="0" w:line="220" w:lineRule="auto"/>
        <w:tabs>
          <w:tab w:leader="none" w:pos="128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Committee cannot determine the amount of excess Incentive Compensation received by the Participating Employee directly from the information in the accounting restatement, including if such compensation is based on stock price or total shareholder return, then it will make its determination based on a reasonable estimate of the effect of the accounting restatement.</w:t>
      </w:r>
    </w:p>
    <w:p>
      <w:pPr>
        <w:spacing w:after="0" w:line="148" w:lineRule="exact"/>
        <w:rPr>
          <w:rFonts w:ascii="Times New Roman" w:cs="Times New Roman" w:eastAsia="Times New Roman" w:hAnsi="Times New Roman"/>
          <w:sz w:val="22"/>
          <w:szCs w:val="22"/>
          <w:color w:val="auto"/>
        </w:rPr>
      </w:pPr>
    </w:p>
    <w:p>
      <w:pPr>
        <w:ind w:left="-8" w:right="20" w:firstLine="8"/>
        <w:spacing w:after="0" w:line="238" w:lineRule="auto"/>
        <w:tabs>
          <w:tab w:leader="none" w:pos="6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Recoupment</w:t>
      </w:r>
      <w:r>
        <w:rPr>
          <w:rFonts w:ascii="Times New Roman" w:cs="Times New Roman" w:eastAsia="Times New Roman" w:hAnsi="Times New Roman"/>
          <w:sz w:val="22"/>
          <w:szCs w:val="22"/>
          <w:color w:val="auto"/>
        </w:rPr>
        <w:t>. The Committee will determine, in its sole discretion, the method for recouping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which may include, without limitation:</w:t>
      </w:r>
    </w:p>
    <w:p>
      <w:pPr>
        <w:spacing w:after="0" w:line="150" w:lineRule="exact"/>
        <w:rPr>
          <w:rFonts w:ascii="Times New Roman" w:cs="Times New Roman" w:eastAsia="Times New Roman" w:hAnsi="Times New Roman"/>
          <w:sz w:val="22"/>
          <w:szCs w:val="22"/>
          <w:color w:val="auto"/>
        </w:rPr>
      </w:pPr>
    </w:p>
    <w:p>
      <w:pPr>
        <w:ind w:left="1292" w:hanging="563"/>
        <w:spacing w:after="0"/>
        <w:tabs>
          <w:tab w:leader="none" w:pos="12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compensation previously paid;</w:t>
      </w:r>
    </w:p>
    <w:p>
      <w:pPr>
        <w:spacing w:after="0" w:line="179" w:lineRule="exact"/>
        <w:rPr>
          <w:rFonts w:ascii="Times New Roman" w:cs="Times New Roman" w:eastAsia="Times New Roman" w:hAnsi="Times New Roman"/>
          <w:sz w:val="22"/>
          <w:szCs w:val="22"/>
          <w:color w:val="auto"/>
        </w:rPr>
      </w:pPr>
    </w:p>
    <w:p>
      <w:pPr>
        <w:ind w:left="72" w:firstLine="657"/>
        <w:spacing w:after="0" w:line="236" w:lineRule="auto"/>
        <w:tabs>
          <w:tab w:leader="none" w:pos="128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37" w:lineRule="exact"/>
        <w:rPr>
          <w:rFonts w:ascii="Times New Roman" w:cs="Times New Roman" w:eastAsia="Times New Roman" w:hAnsi="Times New Roman"/>
          <w:sz w:val="22"/>
          <w:szCs w:val="22"/>
          <w:color w:val="auto"/>
        </w:rPr>
      </w:pPr>
    </w:p>
    <w:p>
      <w:pPr>
        <w:ind w:left="1292" w:hanging="563"/>
        <w:spacing w:after="0"/>
        <w:tabs>
          <w:tab w:leader="none" w:pos="12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recouped amount from any compensation otherwise owed by the Company to the Participating</w:t>
      </w:r>
    </w:p>
    <w:p>
      <w:pPr>
        <w:ind w:left="7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w:t>
      </w:r>
    </w:p>
    <w:p>
      <w:pPr>
        <w:spacing w:after="0" w:line="155" w:lineRule="exact"/>
        <w:rPr>
          <w:rFonts w:ascii="Times New Roman" w:cs="Times New Roman" w:eastAsia="Times New Roman" w:hAnsi="Times New Roman"/>
          <w:sz w:val="22"/>
          <w:szCs w:val="22"/>
          <w:color w:val="auto"/>
        </w:rPr>
      </w:pPr>
    </w:p>
    <w:p>
      <w:pPr>
        <w:ind w:left="1292" w:hanging="563"/>
        <w:spacing w:after="0"/>
        <w:tabs>
          <w:tab w:leader="none" w:pos="12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outstanding vested or unvested equity awards; and/or</w:t>
      </w:r>
    </w:p>
    <w:p>
      <w:pPr>
        <w:spacing w:after="0" w:line="179" w:lineRule="exact"/>
        <w:rPr>
          <w:rFonts w:ascii="Times New Roman" w:cs="Times New Roman" w:eastAsia="Times New Roman" w:hAnsi="Times New Roman"/>
          <w:sz w:val="22"/>
          <w:szCs w:val="22"/>
          <w:color w:val="auto"/>
        </w:rPr>
      </w:pPr>
    </w:p>
    <w:p>
      <w:pPr>
        <w:ind w:left="1292" w:hanging="563"/>
        <w:spacing w:after="0"/>
        <w:tabs>
          <w:tab w:leader="none" w:pos="12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Committee.</w:t>
      </w:r>
    </w:p>
    <w:p>
      <w:pPr>
        <w:spacing w:after="0" w:line="175" w:lineRule="exact"/>
        <w:rPr>
          <w:rFonts w:ascii="Times New Roman" w:cs="Times New Roman" w:eastAsia="Times New Roman" w:hAnsi="Times New Roman"/>
          <w:sz w:val="22"/>
          <w:szCs w:val="22"/>
          <w:color w:val="auto"/>
        </w:rPr>
      </w:pPr>
    </w:p>
    <w:p>
      <w:pPr>
        <w:jc w:val="both"/>
        <w:ind w:left="-8" w:firstLine="8"/>
        <w:spacing w:after="0" w:line="210" w:lineRule="auto"/>
        <w:tabs>
          <w:tab w:leader="none" w:pos="6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Determination Considerations; Impracticability</w:t>
      </w:r>
      <w:r>
        <w:rPr>
          <w:rFonts w:ascii="Times New Roman" w:cs="Times New Roman" w:eastAsia="Times New Roman" w:hAnsi="Times New Roman"/>
          <w:sz w:val="22"/>
          <w:szCs w:val="22"/>
          <w:color w:val="auto"/>
        </w:rPr>
        <w:t>. The Company need not recover the excess amount of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under this Policy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In determining whether to seek recovery of compensation under Sections 4(b) and 4(c) of this Policy, and if so, the amount and form of such recovery, the Committee may take into account such considerations as it deems appropriate, including (i) the likelihood of success in seeking reimbursement or forfeiture under governing law versus the cost and effort involved; (ii) whether the assertion of a claim may prejudice the interests of the Company, including in any related proceeding or investigation; (iii) the passage of time since the occurrence of the act or omissions giving rise, directly or indirectly, to the financial restatement; and (iv) such other factors as it deems appropriate under the circumstances, and may make determinations that are not uniform among the Participating Employees.</w:t>
      </w:r>
    </w:p>
    <w:p>
      <w:pPr>
        <w:spacing w:after="0" w:line="151" w:lineRule="exact"/>
        <w:rPr>
          <w:rFonts w:ascii="Times New Roman" w:cs="Times New Roman" w:eastAsia="Times New Roman" w:hAnsi="Times New Roman"/>
          <w:sz w:val="22"/>
          <w:szCs w:val="22"/>
          <w:color w:val="auto"/>
        </w:rPr>
      </w:pPr>
    </w:p>
    <w:p>
      <w:pPr>
        <w:ind w:left="-8" w:right="20" w:firstLine="8"/>
        <w:spacing w:after="0" w:line="238" w:lineRule="auto"/>
        <w:tabs>
          <w:tab w:leader="none" w:pos="6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Indemnification</w:t>
      </w:r>
      <w:r>
        <w:rPr>
          <w:rFonts w:ascii="Times New Roman" w:cs="Times New Roman" w:eastAsia="Times New Roman" w:hAnsi="Times New Roman"/>
          <w:sz w:val="22"/>
          <w:szCs w:val="22"/>
          <w:color w:val="auto"/>
        </w:rPr>
        <w:t>. The Company shall not indemnify any Participating Employees against the loss of any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or other incentive-based compensation pursuant to this Policy.</w:t>
      </w:r>
    </w:p>
    <w:p>
      <w:pPr>
        <w:spacing w:after="0" w:line="146" w:lineRule="exact"/>
        <w:rPr>
          <w:rFonts w:ascii="Times New Roman" w:cs="Times New Roman" w:eastAsia="Times New Roman" w:hAnsi="Times New Roman"/>
          <w:sz w:val="22"/>
          <w:szCs w:val="22"/>
          <w:color w:val="auto"/>
        </w:rPr>
      </w:pPr>
    </w:p>
    <w:p>
      <w:pPr>
        <w:jc w:val="both"/>
        <w:ind w:left="-8" w:firstLine="8"/>
        <w:spacing w:after="0" w:line="216" w:lineRule="auto"/>
        <w:tabs>
          <w:tab w:leader="none" w:pos="6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The Committee is authorized to interpret and construe this Policy and to make all determinations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appropriate or advisable for the administration of this Policy. It is intended that this Policy be interpreted in a manner that is consistent with Rule 10D-1 and any other applicable laws or applicable rules or standards adopted by the Securities and Exchange Commission or any national securities exchange on which the Company’s securities are listed (collectively, the “</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To the extent the Applicable Rules require recovery of compensation in additional circumstances besides those specified in this Policy,</w:t>
      </w:r>
    </w:p>
    <w:p>
      <w:pPr>
        <w:sectPr>
          <w:pgSz w:w="11900" w:h="16838" w:orient="portrait"/>
          <w:cols w:equalWidth="0" w:num="1">
            <w:col w:w="11232"/>
          </w:cols>
          <w:pgMar w:left="328" w:top="1395" w:right="339" w:bottom="1440" w:gutter="0" w:footer="0" w:header="0"/>
        </w:sectPr>
      </w:pPr>
    </w:p>
    <w:bookmarkStart w:id="216" w:name="page217"/>
    <w:bookmarkEnd w:id="216"/>
    <w:p>
      <w:pPr>
        <w:ind w:right="20"/>
        <w:spacing w:after="0" w:line="236" w:lineRule="auto"/>
        <w:rPr>
          <w:sz w:val="20"/>
          <w:szCs w:val="20"/>
          <w:color w:val="auto"/>
        </w:rPr>
      </w:pPr>
      <w:r>
        <w:rPr>
          <w:rFonts w:ascii="Times New Roman" w:cs="Times New Roman" w:eastAsia="Times New Roman" w:hAnsi="Times New Roman"/>
          <w:sz w:val="22"/>
          <w:szCs w:val="22"/>
          <w:color w:val="auto"/>
        </w:rPr>
        <w:t>nothing in this Policy shall be deemed to limit or restrict the right or obligation of the Company to recover compensation to the fullest extent required by the Applicable Rules.</w:t>
      </w:r>
    </w:p>
    <w:p>
      <w:pPr>
        <w:spacing w:after="0" w:line="146" w:lineRule="exact"/>
        <w:rPr>
          <w:sz w:val="20"/>
          <w:szCs w:val="20"/>
          <w:color w:val="auto"/>
        </w:rPr>
      </w:pPr>
    </w:p>
    <w:p>
      <w:pPr>
        <w:jc w:val="both"/>
        <w:ind w:firstLine="8"/>
        <w:spacing w:after="0" w:line="218"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Policy shall be effective as of first date set forth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Compensation Received on or after that date and any other incentive-based compensation approved, awarded or granted on or after that date. For the avoidance of doubt, the Tradeweb Markets Inc. Omnibus Clawback Policy as in effect prior to the Effective Date shall continue to govern Incentive Compensation (as defined in such policy) Received prior to the Effective Date or otherwise approved, awarded or granted prior to the Effective Date.</w:t>
      </w:r>
    </w:p>
    <w:p>
      <w:pPr>
        <w:spacing w:after="0" w:line="147" w:lineRule="exact"/>
        <w:rPr>
          <w:rFonts w:ascii="Times New Roman" w:cs="Times New Roman" w:eastAsia="Times New Roman" w:hAnsi="Times New Roman"/>
          <w:sz w:val="22"/>
          <w:szCs w:val="22"/>
          <w:color w:val="auto"/>
        </w:rPr>
      </w:pPr>
    </w:p>
    <w:p>
      <w:pPr>
        <w:jc w:val="both"/>
        <w:ind w:firstLine="8"/>
        <w:spacing w:after="0" w:line="221" w:lineRule="auto"/>
        <w:tabs>
          <w:tab w:leader="none" w:pos="6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Termination</w:t>
      </w:r>
      <w:r>
        <w:rPr>
          <w:rFonts w:ascii="Times New Roman" w:cs="Times New Roman" w:eastAsia="Times New Roman" w:hAnsi="Times New Roman"/>
          <w:sz w:val="22"/>
          <w:szCs w:val="22"/>
          <w:color w:val="auto"/>
        </w:rPr>
        <w:t>. The Committee may amend this Policy from time to time in its discretion and shall amend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as it deems necessary to comply with applicable law and any rules or standards adopted by a national securities exchange on which the Company’s securities are listed. Subject to the Applicable Rules, the Committee may suspend, discontinue or terminate this Policy at any time.</w:t>
      </w:r>
    </w:p>
    <w:p>
      <w:pPr>
        <w:spacing w:after="0" w:line="148" w:lineRule="exact"/>
        <w:rPr>
          <w:rFonts w:ascii="Times New Roman" w:cs="Times New Roman" w:eastAsia="Times New Roman" w:hAnsi="Times New Roman"/>
          <w:sz w:val="22"/>
          <w:szCs w:val="22"/>
          <w:color w:val="auto"/>
        </w:rPr>
      </w:pPr>
    </w:p>
    <w:p>
      <w:pPr>
        <w:jc w:val="both"/>
        <w:ind w:firstLine="8"/>
        <w:spacing w:after="0" w:line="226" w:lineRule="auto"/>
        <w:tabs>
          <w:tab w:leader="none" w:pos="64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Recoupment Rights</w:t>
      </w:r>
      <w:r>
        <w:rPr>
          <w:rFonts w:ascii="Times New Roman" w:cs="Times New Roman" w:eastAsia="Times New Roman" w:hAnsi="Times New Roman"/>
          <w:sz w:val="21"/>
          <w:szCs w:val="21"/>
          <w:color w:val="auto"/>
        </w:rPr>
        <w:t>. The Committee intends that this Policy will be applied to the fullest extent of the law.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may require that any employment agreement, equity award agreement or similar agreement entered into on or after the Effective Date shall, as a condition to the grant of any benefit thereunder, require a Participating Employee to agree to abide by the terms of this Policy. Any right of recoupment under this Policy is in addition to, and not in lieu of, any other remedies or rights of recoupment that may be available to the Company pursuant to the terms of any analogous provision in any employment agreement, equity award agreement, or similar agreement and any other legal remedies available to the Company.</w:t>
      </w:r>
    </w:p>
    <w:p>
      <w:pPr>
        <w:spacing w:after="0" w:line="147" w:lineRule="exact"/>
        <w:rPr>
          <w:rFonts w:ascii="Times New Roman" w:cs="Times New Roman" w:eastAsia="Times New Roman" w:hAnsi="Times New Roman"/>
          <w:sz w:val="21"/>
          <w:szCs w:val="21"/>
          <w:color w:val="auto"/>
        </w:rPr>
      </w:pPr>
    </w:p>
    <w:p>
      <w:pPr>
        <w:ind w:firstLine="8"/>
        <w:spacing w:after="0" w:line="238"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This Policy shall be binding and enforceable against all Participating Employees and their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executors, administrators or other legal representatives.</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7"/>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lvl w:ilvl="1">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lowerRoman"/>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
      <w:numFmt w:val="bullet"/>
      <w:start w:val="1"/>
    </w:lvl>
    <w:lvl w:ilvl="1">
      <w:lvlJc w:val="left"/>
      <w:lvlText w:val="◦"/>
      <w:numFmt w:val="bullet"/>
      <w:start w:val="1"/>
    </w:lvl>
  </w:abstractNum>
  <w:abstractNum w:abstractNumId="52">
    <w:nsid w:val="71EA1109"/>
    <w:multiLevelType w:val="hybridMultilevel"/>
    <w:lvl w:ilvl="0">
      <w:lvlJc w:val="left"/>
      <w:lvlText w:val="•"/>
      <w:numFmt w:val="bullet"/>
      <w:start w:val="1"/>
    </w:lvl>
    <w:lvl w:ilvl="1">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4"/>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1."/>
      <w:numFmt w:val="decimal"/>
      <w:start w:val="1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1)"/>
      <w:numFmt w:val="lowerRoman"/>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lowerLetter"/>
      <w:start w:val="2"/>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2"/>
    </w:lvl>
  </w:abstractNum>
  <w:abstractNum w:abstractNumId="73">
    <w:nsid w:val="60EF0119"/>
    <w:multiLevelType w:val="hybridMultilevel"/>
    <w:lvl w:ilvl="0">
      <w:lvlJc w:val="left"/>
      <w:lvlText w:val="(%1)"/>
      <w:numFmt w:val="lowerRoman"/>
      <w:start w:val="3"/>
    </w:lvl>
  </w:abstractNum>
  <w:abstractNum w:abstractNumId="74">
    <w:nsid w:val="26F324BA"/>
    <w:multiLevelType w:val="hybridMultilevel"/>
    <w:lvl w:ilvl="0">
      <w:lvlJc w:val="left"/>
      <w:lvlText w:val="(%1)"/>
      <w:numFmt w:val="lowerRoman"/>
      <w:start w:val="5"/>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lowerLetter"/>
      <w:start w:val="35"/>
    </w:lvl>
  </w:abstractNum>
  <w:abstractNum w:abstractNumId="77">
    <w:nsid w:val="7055A5F5"/>
    <w:multiLevelType w:val="hybridMultilevel"/>
    <w:lvl w:ilvl="0">
      <w:lvlJc w:val="left"/>
      <w:lvlText w:val="%1."/>
      <w:numFmt w:val="decimal"/>
      <w:start w:val="3"/>
    </w:lvl>
  </w:abstractNum>
  <w:abstractNum w:abstractNumId="78">
    <w:nsid w:val="5FB8370B"/>
    <w:multiLevelType w:val="hybridMultilevel"/>
    <w:lvl w:ilvl="0">
      <w:lvlJc w:val="left"/>
      <w:lvlText w:val="%1."/>
      <w:numFmt w:val="decimal"/>
      <w:start w:val="4"/>
    </w:lvl>
  </w:abstractNum>
  <w:abstractNum w:abstractNumId="79">
    <w:nsid w:val="50801EE1"/>
    <w:multiLevelType w:val="hybridMultilevel"/>
    <w:lvl w:ilvl="0">
      <w:lvlJc w:val="left"/>
      <w:lvlText w:val="%1."/>
      <w:numFmt w:val="decimal"/>
      <w:start w:val="6"/>
    </w:lvl>
  </w:abstractNum>
  <w:abstractNum w:abstractNumId="80">
    <w:nsid w:val="488AC1A"/>
    <w:multiLevelType w:val="hybridMultilevel"/>
    <w:lvl w:ilvl="0">
      <w:lvlJc w:val="left"/>
      <w:lvlText w:val="%1."/>
      <w:numFmt w:val="decimal"/>
      <w:start w:val="8"/>
    </w:lvl>
  </w:abstractNum>
  <w:abstractNum w:abstractNumId="81">
    <w:nsid w:val="5FB8011C"/>
    <w:multiLevelType w:val="hybridMultilevel"/>
    <w:lvl w:ilvl="0">
      <w:lvlJc w:val="left"/>
      <w:lvlText w:val="%1."/>
      <w:numFmt w:val="decimal"/>
      <w:start w:val="9"/>
    </w:lvl>
  </w:abstractNum>
  <w:abstractNum w:abstractNumId="82">
    <w:nsid w:val="6AA78F7F"/>
    <w:multiLevelType w:val="hybridMultilevel"/>
    <w:lvl w:ilvl="0">
      <w:lvlJc w:val="left"/>
      <w:lvlText w:val="%1."/>
      <w:numFmt w:val="decimal"/>
      <w:start w:val="10"/>
    </w:lvl>
  </w:abstractNum>
  <w:abstractNum w:abstractNumId="83">
    <w:nsid w:val="7672BD23"/>
    <w:multiLevelType w:val="hybridMultilevel"/>
    <w:lvl w:ilvl="0">
      <w:lvlJc w:val="left"/>
      <w:lvlText w:val="%1."/>
      <w:numFmt w:val="decimal"/>
      <w:start w:val="11"/>
    </w:lvl>
  </w:abstractNum>
  <w:abstractNum w:abstractNumId="84">
    <w:nsid w:val="6FC75AF8"/>
    <w:multiLevelType w:val="hybridMultilevel"/>
    <w:lvl w:ilvl="0">
      <w:lvlJc w:val="left"/>
      <w:lvlText w:val="%1."/>
      <w:numFmt w:val="decimal"/>
      <w:start w:val="12"/>
    </w:lvl>
  </w:abstractNum>
  <w:abstractNum w:abstractNumId="85">
    <w:nsid w:val="6A5F7029"/>
    <w:multiLevelType w:val="hybridMultilevel"/>
    <w:lvl w:ilvl="0">
      <w:lvlJc w:val="left"/>
      <w:lvlText w:val="(%1)"/>
      <w:numFmt w:val="lowerRoman"/>
      <w:start w:val="1"/>
    </w:lvl>
  </w:abstractNum>
  <w:abstractNum w:abstractNumId="86">
    <w:nsid w:val="7D5E18F8"/>
    <w:multiLevelType w:val="hybridMultilevel"/>
    <w:lvl w:ilvl="0">
      <w:lvlJc w:val="left"/>
      <w:lvlText w:val="(%1)"/>
      <w:numFmt w:val="lowerRoman"/>
      <w:start w:val="3"/>
    </w:lvl>
  </w:abstractNum>
  <w:abstractNum w:abstractNumId="87">
    <w:nsid w:val="5F3534A4"/>
    <w:multiLevelType w:val="hybridMultilevel"/>
    <w:lvl w:ilvl="0">
      <w:lvlJc w:val="left"/>
      <w:lvlText w:val="%1."/>
      <w:numFmt w:val="decimal"/>
      <w:start w:val="13"/>
    </w:lvl>
  </w:abstractNum>
  <w:abstractNum w:abstractNumId="88">
    <w:nsid w:val="73A1821B"/>
    <w:multiLevelType w:val="hybridMultilevel"/>
    <w:lvl w:ilvl="0">
      <w:lvlJc w:val="left"/>
      <w:lvlText w:val="(%1)"/>
      <w:numFmt w:val="lowerRoman"/>
      <w:start w:val="4"/>
    </w:lvl>
  </w:abstractNum>
  <w:abstractNum w:abstractNumId="89">
    <w:nsid w:val="7DE67713"/>
    <w:multiLevelType w:val="hybridMultilevel"/>
    <w:lvl w:ilvl="0">
      <w:lvlJc w:val="left"/>
      <w:lvlText w:val="%1."/>
      <w:numFmt w:val="decimal"/>
      <w:start w:val="14"/>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1."/>
      <w:numFmt w:val="decimal"/>
      <w:start w:val="4"/>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lowerRoman"/>
      <w:start w:val="2"/>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lowerRoman"/>
      <w:start w:val="2"/>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lowerLetter"/>
      <w:start w:val="5"/>
    </w:lvl>
  </w:abstractNum>
  <w:abstractNum w:abstractNumId="102">
    <w:nsid w:val="2A155DBC"/>
    <w:multiLevelType w:val="hybridMultilevel"/>
    <w:lvl w:ilvl="0">
      <w:lvlJc w:val="left"/>
      <w:lvlText w:val="%1."/>
      <w:numFmt w:val="decimal"/>
      <w:start w:val="5"/>
    </w:lvl>
  </w:abstractNum>
  <w:abstractNum w:abstractNumId="103">
    <w:nsid w:val="1D9F6E5F"/>
    <w:multiLevelType w:val="hybridMultilevel"/>
    <w:lvl w:ilvl="0">
      <w:lvlJc w:val="left"/>
      <w:lvlText w:val="(%1)"/>
      <w:numFmt w:val="lowerRoman"/>
      <w:start w:val="1"/>
    </w:lvl>
  </w:abstractNum>
  <w:abstractNum w:abstractNumId="104">
    <w:nsid w:val="97E1B4E"/>
    <w:multiLevelType w:val="hybridMultilevel"/>
    <w:lvl w:ilvl="0">
      <w:lvlJc w:val="left"/>
      <w:lvlText w:val="%1."/>
      <w:numFmt w:val="decimal"/>
      <w:start w:val="1"/>
    </w:lvl>
    <w:lvl w:ilvl="1">
      <w:lvlJc w:val="left"/>
      <w:lvlText w:val="%2."/>
      <w:numFmt w:val="lowerLetter"/>
      <w:start w:val="1"/>
    </w:lvl>
  </w:abstractNum>
  <w:abstractNum w:abstractNumId="105">
    <w:nsid w:val="51088277"/>
    <w:multiLevelType w:val="hybridMultilevel"/>
    <w:lvl w:ilvl="0">
      <w:lvlJc w:val="left"/>
      <w:lvlText w:val="%1."/>
      <w:numFmt w:val="decimal"/>
      <w:start w:val="1"/>
    </w:lvl>
    <w:lvl w:ilvl="1">
      <w:lvlJc w:val="left"/>
      <w:lvlText w:val="%2."/>
      <w:numFmt w:val="lowerLetter"/>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
    </w:lvl>
    <w:lvl w:ilvl="1">
      <w:lvlJc w:val="left"/>
      <w:lvlText w:val="%2"/>
      <w:numFmt w:val="lowerLetter"/>
      <w:start w:val="1"/>
    </w:lvl>
  </w:abstractNum>
  <w:abstractNum w:abstractNumId="109">
    <w:nsid w:val="7C58FD05"/>
    <w:multiLevelType w:val="hybridMultilevel"/>
    <w:lvl w:ilvl="0">
      <w:lvlJc w:val="left"/>
      <w:lvlText w:val="%1"/>
      <w:numFmt w:val="decimal"/>
      <w:start w:val="1"/>
    </w:lvl>
    <w:lvl w:ilvl="1">
      <w:lvlJc w:val="left"/>
      <w:lvlText w:val="%2."/>
      <w:numFmt w:val="lowerLetter"/>
      <w:start w:val="2"/>
    </w:lvl>
  </w:abstractNum>
  <w:abstractNum w:abstractNumId="110">
    <w:nsid w:val="23D86AAC"/>
    <w:multiLevelType w:val="hybridMultilevel"/>
    <w:lvl w:ilvl="0">
      <w:lvlJc w:val="left"/>
      <w:lvlText w:val="%1."/>
      <w:numFmt w:val="decimal"/>
      <w:start w:val="5"/>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2"/>
    </w:lvl>
  </w:abstractNum>
  <w:abstractNum w:abstractNumId="112">
    <w:nsid w:val="5C10FE21"/>
    <w:multiLevelType w:val="hybridMultilevel"/>
    <w:lvl w:ilvl="0">
      <w:lvlJc w:val="left"/>
      <w:lvlText w:val="%1."/>
      <w:numFmt w:val="decimal"/>
      <w:start w:val="6"/>
    </w:lvl>
    <w:lvl w:ilvl="1">
      <w:lvlJc w:val="left"/>
      <w:lvlText w:val="%2."/>
      <w:numFmt w:val="lowerLetter"/>
      <w:start w:val="1"/>
    </w:lvl>
  </w:abstractNum>
  <w:abstractNum w:abstractNumId="113">
    <w:nsid w:val="E7FFA2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181" Type="http://schemas.openxmlformats.org/officeDocument/2006/relationships/hyperlink" Target="https://www.sec.gov/Archives/edgar/data/1758730/000114420419018920/tv518458_ex3-1.htm" TargetMode="External"/><Relationship Id="rId182" Type="http://schemas.openxmlformats.org/officeDocument/2006/relationships/hyperlink" Target="https://www.sec.gov/Archives/edgar/data/1758730/000114420419018920/tv518458_ex3-2.htm" TargetMode="External"/><Relationship Id="rId183" Type="http://schemas.openxmlformats.org/officeDocument/2006/relationships/hyperlink" Target="https://www.sec.gov/Archives/edgar/data/1758730/000114420419015220/tv516514_ex4-1.htm" TargetMode="External"/><Relationship Id="rId184" Type="http://schemas.openxmlformats.org/officeDocument/2006/relationships/hyperlink" Target="https://www.sec.gov/Archives/edgar/data/1758730/000155837020002031/tw-20191231ex423dc3d5c.htm" TargetMode="External"/><Relationship Id="rId185" Type="http://schemas.openxmlformats.org/officeDocument/2006/relationships/hyperlink" Target="https://www.sec.gov/Archives/edgar/data/1758730/000110465919030556/a19-9947_1ex10d1.htm" TargetMode="External"/><Relationship Id="rId186" Type="http://schemas.openxmlformats.org/officeDocument/2006/relationships/hyperlink" Target="https://www.sec.gov/Archives/edgar/data/1758730/000110465919030556/a19-9947_1ex10d2.htm" TargetMode="External"/><Relationship Id="rId187" Type="http://schemas.openxmlformats.org/officeDocument/2006/relationships/hyperlink" Target="https://www.sec.gov/Archives/edgar/data/1758730/000110465919030556/a19-9947_1ex10d3.htm" TargetMode="External"/><Relationship Id="rId188" Type="http://schemas.openxmlformats.org/officeDocument/2006/relationships/hyperlink" Target="https://www.sec.gov/Archives/edgar/data/1758730/000110465919030556/a19-9947_1ex10d4.htm" TargetMode="External"/><Relationship Id="rId189" Type="http://schemas.openxmlformats.org/officeDocument/2006/relationships/hyperlink" Target="https://www.sec.gov/Archives/edgar/data/1758730/000110465919030556/a19-9947_1ex10d5.htm" TargetMode="External"/><Relationship Id="rId190" Type="http://schemas.openxmlformats.org/officeDocument/2006/relationships/hyperlink" Target="https://www.sec.gov/Archives/edgar/data/1758730/000110465919030556/a19-9947_1ex10d6.htm" TargetMode="External"/><Relationship Id="rId191" Type="http://schemas.openxmlformats.org/officeDocument/2006/relationships/hyperlink" Target="https://www.sec.gov/Archives/edgar/data/1758730/000155837019010595/tw-20190930ex1011b90d3.htm" TargetMode="External"/><Relationship Id="rId194" Type="http://schemas.openxmlformats.org/officeDocument/2006/relationships/hyperlink" Target="https://www.sec.gov/Archives/edgar/data/1758730/000119312523089885/d472523dex101.htm" TargetMode="External"/><Relationship Id="rId195" Type="http://schemas.openxmlformats.org/officeDocument/2006/relationships/hyperlink" Target="https://www.sec.gov/Archives/edgar/data/1758730/000110465919030556/a19-9947_1ex10d7.htm" TargetMode="External"/><Relationship Id="rId196" Type="http://schemas.openxmlformats.org/officeDocument/2006/relationships/hyperlink" Target="https://www.sec.gov/Archives/edgar/data/1758730/000114420419015220/tv516514_ex10-9.htm" TargetMode="External"/><Relationship Id="rId197" Type="http://schemas.openxmlformats.org/officeDocument/2006/relationships/hyperlink" Target="https://www.sec.gov/Archives/edgar/data/1758730/000110465919030556/a19-9947_1ex10d8.htm" TargetMode="External"/><Relationship Id="rId198" Type="http://schemas.openxmlformats.org/officeDocument/2006/relationships/hyperlink" Target="https://www.sec.gov/Archives/edgar/data/1758730/000114420419015220/tv516514_ex10-11.htm" TargetMode="External"/><Relationship Id="rId199" Type="http://schemas.openxmlformats.org/officeDocument/2006/relationships/hyperlink" Target="https://www.sec.gov/Archives/edgar/data/1758730/000110465919030556/a19-9947_1ex10d9.htm" TargetMode="External"/><Relationship Id="rId200" Type="http://schemas.openxmlformats.org/officeDocument/2006/relationships/hyperlink" Target="https://www.sec.gov/Archives/edgar/data/1758730/000114420419015220/tv516514_ex10-13.htm" TargetMode="External"/><Relationship Id="rId201" Type="http://schemas.openxmlformats.org/officeDocument/2006/relationships/hyperlink" Target="https://www.sec.gov/Archives/edgar/data/1758730/000155837020006433/tw-20200331ex103c1fe80.htm" TargetMode="External"/><Relationship Id="rId202" Type="http://schemas.openxmlformats.org/officeDocument/2006/relationships/hyperlink" Target="https://www.sec.gov/Archives/edgar/data/1758730/000155837020006433/tw-20200331ex104e87a33.htm" TargetMode="External"/><Relationship Id="rId203" Type="http://schemas.openxmlformats.org/officeDocument/2006/relationships/hyperlink" Target="https://www.sec.gov/Archives/edgar/data/1758730/000110465919030556/a19-9947_1ex10d10.htm" TargetMode="External"/><Relationship Id="rId204" Type="http://schemas.openxmlformats.org/officeDocument/2006/relationships/hyperlink" Target="https://www.sec.gov/Archives/edgar/data/1758730/000110465919030556/a19-9947_1ex10d11.htm" TargetMode="External"/><Relationship Id="rId205" Type="http://schemas.openxmlformats.org/officeDocument/2006/relationships/hyperlink" Target="https://www.sec.gov/Archives/edgar/data/1758730/000155837020006433/tw-20200331ex1019d4d27.htm" TargetMode="External"/><Relationship Id="rId206" Type="http://schemas.openxmlformats.org/officeDocument/2006/relationships/hyperlink" Target="https://www.sec.gov/Archives/edgar/data/1758730/000155837020006433/tw-20200331ex102e4584b.htm" TargetMode="External"/><Relationship Id="rId207" Type="http://schemas.openxmlformats.org/officeDocument/2006/relationships/hyperlink" Target="https://www.sec.gov/Archives/edgar/data/1758730/000114420419015706/tv515721_ex10-16.htm" TargetMode="External"/><Relationship Id="rId208" Type="http://schemas.openxmlformats.org/officeDocument/2006/relationships/hyperlink" Target="https://www.sec.gov/Archives/edgar/data/1758730/000114420419012677/tv513417_ex10-14.htm" TargetMode="External"/><Relationship Id="rId209" Type="http://schemas.openxmlformats.org/officeDocument/2006/relationships/hyperlink" Target="https://www.sec.gov/Archives/edgar/data/1758730/000175873021000028/twm-2021x9x30xexx1022.htm" TargetMode="External"/><Relationship Id="rId210" Type="http://schemas.openxmlformats.org/officeDocument/2006/relationships/hyperlink" Target="https://www.sec.gov/Archives/edgar/data/1758730/000175873023000047/twm-2022x12x31xexx1023.htm" TargetMode="External"/><Relationship Id="rId211" Type="http://schemas.openxmlformats.org/officeDocument/2006/relationships/hyperlink" Target="https://www.sec.gov/Archives/edgar/data/1758730/000175873023000047/twm-2022x12x31xexx1024.htm" TargetMode="External"/><Relationship Id="rId214" Type="http://schemas.openxmlformats.org/officeDocument/2006/relationships/hyperlink" Target="https://www.sec.gov/Archives/edgar/data/1758730/000175873023000047/twm-2022x12x31xexx1025.htm" TargetMode="External"/><Relationship Id="rId215" Type="http://schemas.openxmlformats.org/officeDocument/2006/relationships/hyperlink" Target="https://www.sec.gov/Archives/edgar/data/1758730/000175873023000047/twm-2022x12x31xexx1026.htm" TargetMode="External"/><Relationship Id="rId216" Type="http://schemas.openxmlformats.org/officeDocument/2006/relationships/hyperlink" Target="https://www.sec.gov/Archives/edgar/data/1758730/000175873023000047/twm-2022x12x31xexx1027.htm" TargetMode="External"/><Relationship Id="rId217" Type="http://schemas.openxmlformats.org/officeDocument/2006/relationships/hyperlink" Target="https://www.sec.gov/Archives/edgar/data/1758730/000175873023000047/twm-2022x12x31xexx1028.htm" TargetMode="External"/><Relationship Id="rId218" Type="http://schemas.openxmlformats.org/officeDocument/2006/relationships/hyperlink" Target="https://www.sec.gov/Archives/edgar/data/1758730/000175873023000047/twm-2022x12x31xexx1029.htm" TargetMode="External"/><Relationship Id="rId219" Type="http://schemas.openxmlformats.org/officeDocument/2006/relationships/hyperlink" Target="https://www.sec.gov/Archives/edgar/data/1758730/000175873023000047/twm-2022x12x31xexx1030.htm" TargetMode="External"/><Relationship Id="rId220" Type="http://schemas.openxmlformats.org/officeDocument/2006/relationships/hyperlink" Target="https://www.sec.gov/Archives/edgar/data/1758730/000175873023000047/twm-2022x12x31xexx1031.htm" TargetMode="External"/><Relationship Id="rId221" Type="http://schemas.openxmlformats.org/officeDocument/2006/relationships/hyperlink" Target="https://www.sec.gov/Archives/edgar/data/1758730/000175873023000125/twm-2023x03x31xexx104.htm" TargetMode="External"/><Relationship Id="rId222" Type="http://schemas.openxmlformats.org/officeDocument/2006/relationships/hyperlink" Target="https://www.sec.gov/Archives/edgar/data/1758730/000175873023000125/twm-2023x03x31xexx105.htm" TargetMode="External"/><Relationship Id="rId223" Type="http://schemas.openxmlformats.org/officeDocument/2006/relationships/hyperlink" Target="https://www.sec.gov/Archives/edgar/data/1758730/000175873023000125/twm-2023x03x31xexx106.htm" TargetMode="External"/><Relationship Id="rId224" Type="http://schemas.openxmlformats.org/officeDocument/2006/relationships/hyperlink" Target="https://www.sec.gov/Archives/edgar/data/1758730/000175873023000125/twm-2023x03x31xexx107.htm" TargetMode="External"/><Relationship Id="rId225" Type="http://schemas.openxmlformats.org/officeDocument/2006/relationships/hyperlink" Target="https://www.sec.gov/Archives/edgar/data/1758730/000175873023000125/twm-2023x03x31xexx108.htm" TargetMode="External"/><Relationship Id="rId226" Type="http://schemas.openxmlformats.org/officeDocument/2006/relationships/hyperlink" Target="https://www.sec.gov/Archives/edgar/data/1758730/000119312523281561/d5751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2024-02-09T15:19:02Z</dcterms:created>
  <dcterms:modified xsi:type="dcterms:W3CDTF">2024-02-09T15:19:02Z</dcterms:modified>
</cp:coreProperties>
</file>