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8443.xml.htm"/>
      <w:bookmarkStart w:id="1" w:name="kswkform4_17737784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66,878</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124.42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62,938</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62,967</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2,548 unvested RSUs in respect of Class A Common Stock that are scheduled to vest on March 15, 2027, (ii) 6,728 unvested RSUs in respect of Class A Common Stock that are scheduled to vest in equal installments on March 17, 2026, March 17, 2027 and March 17, 2028 and (iii) 8,037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by the issuer to satisfy the tax withholding obligation associated with the settlement of RSUs in respect of the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Justin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231"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4403</Characters>
  <CharactersWithSpaces>5163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