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6"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$0.00001</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320"/>
        <w:spacing w:after="0"/>
        <w:rPr>
          <w:sz w:val="20"/>
          <w:szCs w:val="20"/>
          <w:color w:val="auto"/>
        </w:rPr>
      </w:pPr>
      <w:r>
        <w:rPr>
          <w:rFonts w:ascii="Arial" w:cs="Arial" w:eastAsia="Arial" w:hAnsi="Arial"/>
          <w:sz w:val="16"/>
          <w:szCs w:val="16"/>
          <w:color w:val="auto"/>
        </w:rPr>
        <w:t>Emerging growth company x</w:t>
      </w:r>
    </w:p>
    <w:p>
      <w:pPr>
        <w:spacing w:after="0" w:line="24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The financial statements filed as Exhibit 99.1 to this Current Report on Form 8-K include those of Tradeweb Markets LLC, which became the principal operating subsidiary of Tradeweb Markets Inc., the registrant, in a series of reorganization transactions that were completed (the “Reorganization Transactions”) in connection with Tradeweb Markets Inc.’s initial public offering (“IPO”), which was completed on April 8, 2019. For more information regarding the Reorganization Transactions, see Note 4 to the unaudited financial statements of Tradeweb Markets Inc. and Note 18 to the unaudited consolidated financial statements of Tradeweb Markets LLC, each contained in Tradeweb Market Inc.’s Quarterly Report on Form 10-Q filed with the Securities and Exchange Commission (the “SEC”) on May 20,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Tradeweb Markets Inc. has filed this Current Report on Form 8-K to adjust retrospectively the audited consolidated financial statements of Tradeweb Markets LLC and its subsidiaries (the “Historical Financial Statements”) included in Tradeweb Markets Inc.’s final prospectus, dated April 3, 2019 (the “IPO Prospectus”), filed with the SEC pursuant to Rule 424(b) under the Securities Act of 1933, as amended, relating to the IPO, in order to reflect the recapitalization described below.</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April 4, 2019, in connection with the IPO and Reorganization Transactions, Tradeweb Markets LLC’s limited liability company agreement was amended and restated to, among other things, (i) provide for a new single class of common membership interests in Tradeweb Markets LLC (“LLC Interests”) and (ii) exchange all of the existing membership interests of Tradeweb Markets LLC’s existing equityholders for LLC Interests.</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Accordingly, attached as Exhibit 99.1 of this Form 8-K, and incorporated by reference herein, are the Historical Financial Statements that have been adjusted retrospectively for all periods to reflect the above-mentioned amendment and resulting recapitalization. Except for minor, non-substantive revisions, only the weighted average number of shares outstanding and net income per share information in the consolidated statements of income and certain share and per share information in the following notes within the previously issued Historical Financial Statements included in the IPO Prospectus have been revised from their previous presentation to reflect the recapitalization:</w:t>
      </w:r>
    </w:p>
    <w:p>
      <w:pPr>
        <w:spacing w:after="0" w:line="188"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Note 2, </w:t>
      </w:r>
      <w:r>
        <w:rPr>
          <w:rFonts w:ascii="Arial" w:cs="Arial" w:eastAsia="Arial" w:hAnsi="Arial"/>
          <w:sz w:val="18"/>
          <w:szCs w:val="18"/>
          <w:i w:val="1"/>
          <w:iCs w:val="1"/>
          <w:color w:val="auto"/>
        </w:rPr>
        <w:t>Significant Accounting Policies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Note 12, </w:t>
      </w:r>
      <w:r>
        <w:rPr>
          <w:rFonts w:ascii="Arial" w:cs="Arial" w:eastAsia="Arial" w:hAnsi="Arial"/>
          <w:sz w:val="18"/>
          <w:szCs w:val="18"/>
          <w:i w:val="1"/>
          <w:iCs w:val="1"/>
          <w:color w:val="auto"/>
        </w:rPr>
        <w:t>Shares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Note 13, </w:t>
      </w:r>
      <w:r>
        <w:rPr>
          <w:rFonts w:ascii="Arial" w:cs="Arial" w:eastAsia="Arial" w:hAnsi="Arial"/>
          <w:sz w:val="18"/>
          <w:szCs w:val="18"/>
          <w:i w:val="1"/>
          <w:iCs w:val="1"/>
          <w:color w:val="auto"/>
        </w:rPr>
        <w:t>Share-Based Compensation Plans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Note 18, </w:t>
      </w:r>
      <w:r>
        <w:rPr>
          <w:rFonts w:ascii="Arial" w:cs="Arial" w:eastAsia="Arial" w:hAnsi="Arial"/>
          <w:sz w:val="18"/>
          <w:szCs w:val="18"/>
          <w:i w:val="1"/>
          <w:iCs w:val="1"/>
          <w:color w:val="auto"/>
        </w:rPr>
        <w:t>Net Income Per Share</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addition, the supplemental pro forma net income per share information in the Historical Financial Statements in the IPO Prospectus, including Note 22, </w:t>
      </w:r>
      <w:r>
        <w:rPr>
          <w:rFonts w:ascii="Arial" w:cs="Arial" w:eastAsia="Arial" w:hAnsi="Arial"/>
          <w:sz w:val="18"/>
          <w:szCs w:val="18"/>
          <w:i w:val="1"/>
          <w:iCs w:val="1"/>
          <w:color w:val="auto"/>
        </w:rPr>
        <w:t xml:space="preserve">Unaudited Pro Forma Statement of Financial Condition and Pro Forma Earnings Per Share Information, </w:t>
      </w:r>
      <w:r>
        <w:rPr>
          <w:rFonts w:ascii="Arial" w:cs="Arial" w:eastAsia="Arial" w:hAnsi="Arial"/>
          <w:sz w:val="18"/>
          <w:szCs w:val="18"/>
          <w:color w:val="auto"/>
        </w:rPr>
        <w:t>which was included in the IPO Prospectus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certain distributions declared in the year preceding the IPO, has not been included in the Historical Financial Statements in Exhibit 99.1 of this Form 8-K.</w:t>
      </w:r>
    </w:p>
    <w:p>
      <w:pPr>
        <w:spacing w:after="0" w:line="187"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Historical Financial Statements included in Exhibit 99.1 of this Form 8-K do not represent a restatement of the previously issued Historical Financial Statements included in the IPO Prospectus and, other than as described above, the recapitalization had no impact on Tradeweb Markets LLC’s previously reported financial condition, results of operations or cash flows.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Form 8-K does not reflect events that may have occurred subsequent to the date of the IPO Prospectus and does not modify or update in any way the disclosures made in the IPO Prospectus other than to adjust retrospectively the Historical Financial Statements to reflect the recapitalization described above. For information on developments since the date of the IPO Prospectus, please refer to Tradeweb Market Inc.’s subsequent filings with the SEC. The Exhibits provided with this Form 8-K shall be deemed to be “filed” for purposes of the Securities Exchange Act of 1934, as amended. This Form 8-K should be read in conjunction with the IPO Prospectus and Tradeweb Market Inc.’s periodic and current reports filed with the SEC subsequent to the date of the IPO Prospectus.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Deloitte &amp; Touche LLP, an independent registered public accounting firm, has audited the consolidated financial statements of Tradeweb Markets LLC and its subsidiaries as of December 31, 2018 and for the period from October 1, 2018 to December 31, 2018 included in Exhibit 99.1 of this Form 8-K.</w:t>
      </w:r>
    </w:p>
    <w:p>
      <w:pPr>
        <w:spacing w:after="0" w:line="124"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has audited the consolidated financial statements of Tradeweb Markets LLC and its subsidiaries as of December 31, 2017, for the period from January 1, 2018 to September 30, 2018 and for each of the years ended December 31, 2017 and 2016 (the “Predecessor Financial Statements”) included in Exhibit 99.1 of this Form 8-K.</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October 1, 2018, Refinitiv Holdings Limited (“Refinitiv”), which owns an indirect majority ownership interest in Tradeweb Markets Inc. and is controlled by certain investment funds affiliated with The Blackstone Group L.P. (“Blackstone”), an affiliate of Canada Pension Plan Investment Board, an affiliate of GIC Special Investments Pte. Ltd. and certain co-investors (such investors, the “Investor Group”), indirectly acquired substantially all of the financial and risk business of Thomson Reuters Corporation and Thomson Reuters Corporation indirectly acquired a 45% ownership interest in Refinitiv (the “Refinitiv Transaction”).</w:t>
      </w:r>
    </w:p>
    <w:p>
      <w:pPr>
        <w:spacing w:after="0" w:line="18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As disclosed in the IPO Prospectus,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w:t>
      </w:r>
    </w:p>
    <w:p>
      <w:pPr>
        <w:ind w:firstLine="8"/>
        <w:spacing w:after="0" w:line="271"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16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Subsequent to completion of the Closing Date Audit, in connection with the above-described recapitalization, PricewaterhouseCoopers LLP performed additional audit procedures to audit the impact of the recapitalization on the Predecessor Financial Statements and issued a dual-dated opinion on the Predecessor Financial Statements included in Exhibit 99.1 of this Form 8-K. Prior to performing the additional audit procedures relating to the recapitalization, PricewaterhouseCoopers LLP reviewed the various services being provided to and relationships with the entities that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 w:name="page4"/>
    <w:bookmarkEnd w:id="3"/>
    <w:p>
      <w:pPr>
        <w:ind w:right="80"/>
        <w:spacing w:after="0" w:line="312" w:lineRule="auto"/>
        <w:rPr>
          <w:sz w:val="20"/>
          <w:szCs w:val="20"/>
          <w:color w:val="auto"/>
        </w:rPr>
      </w:pPr>
      <w:r>
        <w:rPr>
          <w:rFonts w:ascii="Arial" w:cs="Arial" w:eastAsia="Arial" w:hAnsi="Arial"/>
          <w:sz w:val="16"/>
          <w:szCs w:val="16"/>
          <w:color w:val="auto"/>
        </w:rPr>
        <w:t>became affiliates of Tradeweb Markets LLC in connection with the Refinitiv Transaction. PricewaterhouseCoopers LLP identified the services and relationships that were inconsistent with the auditor independence rules provided in Rule 2-01 of Regulation S-X and discussed the matters with those charged with governance for Tradeweb Markets LLC. No services or relationships were identified that were not consistent with the services described above.</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performance of the additional audit procedures necessary to audit the impact of the recapitalization on the Predecessor Financial Statements and provide the dual-dated audit opinion on the Predecessor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6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56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920" w:type="dxa"/>
            <w:vAlign w:val="bottom"/>
            <w:gridSpan w:val="4"/>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Audited Consolidated Financial Statements of Tradeweb Markets LLC and its subsidiaries as of December 31, 2018 and 2017, for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period from October 1, 2018 to December 31, 2018, for the period from January 1, 2018 to September 30, 2018 and for the years ended</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31, 2017 and 2016, and the related notes thereto.</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19"/>
                <w:szCs w:val="19"/>
                <w:color w:val="auto"/>
              </w:rPr>
            </w:pPr>
          </w:p>
        </w:tc>
        <w:tc>
          <w:tcPr>
            <w:tcW w:w="4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564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TRADEWEB MARKETS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June 18, 2019</w:t>
            </w: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By:   /s/ Douglas Friedman</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Exhibit 99.1</w:t>
            </w:r>
          </w:p>
        </w:tc>
        <w:tc>
          <w:tcPr>
            <w:tcW w:w="0" w:type="dxa"/>
            <w:vAlign w:val="bottom"/>
          </w:tcPr>
          <w:p>
            <w:pPr>
              <w:spacing w:after="0"/>
              <w:rPr>
                <w:sz w:val="1"/>
                <w:szCs w:val="1"/>
                <w:color w:val="auto"/>
              </w:rPr>
            </w:pPr>
          </w:p>
        </w:tc>
      </w:tr>
      <w:tr>
        <w:trPr>
          <w:trHeight w:val="432"/>
        </w:trPr>
        <w:tc>
          <w:tcPr>
            <w:tcW w:w="10400" w:type="dxa"/>
            <w:vAlign w:val="bottom"/>
          </w:tcPr>
          <w:p>
            <w:pPr>
              <w:ind w:left="4120"/>
              <w:spacing w:after="0"/>
              <w:rPr>
                <w:sz w:val="20"/>
                <w:szCs w:val="20"/>
                <w:color w:val="auto"/>
              </w:rPr>
            </w:pPr>
            <w:r>
              <w:rPr>
                <w:rFonts w:ascii="Arial" w:cs="Arial" w:eastAsia="Arial" w:hAnsi="Arial"/>
                <w:sz w:val="18"/>
                <w:szCs w:val="18"/>
                <w:b w:val="1"/>
                <w:bCs w:val="1"/>
                <w:color w:val="auto"/>
              </w:rPr>
              <w:t>INDEX TO FINANCIAL STATEMENTS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0" w:type="dxa"/>
            <w:vAlign w:val="bottom"/>
            <w:vMerge w:val="restart"/>
          </w:tcPr>
          <w:p>
            <w:pPr>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400" w:type="dxa"/>
            <w:vAlign w:val="bottom"/>
            <w:vMerge w:val="continue"/>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Consolidated Statements of Financial Condition as of December 31, 2018 and 2017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w w:val="96"/>
              </w:rPr>
              <w:t>Consolidated Statements of Income for October 1, 2018 to December 31, 2018, January 1 to September 30, 2018 and the Years Ended</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tcPr>
          <w:p>
            <w:pPr>
              <w:ind w:left="180"/>
              <w:spacing w:after="0"/>
              <w:rPr>
                <w:sz w:val="20"/>
                <w:szCs w:val="20"/>
                <w:color w:val="auto"/>
              </w:rPr>
            </w:pPr>
            <w:r>
              <w:rPr>
                <w:rFonts w:ascii="Arial" w:cs="Arial" w:eastAsia="Arial" w:hAnsi="Arial"/>
                <w:sz w:val="18"/>
                <w:szCs w:val="18"/>
                <w:color w:val="auto"/>
              </w:rPr>
              <w:t>December 31, 2017 and 2016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w w:val="91"/>
              </w:rPr>
              <w:t>Consolidated Statements of Changes in Members’ Capital and Accumulated Other Comprehensive Loss for October 1, 2018 to December 31,</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tcPr>
          <w:p>
            <w:pPr>
              <w:ind w:left="180"/>
              <w:spacing w:after="0"/>
              <w:rPr>
                <w:sz w:val="20"/>
                <w:szCs w:val="20"/>
                <w:color w:val="auto"/>
              </w:rPr>
            </w:pPr>
            <w:r>
              <w:rPr>
                <w:rFonts w:ascii="Arial" w:cs="Arial" w:eastAsia="Arial" w:hAnsi="Arial"/>
                <w:sz w:val="18"/>
                <w:szCs w:val="18"/>
                <w:color w:val="auto"/>
              </w:rPr>
              <w:t>2018, January 1, 2018 to September 30, 2018 and the Years Ended December 31, 2017 and 2016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w w:val="93"/>
              </w:rPr>
              <w:t>Consolidated Statements of Cash Flows for October 1, 2018 to December 31, 2018, January 1, 2018 to September 30, 2018 and the Years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tcPr>
          <w:p>
            <w:pPr>
              <w:ind w:left="180"/>
              <w:spacing w:after="0"/>
              <w:rPr>
                <w:sz w:val="20"/>
                <w:szCs w:val="20"/>
                <w:color w:val="auto"/>
              </w:rPr>
            </w:pPr>
            <w:r>
              <w:rPr>
                <w:rFonts w:ascii="Arial" w:cs="Arial" w:eastAsia="Arial" w:hAnsi="Arial"/>
                <w:sz w:val="18"/>
                <w:szCs w:val="18"/>
                <w:color w:val="auto"/>
              </w:rPr>
              <w:t>Ended December 31, 2017 and 2016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4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10400" w:type="dxa"/>
            <w:vAlign w:val="bottom"/>
          </w:tcPr>
          <w:p>
            <w:pPr>
              <w:ind w:left="566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4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 w:name="page7"/>
    <w:bookmarkEnd w:id="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Management and Members of Tradeweb Markets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We have audited the accompanying consolidated statement of financial condition of Tradeweb Markets LLC and subsidiaries (the “Company”) as of December 31, 2018, the related consolidated statements of income, changes in members’ capital and accumulated other comprehensive loss, and cash flows for the period from October 1, 2018 to December 31, 2018 (the “Successor Period”), and the related notes (collectively referred to as the “financial statements”). In our opinion, the financial statements present fairly, in all material respects, the financial position of the Company as of December 31, 2018, and the results of its operations and its cash flows for period from October 1, 2018 to December 31, 2018,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a Matter</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As discussed in Notes 1 and 3 to the financial statements, on October 1, 2018, a majority interest in King (Cayman) Holdings Ltd., was acquired by BCP York Holdings, a company owned by certain investment funds affiliated with The Blackstone Group L.P. As a result of the application of pushdown accounting, the Company’s financial statements for the Successor Period are not comparable to the Predecessor Periods, which are from January 1, 2018 to September 30, 2018, and for the years ended December 31, 2017 and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25, 2019 (as to the subsequent events described in Note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17, 2019 (as to the effects of the recapitalization described in Note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and Members of Tradeweb Markets LLC (Predecessor):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We have audited the accompanying consolidated statements of financial condition of Tradeweb Markets LLC and its subsidiaries (Predecessor) (the “Company”) as of December 31, 2017 and the related consolidated statements of income, of changes in members’ capital and accumulated other comprehensive loss and of cash flows for the nine months ended September 30, 2018 and for the years ended December 31, 2017 and December 31, 2016, including the related notes (collectively referred to as the “consolidated financial statements”). In our opinion, the consolidated financial statements present fairly, in all material respects, the financial position of the Company as of December 31, 2017 and the results of its operations and its cash flows for the nine months ended September 30, 2018 and for the years ended December 31, 2017 and December 31, 2016,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December 17, 2018, except for the impacts of the amendment to the LLC agreement discussed in Note 2 to the consolidated financial statements, as to which the date is May 20,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7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8"/>
              </w:rPr>
              <w:t>Cash and cash equivalents including cash deposited with related parties of $283,790 and $234,107 at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2018 and December 31,2017, 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410,104</w:t>
            </w: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352,598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Receivable from brokers and dealers and clearing organizations including receivables from related parties of</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$3,332 at December 31, 2018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174,591</w:t>
            </w: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Deposits with clearing organizations including deposits from related parties of $500 at December 31, 2018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2017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24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Accounts receivable, net of allowance including receivables from related parties of $40,730 and $27,163 at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2018 and December 31, 2017,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87,192</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69,662</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Furniture, equipment, purchased software and leasehold improvements, net of accumulated depreciation and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38,128</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170,582</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41,181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1,380,848</w:t>
            </w: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222,219</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2,694,797</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563,421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rPr>
              <w:t>Other assets including other assets from related parties of $9 and $27 at December 31, 2018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2017,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25,027</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4,997,139</w:t>
            </w:r>
          </w:p>
        </w:tc>
        <w:tc>
          <w:tcPr>
            <w:tcW w:w="24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1,316,887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640"/>
              <w:spacing w:after="0" w:line="170" w:lineRule="exact"/>
              <w:rPr>
                <w:sz w:val="20"/>
                <w:szCs w:val="20"/>
                <w:color w:val="auto"/>
              </w:rPr>
            </w:pPr>
            <w:r>
              <w:rPr>
                <w:rFonts w:ascii="Arial" w:cs="Arial" w:eastAsia="Arial" w:hAnsi="Arial"/>
                <w:sz w:val="18"/>
                <w:szCs w:val="18"/>
                <w:b w:val="1"/>
                <w:bCs w:val="1"/>
                <w:color w:val="auto"/>
              </w:rPr>
              <w:t>Liabilities and Members’ Capital</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Payable to brokers and dealers and clearing organizations including payables to related parties of $2,404 at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171,214</w:t>
            </w:r>
          </w:p>
        </w:tc>
        <w:tc>
          <w:tcPr>
            <w:tcW w:w="24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120,158</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89,769</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Deferred revenue including deferred revenue from related parties of $9,151 and $5,106 at December 31,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 and December 31, 2017,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27,883</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Contingent consideration payable to related parties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129,393</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accrued expenses and other liabilities including payables to related parties of $2,555 at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42,548</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27,364</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24,187</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31,019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19,627</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410,626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8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Class C Shares and Class P(C) Shares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14,179</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Members’ capital</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Members’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4,573,200</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999,735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members’ capital</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4,572,334</w:t>
            </w: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 and members’ capital</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4,997,139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9"/>
              </w:rPr>
              <w:t>October 1,</w:t>
            </w: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January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2018 to</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2018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tcPr>
          <w:p>
            <w:pPr>
              <w:ind w:left="200"/>
              <w:spacing w:after="0" w:line="201" w:lineRule="exact"/>
              <w:rPr>
                <w:sz w:val="20"/>
                <w:szCs w:val="20"/>
                <w:color w:val="auto"/>
              </w:rPr>
            </w:pPr>
            <w:r>
              <w:rPr>
                <w:rFonts w:ascii="Arial" w:cs="Arial" w:eastAsia="Arial" w:hAnsi="Arial"/>
                <w:sz w:val="18"/>
                <w:szCs w:val="18"/>
                <w:color w:val="auto"/>
                <w:w w:val="97"/>
              </w:rPr>
              <w:t>Transaction fees including from related parties of $59,259, $159,663,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80"/>
              <w:spacing w:after="0"/>
              <w:rPr>
                <w:sz w:val="20"/>
                <w:szCs w:val="20"/>
                <w:color w:val="auto"/>
              </w:rPr>
            </w:pPr>
            <w:r>
              <w:rPr>
                <w:rFonts w:ascii="Arial" w:cs="Arial" w:eastAsia="Arial" w:hAnsi="Arial"/>
                <w:sz w:val="18"/>
                <w:szCs w:val="18"/>
                <w:color w:val="auto"/>
              </w:rPr>
              <w:t>$151,695 and $134,231 in the period ended December 31,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80"/>
              <w:spacing w:after="0"/>
              <w:rPr>
                <w:sz w:val="20"/>
                <w:szCs w:val="20"/>
                <w:color w:val="auto"/>
              </w:rPr>
            </w:pPr>
            <w:r>
              <w:rPr>
                <w:rFonts w:ascii="Arial" w:cs="Arial" w:eastAsia="Arial" w:hAnsi="Arial"/>
                <w:sz w:val="18"/>
                <w:szCs w:val="18"/>
                <w:color w:val="auto"/>
                <w:w w:val="96"/>
              </w:rPr>
              <w:t>September 30, 2018, December 31, 2017 and December 31,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97,130</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273,751</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267,020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230,171</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Subscription fees including from related parties of $5,718, $16,627,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$37,426 and $35,169 in the period ended December 31,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September 30, 2018, December 31, 2017 and December 31,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33,052</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144,409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141,419</w:t>
            </w:r>
          </w:p>
        </w:tc>
        <w:tc>
          <w:tcPr>
            <w:tcW w:w="0" w:type="dxa"/>
            <w:vAlign w:val="bottom"/>
          </w:tcPr>
          <w:p>
            <w:pPr>
              <w:spacing w:after="0"/>
              <w:rPr>
                <w:sz w:val="1"/>
                <w:szCs w:val="1"/>
                <w:color w:val="auto"/>
              </w:rPr>
            </w:pPr>
          </w:p>
        </w:tc>
      </w:tr>
      <w:tr>
        <w:trPr>
          <w:trHeight w:val="202"/>
        </w:trPr>
        <w:tc>
          <w:tcPr>
            <w:tcW w:w="5580" w:type="dxa"/>
            <w:vAlign w:val="bottom"/>
          </w:tcPr>
          <w:p>
            <w:pPr>
              <w:ind w:left="200"/>
              <w:spacing w:after="0" w:line="201" w:lineRule="exact"/>
              <w:rPr>
                <w:sz w:val="20"/>
                <w:szCs w:val="20"/>
                <w:color w:val="auto"/>
              </w:rPr>
            </w:pPr>
            <w:r>
              <w:rPr>
                <w:rFonts w:ascii="Arial" w:cs="Arial" w:eastAsia="Arial" w:hAnsi="Arial"/>
                <w:sz w:val="18"/>
                <w:szCs w:val="18"/>
                <w:color w:val="auto"/>
              </w:rPr>
              <w:t>Commissions including from related parties of $12,401, $34,944,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80"/>
              <w:spacing w:after="0"/>
              <w:rPr>
                <w:sz w:val="20"/>
                <w:szCs w:val="20"/>
                <w:color w:val="auto"/>
              </w:rPr>
            </w:pPr>
            <w:r>
              <w:rPr>
                <w:rFonts w:ascii="Arial" w:cs="Arial" w:eastAsia="Arial" w:hAnsi="Arial"/>
                <w:sz w:val="18"/>
                <w:szCs w:val="18"/>
                <w:color w:val="auto"/>
              </w:rPr>
              <w:t>$43,315 and $42,343 in the period ended December 31,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80"/>
              <w:spacing w:after="0"/>
              <w:rPr>
                <w:sz w:val="20"/>
                <w:szCs w:val="20"/>
                <w:color w:val="auto"/>
              </w:rPr>
            </w:pPr>
            <w:r>
              <w:rPr>
                <w:rFonts w:ascii="Arial" w:cs="Arial" w:eastAsia="Arial" w:hAnsi="Arial"/>
                <w:sz w:val="18"/>
                <w:szCs w:val="18"/>
                <w:color w:val="auto"/>
                <w:w w:val="96"/>
              </w:rPr>
              <w:t>September 30, 2018, December 31, 2017 and December 31,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32,840</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79,830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96,745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91,663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Refinitiv market data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13,467</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50,564</w:t>
            </w: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2,148</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Gross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8"/>
                <w:szCs w:val="18"/>
                <w:color w:val="auto"/>
              </w:rPr>
              <w:t>Contingent consideration to related parties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(26,224)</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80,436</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228,584</w:t>
            </w: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33,020</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48,808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80,859</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General and administrative including from related parties of $180, $539,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$719 and $740 in the period ended December 31,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September 30, 2018, December 31, 2017 and December 31,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11,837</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27,392</w:t>
            </w:r>
          </w:p>
        </w:tc>
        <w:tc>
          <w:tcPr>
            <w:tcW w:w="0" w:type="dxa"/>
            <w:vAlign w:val="bottom"/>
          </w:tcPr>
          <w:p>
            <w:pPr>
              <w:spacing w:after="0"/>
              <w:rPr>
                <w:sz w:val="1"/>
                <w:szCs w:val="1"/>
                <w:color w:val="auto"/>
              </w:rPr>
            </w:pPr>
          </w:p>
        </w:tc>
      </w:tr>
      <w:tr>
        <w:trPr>
          <w:trHeight w:val="202"/>
        </w:trPr>
        <w:tc>
          <w:tcPr>
            <w:tcW w:w="5580" w:type="dxa"/>
            <w:vAlign w:val="bottom"/>
          </w:tcPr>
          <w:p>
            <w:pPr>
              <w:ind w:left="200"/>
              <w:spacing w:after="0" w:line="201" w:lineRule="exact"/>
              <w:rPr>
                <w:sz w:val="20"/>
                <w:szCs w:val="20"/>
                <w:color w:val="auto"/>
              </w:rPr>
            </w:pPr>
            <w:r>
              <w:rPr>
                <w:rFonts w:ascii="Arial" w:cs="Arial" w:eastAsia="Arial" w:hAnsi="Arial"/>
                <w:sz w:val="18"/>
                <w:szCs w:val="18"/>
                <w:color w:val="auto"/>
                <w:w w:val="94"/>
              </w:rPr>
              <w:t>Technology and communications including from related parties of $740,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80"/>
              <w:spacing w:after="0"/>
              <w:rPr>
                <w:sz w:val="20"/>
                <w:szCs w:val="20"/>
                <w:color w:val="auto"/>
              </w:rPr>
            </w:pPr>
            <w:r>
              <w:rPr>
                <w:rFonts w:ascii="Arial" w:cs="Arial" w:eastAsia="Arial" w:hAnsi="Arial"/>
                <w:sz w:val="18"/>
                <w:szCs w:val="18"/>
                <w:color w:val="auto"/>
                <w:w w:val="95"/>
              </w:rPr>
              <w:t>$2,220, $2,960 and $2,960 in the period ended December 31,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80"/>
              <w:spacing w:after="0"/>
              <w:rPr>
                <w:sz w:val="20"/>
                <w:szCs w:val="20"/>
                <w:color w:val="auto"/>
              </w:rPr>
            </w:pPr>
            <w:r>
              <w:rPr>
                <w:rFonts w:ascii="Arial" w:cs="Arial" w:eastAsia="Arial" w:hAnsi="Arial"/>
                <w:sz w:val="18"/>
                <w:szCs w:val="18"/>
                <w:color w:val="auto"/>
                <w:w w:val="96"/>
              </w:rPr>
              <w:t>September 30, 2018, December 31, 2017 and December 31, 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9,907</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26,598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8,194</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18,158</w:t>
            </w:r>
          </w:p>
        </w:tc>
        <w:tc>
          <w:tcPr>
            <w:tcW w:w="0" w:type="dxa"/>
            <w:vAlign w:val="bottom"/>
          </w:tcPr>
          <w:p>
            <w:pPr>
              <w:spacing w:after="0"/>
              <w:rPr>
                <w:sz w:val="1"/>
                <w:szCs w:val="1"/>
                <w:color w:val="auto"/>
              </w:rPr>
            </w:pPr>
          </w:p>
        </w:tc>
      </w:tr>
      <w:tr>
        <w:trPr>
          <w:trHeight w:val="202"/>
        </w:trPr>
        <w:tc>
          <w:tcPr>
            <w:tcW w:w="5580" w:type="dxa"/>
            <w:vAlign w:val="bottom"/>
          </w:tcPr>
          <w:p>
            <w:pPr>
              <w:ind w:left="200"/>
              <w:spacing w:after="0" w:line="201" w:lineRule="exact"/>
              <w:rPr>
                <w:sz w:val="20"/>
                <w:szCs w:val="20"/>
                <w:color w:val="auto"/>
              </w:rPr>
            </w:pPr>
            <w:r>
              <w:rPr>
                <w:rFonts w:ascii="Arial" w:cs="Arial" w:eastAsia="Arial" w:hAnsi="Arial"/>
                <w:sz w:val="18"/>
                <w:szCs w:val="18"/>
                <w:color w:val="auto"/>
                <w:w w:val="93"/>
              </w:rPr>
              <w:t>Occupancy including from related parties of $155, $466, $621 and $600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80"/>
              <w:spacing w:after="0"/>
              <w:rPr>
                <w:sz w:val="20"/>
                <w:szCs w:val="20"/>
                <w:color w:val="auto"/>
              </w:rPr>
            </w:pPr>
            <w:r>
              <w:rPr>
                <w:rFonts w:ascii="Arial" w:cs="Arial" w:eastAsia="Arial" w:hAnsi="Arial"/>
                <w:sz w:val="18"/>
                <w:szCs w:val="18"/>
                <w:color w:val="auto"/>
              </w:rPr>
              <w:t>in the period ended December 31, 2018, September 30,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80"/>
              <w:spacing w:after="0"/>
              <w:rPr>
                <w:sz w:val="20"/>
                <w:szCs w:val="20"/>
                <w:color w:val="auto"/>
              </w:rPr>
            </w:pPr>
            <w:r>
              <w:rPr>
                <w:rFonts w:ascii="Arial" w:cs="Arial" w:eastAsia="Arial" w:hAnsi="Arial"/>
                <w:sz w:val="18"/>
                <w:szCs w:val="18"/>
                <w:color w:val="auto"/>
              </w:rPr>
              <w:t>December 31, 2017 and December 31, 2016,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3,308</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15,817</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8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w w:val="94"/>
              </w:rPr>
              <w:t>Interest income including from related parties of $17, $34, $40 and $80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 the period ended December 31, 2018, September 30,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December 31, 2017 and December 31, 2016,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8"/>
                <w:szCs w:val="18"/>
                <w:color w:val="auto"/>
              </w:rPr>
              <w:t>Interest expense from related parties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(3,415)</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income per share (Note 18)</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222,221,628</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215,365,920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212,568,635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210,979,704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222,243,851</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215,365,920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212,568,635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210,979,704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Members’ Capital and Accumulated Other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2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Members’</w:t>
            </w:r>
          </w:p>
        </w:tc>
        <w:tc>
          <w:tcPr>
            <w:tcW w:w="1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Predecessor</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1,079,417</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(11,473)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1,067,944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93,161</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(4,679)</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93,161</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Class C Shares and Class P(C) Shares in mezzanine capital</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Capital distributions</w:t>
            </w: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1,040,911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83,648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Adjustment to Class C Shares and Class P(C) Shares in mezzanine capital</w:t>
            </w: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contributions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Capital distributions</w:t>
            </w: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(152,000)</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2017</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999,735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(3,064)</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Adjustment to Class C Shares and Class P(C) Shares in mezzanine capital</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 of contingent consideration</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150,495</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Capital distributions</w:t>
            </w: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(139,350)</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(139,350)</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capital at September 30, 2018</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1,141,496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4"/>
                <w:szCs w:val="24"/>
                <w:color w:val="auto"/>
              </w:rPr>
            </w:pPr>
          </w:p>
        </w:tc>
        <w:tc>
          <w:tcPr>
            <w:tcW w:w="12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Members’</w:t>
            </w:r>
          </w:p>
        </w:tc>
        <w:tc>
          <w:tcPr>
            <w:tcW w:w="1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Successor</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Members’ capital at October 1, 2018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4,562,154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4,562,154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29,307</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29,307</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Class C Shares and Class P(C) Shares in mezzanine capital</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Conversion of certain cash-settled PRSUs to equity settled PRSUs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19,072</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19,072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distributions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2018</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4,573,200</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4,572,334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5"/>
              </w:rPr>
              <w:t>Predecessor</w:t>
            </w: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5"/>
              </w:rPr>
              <w:t>Predecessor</w:t>
            </w:r>
          </w:p>
        </w:tc>
        <w:tc>
          <w:tcPr>
            <w:tcW w:w="2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40" w:type="dxa"/>
            <w:vAlign w:val="bottom"/>
            <w:tcBorders>
              <w:lef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113"/>
              <w:spacing w:after="0" w:line="119" w:lineRule="exact"/>
              <w:rPr>
                <w:sz w:val="20"/>
                <w:szCs w:val="20"/>
                <w:color w:val="auto"/>
              </w:rPr>
            </w:pPr>
            <w:r>
              <w:rPr>
                <w:rFonts w:ascii="Arial" w:cs="Arial" w:eastAsia="Arial" w:hAnsi="Arial"/>
                <w:sz w:val="13"/>
                <w:szCs w:val="13"/>
                <w:b w:val="1"/>
                <w:bCs w:val="1"/>
                <w:color w:val="auto"/>
                <w:w w:val="99"/>
              </w:rPr>
              <w:t>October 1,</w:t>
            </w:r>
          </w:p>
        </w:tc>
        <w:tc>
          <w:tcPr>
            <w:tcW w:w="220" w:type="dxa"/>
            <w:vAlign w:val="bottom"/>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w w:val="99"/>
              </w:rPr>
              <w:t>January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2018 to</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2018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left w:val="single" w:sz="8" w:color="auto"/>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29,307</w:t>
            </w:r>
          </w:p>
        </w:tc>
        <w:tc>
          <w:tcPr>
            <w:tcW w:w="400" w:type="dxa"/>
            <w:vAlign w:val="bottom"/>
            <w:tcBorders>
              <w:left w:val="single" w:sz="8" w:color="auto"/>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130,160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83,648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income to net cash provided by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tcBorders>
              <w:lef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33,020</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48,808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80,859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26,224</w:t>
            </w: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Vesting of P-1(C) Shares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(Increase) decrease in operating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Receivable from brokers and dealers and clearing</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organizations</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(169,949)</w:t>
            </w:r>
          </w:p>
        </w:tc>
        <w:tc>
          <w:tcPr>
            <w:tcW w:w="240" w:type="dxa"/>
            <w:vAlign w:val="bottom"/>
            <w:tcBorders>
              <w:lef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(4,324)</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4820" w:type="dxa"/>
            <w:vAlign w:val="bottom"/>
          </w:tcPr>
          <w:p>
            <w:pPr>
              <w:ind w:left="56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(2,248)</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8,085</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(18,683)</w:t>
            </w:r>
          </w:p>
        </w:tc>
        <w:tc>
          <w:tcPr>
            <w:tcW w:w="0" w:type="dxa"/>
            <w:vAlign w:val="bottom"/>
          </w:tcPr>
          <w:p>
            <w:pPr>
              <w:spacing w:after="0"/>
              <w:rPr>
                <w:sz w:val="1"/>
                <w:szCs w:val="1"/>
                <w:color w:val="auto"/>
              </w:rPr>
            </w:pPr>
          </w:p>
        </w:tc>
      </w:tr>
      <w:tr>
        <w:trPr>
          <w:trHeight w:val="216"/>
        </w:trPr>
        <w:tc>
          <w:tcPr>
            <w:tcW w:w="4820" w:type="dxa"/>
            <w:vAlign w:val="bottom"/>
          </w:tcPr>
          <w:p>
            <w:pPr>
              <w:ind w:left="560"/>
              <w:spacing w:after="0"/>
              <w:rPr>
                <w:sz w:val="20"/>
                <w:szCs w:val="20"/>
                <w:color w:val="auto"/>
              </w:rPr>
            </w:pPr>
            <w:r>
              <w:rPr>
                <w:rFonts w:ascii="Arial" w:cs="Arial" w:eastAsia="Arial" w:hAnsi="Arial"/>
                <w:sz w:val="18"/>
                <w:szCs w:val="18"/>
                <w:color w:val="auto"/>
              </w:rPr>
              <w:t>Receivable from affiliates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(4,695)</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Increase (decrease) in operating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Payable to brokers and dealers and clearing</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organizations</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171,214</w:t>
            </w:r>
          </w:p>
        </w:tc>
        <w:tc>
          <w:tcPr>
            <w:tcW w:w="240" w:type="dxa"/>
            <w:vAlign w:val="bottom"/>
            <w:tcBorders>
              <w:lef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4820" w:type="dxa"/>
            <w:vAlign w:val="bottom"/>
          </w:tcPr>
          <w:p>
            <w:pPr>
              <w:ind w:left="56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38,368</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12,364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02"/>
        </w:trPr>
        <w:tc>
          <w:tcPr>
            <w:tcW w:w="4820" w:type="dxa"/>
            <w:vAlign w:val="bottom"/>
          </w:tcPr>
          <w:p>
            <w:pPr>
              <w:ind w:left="560"/>
              <w:spacing w:after="0" w:line="201" w:lineRule="exact"/>
              <w:rPr>
                <w:sz w:val="20"/>
                <w:szCs w:val="20"/>
                <w:color w:val="auto"/>
              </w:rPr>
            </w:pPr>
            <w:r>
              <w:rPr>
                <w:rFonts w:ascii="Arial" w:cs="Arial" w:eastAsia="Arial" w:hAnsi="Arial"/>
                <w:sz w:val="18"/>
                <w:szCs w:val="18"/>
                <w:color w:val="auto"/>
              </w:rPr>
              <w:t>Accounts payable, accrued expenses and other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7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2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8,793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(3,826)</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Employee equity compensation payable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9,345</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4820" w:type="dxa"/>
            <w:vAlign w:val="bottom"/>
          </w:tcPr>
          <w:p>
            <w:pPr>
              <w:ind w:left="560"/>
              <w:spacing w:after="0"/>
              <w:rPr>
                <w:sz w:val="20"/>
                <w:szCs w:val="20"/>
                <w:color w:val="auto"/>
              </w:rPr>
            </w:pPr>
            <w:r>
              <w:rPr>
                <w:rFonts w:ascii="Arial" w:cs="Arial" w:eastAsia="Arial" w:hAnsi="Arial"/>
                <w:sz w:val="18"/>
                <w:szCs w:val="18"/>
                <w:color w:val="auto"/>
              </w:rPr>
              <w:t>Payable to affiliates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(1,209)</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left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Purchase of furniture, equipment, software and leasehold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improvements</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(9,090)</w:t>
            </w:r>
          </w:p>
        </w:tc>
        <w:tc>
          <w:tcPr>
            <w:tcW w:w="240" w:type="dxa"/>
            <w:vAlign w:val="bottom"/>
            <w:tcBorders>
              <w:lef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(13,461)</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(7,156)</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(19,523)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(27,157)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acquisitions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left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 distributions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(36,000)</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Mezzanine capital contributions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Mezzanine capital distributions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(36,000)</w:t>
            </w:r>
          </w:p>
        </w:tc>
        <w:tc>
          <w:tcPr>
            <w:tcW w:w="220" w:type="dxa"/>
            <w:vAlign w:val="bottom"/>
            <w:tcBorders>
              <w:bottom w:val="single" w:sz="8" w:color="CCEEFF"/>
            </w:tcBorders>
          </w:tcPr>
          <w:p>
            <w:pPr>
              <w:spacing w:after="0"/>
              <w:rPr>
                <w:sz w:val="18"/>
                <w:szCs w:val="18"/>
                <w:color w:val="auto"/>
              </w:rPr>
            </w:pPr>
          </w:p>
        </w:tc>
        <w:tc>
          <w:tcPr>
            <w:tcW w:w="240" w:type="dxa"/>
            <w:vAlign w:val="bottom"/>
            <w:tcBorders>
              <w:left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(153,461)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20" w:type="dxa"/>
            <w:vAlign w:val="bottom"/>
            <w:shd w:val="clear" w:color="auto" w:fill="CCEEFF"/>
          </w:tcPr>
          <w:p>
            <w:pPr>
              <w:ind w:left="740"/>
              <w:spacing w:after="0" w:line="182" w:lineRule="exact"/>
              <w:rPr>
                <w:sz w:val="20"/>
                <w:szCs w:val="20"/>
                <w:color w:val="auto"/>
              </w:rPr>
            </w:pPr>
            <w:r>
              <w:rPr>
                <w:rFonts w:ascii="Arial" w:cs="Arial" w:eastAsia="Arial" w:hAnsi="Arial"/>
                <w:sz w:val="18"/>
                <w:szCs w:val="18"/>
                <w:color w:val="auto"/>
              </w:rPr>
              <w:t>Effect of exchange rate changes on cash and cash</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lef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equivalents</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240" w:type="dxa"/>
            <w:vAlign w:val="bottom"/>
            <w:tcBorders>
              <w:lef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3,157</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0"/>
        </w:trPr>
        <w:tc>
          <w:tcPr>
            <w:tcW w:w="4820" w:type="dxa"/>
            <w:vAlign w:val="bottom"/>
          </w:tcPr>
          <w:p>
            <w:pPr>
              <w:ind w:left="740"/>
              <w:spacing w:after="0"/>
              <w:rPr>
                <w:sz w:val="20"/>
                <w:szCs w:val="20"/>
                <w:color w:val="auto"/>
              </w:rPr>
            </w:pPr>
            <w:r>
              <w:rPr>
                <w:rFonts w:ascii="Arial" w:cs="Arial" w:eastAsia="Arial" w:hAnsi="Arial"/>
                <w:sz w:val="18"/>
                <w:szCs w:val="18"/>
                <w:color w:val="auto"/>
                <w:w w:val="94"/>
              </w:rPr>
              <w:t>Net increase (decrease) in cash and cash equivalents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59,921</w:t>
            </w:r>
          </w:p>
        </w:tc>
        <w:tc>
          <w:tcPr>
            <w:tcW w:w="2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Beginning of period</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351,383</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353,798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325,074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340,515</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Predecessor</w:t>
            </w: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5"/>
              </w:rPr>
              <w:t>Predecessor</w:t>
            </w:r>
          </w:p>
        </w:tc>
        <w:tc>
          <w:tcPr>
            <w:tcW w:w="2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40" w:type="dxa"/>
            <w:vAlign w:val="bottom"/>
            <w:tcBorders>
              <w:lef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October 1,</w:t>
            </w:r>
          </w:p>
        </w:tc>
        <w:tc>
          <w:tcPr>
            <w:tcW w:w="220" w:type="dxa"/>
            <w:vAlign w:val="bottom"/>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January 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2018 to</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2018 to</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left w:val="single" w:sz="8" w:color="auto"/>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paid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2,659</w:t>
            </w:r>
          </w:p>
        </w:tc>
        <w:tc>
          <w:tcPr>
            <w:tcW w:w="400" w:type="dxa"/>
            <w:vAlign w:val="bottom"/>
            <w:tcBorders>
              <w:lef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Supplemental disclosure of non-cash investing and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financing information</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tcBorders>
              <w:lef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Vesting of contingent consideration to Class P-1(A) Shares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150,495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convertible term note payable to Thomson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Reuters to Class A Shares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Conversion of certain cash-settled PRSUs to equity settled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PRSUs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19,072</w:t>
            </w:r>
          </w:p>
        </w:tc>
        <w:tc>
          <w:tcPr>
            <w:tcW w:w="400" w:type="dxa"/>
            <w:vAlign w:val="bottom"/>
            <w:tcBorders>
              <w:lef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assets and liabilities from application of</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pushdown accounting (Note 3)</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tcBorders>
              <w:lef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that sum to the amounts shown in the consolidated statements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5"/>
              </w:rPr>
              <w:t>Predecessor</w:t>
            </w: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Predecessor</w:t>
            </w:r>
          </w:p>
        </w:tc>
        <w:tc>
          <w:tcPr>
            <w:tcW w:w="2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40" w:type="dxa"/>
            <w:vAlign w:val="bottom"/>
            <w:tcBorders>
              <w:lef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122"/>
              <w:spacing w:after="0" w:line="119" w:lineRule="exact"/>
              <w:rPr>
                <w:sz w:val="20"/>
                <w:szCs w:val="20"/>
                <w:color w:val="auto"/>
              </w:rPr>
            </w:pPr>
            <w:r>
              <w:rPr>
                <w:rFonts w:ascii="Arial" w:cs="Arial" w:eastAsia="Arial" w:hAnsi="Arial"/>
                <w:sz w:val="13"/>
                <w:szCs w:val="13"/>
                <w:b w:val="1"/>
                <w:bCs w:val="1"/>
                <w:color w:val="auto"/>
                <w:w w:val="99"/>
              </w:rPr>
              <w:t>October 1,</w:t>
            </w:r>
          </w:p>
        </w:tc>
        <w:tc>
          <w:tcPr>
            <w:tcW w:w="220" w:type="dxa"/>
            <w:vAlign w:val="bottom"/>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102"/>
              <w:spacing w:after="0" w:line="119" w:lineRule="exact"/>
              <w:rPr>
                <w:sz w:val="20"/>
                <w:szCs w:val="20"/>
                <w:color w:val="auto"/>
              </w:rPr>
            </w:pPr>
            <w:r>
              <w:rPr>
                <w:rFonts w:ascii="Arial" w:cs="Arial" w:eastAsia="Arial" w:hAnsi="Arial"/>
                <w:sz w:val="13"/>
                <w:szCs w:val="13"/>
                <w:b w:val="1"/>
                <w:bCs w:val="1"/>
                <w:color w:val="auto"/>
                <w:w w:val="99"/>
              </w:rPr>
              <w:t>January 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2018 to</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2018 to</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left w:val="single" w:sz="8" w:color="auto"/>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410,104</w:t>
            </w:r>
          </w:p>
        </w:tc>
        <w:tc>
          <w:tcPr>
            <w:tcW w:w="220" w:type="dxa"/>
            <w:vAlign w:val="bottom"/>
            <w:shd w:val="clear" w:color="auto" w:fill="CCEEFF"/>
          </w:tcPr>
          <w:p>
            <w:pPr>
              <w:spacing w:after="0"/>
              <w:rPr>
                <w:sz w:val="18"/>
                <w:szCs w:val="18"/>
                <w:color w:val="auto"/>
              </w:rPr>
            </w:pP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Tradeweb Markets LLC (the “Company”) is a leader in building and operating electronic marketplaces for a global network of clients across the institutional, wholesale and retail client sectors. The Company, a Delaware limited liability company, is a consolidating subsidiary of BCP York Holdings (“BCP”), a company owned by certain investment funds affiliated with The Blackstone Group L.P., through BCP’s majority ownership interest in King (Cayman) Holdings Ltd. (“Refinitiv” or the “Parent”). Refinitiv owns a majority ownership in the Company. A minority interest of the Company is owned by a group of investment and commercial banks (the “Banks”).</w:t>
      </w:r>
    </w:p>
    <w:p>
      <w:pPr>
        <w:spacing w:after="0" w:line="18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 majority interest of Refinitiv (formerly the Thomson Reuters Financial &amp; Risk Business) was acquired by BCP on October 1, 2018 (the “Refinitiv Transaction”) from Thomson Reuters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87" w:lineRule="exact"/>
        <w:rPr>
          <w:sz w:val="20"/>
          <w:szCs w:val="20"/>
          <w:color w:val="auto"/>
        </w:rPr>
      </w:pPr>
    </w:p>
    <w:p>
      <w:pPr>
        <w:ind w:left="700" w:hanging="32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successor period, reflecting the Refinitiv Transaction, from October 1, 2018 to December 31, 2018.</w:t>
      </w:r>
    </w:p>
    <w:p>
      <w:pPr>
        <w:spacing w:after="0" w:line="225" w:lineRule="exact"/>
        <w:rPr>
          <w:rFonts w:ascii="Arial" w:cs="Arial" w:eastAsia="Arial" w:hAnsi="Arial"/>
          <w:sz w:val="18"/>
          <w:szCs w:val="18"/>
          <w:color w:val="auto"/>
        </w:rPr>
      </w:pPr>
    </w:p>
    <w:p>
      <w:pPr>
        <w:ind w:left="700" w:hanging="32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predecessor period of the Company from January 1, 2018 to September 30, 2018.</w:t>
      </w:r>
    </w:p>
    <w:p>
      <w:pPr>
        <w:spacing w:after="0" w:line="225" w:lineRule="exact"/>
        <w:rPr>
          <w:rFonts w:ascii="Arial" w:cs="Arial" w:eastAsia="Arial" w:hAnsi="Arial"/>
          <w:sz w:val="18"/>
          <w:szCs w:val="18"/>
          <w:color w:val="auto"/>
        </w:rPr>
      </w:pPr>
    </w:p>
    <w:p>
      <w:pPr>
        <w:ind w:left="700" w:hanging="32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2017.</w:t>
      </w:r>
    </w:p>
    <w:p>
      <w:pPr>
        <w:spacing w:after="0" w:line="225" w:lineRule="exact"/>
        <w:rPr>
          <w:rFonts w:ascii="Arial" w:cs="Arial" w:eastAsia="Arial" w:hAnsi="Arial"/>
          <w:sz w:val="18"/>
          <w:szCs w:val="18"/>
          <w:color w:val="auto"/>
        </w:rPr>
      </w:pPr>
    </w:p>
    <w:p>
      <w:pPr>
        <w:ind w:left="700" w:hanging="32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through its subsidiary Tradeweb Global LLC (“TWG”), owns:</w:t>
      </w:r>
    </w:p>
    <w:p>
      <w:pPr>
        <w:spacing w:after="0" w:line="225" w:lineRule="exact"/>
        <w:rPr>
          <w:sz w:val="20"/>
          <w:szCs w:val="20"/>
          <w:color w:val="auto"/>
        </w:rPr>
      </w:pPr>
    </w:p>
    <w:p>
      <w:pPr>
        <w:ind w:left="740" w:right="60" w:hanging="369"/>
        <w:spacing w:after="0" w:line="264" w:lineRule="auto"/>
        <w:tabs>
          <w:tab w:leader="none" w:pos="7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1" w:lineRule="exact"/>
        <w:rPr>
          <w:rFonts w:ascii="Arial" w:cs="Arial" w:eastAsia="Arial" w:hAnsi="Arial"/>
          <w:sz w:val="18"/>
          <w:szCs w:val="18"/>
          <w:color w:val="auto"/>
        </w:rPr>
      </w:pPr>
    </w:p>
    <w:p>
      <w:pPr>
        <w:ind w:left="740" w:right="300" w:hanging="369"/>
        <w:spacing w:after="0" w:line="277" w:lineRule="auto"/>
        <w:tabs>
          <w:tab w:leader="none" w:pos="7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0" w:lineRule="exact"/>
        <w:rPr>
          <w:rFonts w:ascii="Arial" w:cs="Arial" w:eastAsia="Arial" w:hAnsi="Arial"/>
          <w:sz w:val="18"/>
          <w:szCs w:val="18"/>
          <w:color w:val="auto"/>
        </w:rPr>
      </w:pPr>
    </w:p>
    <w:p>
      <w:pPr>
        <w:ind w:left="700" w:hanging="32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700" w:hanging="32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25" w:lineRule="exact"/>
        <w:rPr>
          <w:rFonts w:ascii="Arial" w:cs="Arial" w:eastAsia="Arial" w:hAnsi="Arial"/>
          <w:sz w:val="18"/>
          <w:szCs w:val="18"/>
          <w:color w:val="auto"/>
        </w:rPr>
      </w:pPr>
    </w:p>
    <w:p>
      <w:pPr>
        <w:ind w:left="740" w:right="220" w:hanging="369"/>
        <w:spacing w:after="0" w:line="277" w:lineRule="auto"/>
        <w:tabs>
          <w:tab w:leader="none" w:pos="7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70" w:lineRule="exact"/>
        <w:rPr>
          <w:rFonts w:ascii="Arial" w:cs="Arial" w:eastAsia="Arial" w:hAnsi="Arial"/>
          <w:sz w:val="18"/>
          <w:szCs w:val="18"/>
          <w:color w:val="auto"/>
        </w:rPr>
      </w:pPr>
    </w:p>
    <w:p>
      <w:pPr>
        <w:ind w:left="740" w:right="420" w:hanging="369"/>
        <w:spacing w:after="0" w:line="277" w:lineRule="auto"/>
        <w:tabs>
          <w:tab w:leader="none" w:pos="70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January 2019, the Company received authorization from the Dutch Authority for Financial Markets (“AFM”) to operate Tradeweb EU B.V. (“TWEU”), a Trading Venue and Approved Publication Arrangement regulated by the AFM.</w:t>
      </w:r>
    </w:p>
    <w:p>
      <w:pPr>
        <w:spacing w:after="0" w:line="170"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FINRA. DW is also registered as an introducing broker with the CFTC and NFA.</w:t>
      </w:r>
    </w:p>
    <w:p>
      <w:pPr>
        <w:spacing w:after="0" w:line="18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On October 7, 2011, the Company acquired the assets of the RaffCap business. The acquisition was accounted for as a business combination and therefore the cost of the assets acquired and liabilities assumed by the Company, which consisted of intangible assets and goodwill, were accounted for at fair value.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300" w:firstLine="360"/>
        <w:spacing w:after="0" w:line="342" w:lineRule="auto"/>
        <w:rPr>
          <w:sz w:val="20"/>
          <w:szCs w:val="20"/>
          <w:color w:val="auto"/>
        </w:rPr>
      </w:pPr>
      <w:r>
        <w:rPr>
          <w:rFonts w:ascii="Arial" w:cs="Arial" w:eastAsia="Arial" w:hAnsi="Arial"/>
          <w:sz w:val="16"/>
          <w:szCs w:val="16"/>
          <w:color w:val="auto"/>
        </w:rPr>
        <w:t>On November 1, 2013, the Company acquired BondDesk Group LLC and subsidiaries (“BondDesk”). BondDesk’s subsidiary Tradeweb Direct LLC (“TWD”) (formerly known as BondDesk Trading LLC) is a registered broker-dealer under the Securities Exchange Act of 1934 and a member of FINRA.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financial statements have been presented in conformity with accounting principles generally accepted in the United States of America.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April 4, 2019, the Company’s limited liability company agreement (“LLC Agreement”) was amended and restated to, among other things, (i) provide for a single class of common membership interests in the Company (“LLC Interests”) and (ii) exchange all of the existing membership interests of the Company’s existing equityholders for LLC Interests. For purposes of calculating net income per share on the consolidated statements of income, the number of outstanding shares has been adjusted retroactively for all periods to reflect the above-mentioned amendment and resulting recapitalization (the “Recapitalization”). Other share amounts and related disclosures in the notes to the consolidated financial statements reflect the share classes and amounts prior to the Recapitalization unless otherwise indicated.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 Furniture, equipment, purchased software and leasehold improvements are tested for impairment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whenever events or changes in circumstances suggest that an asset’s carrying value may not be fully recoverable in accordance with Accounting Standards Codification (“ASC”) 360.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 contribute to such development. Once the product is ready for its intended use,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Goodwill is the excess of the fair value of the Company above the fair value accounting basis of the net assets and liabilities of the Company under pushdown accounting and is the cost of acquired companies in excess of the fair value of identifiable net assets at acquisition date. Goodwill is not amortized, but in accordance with ASC 350, goodwill is tested for impairment annually on July 1st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Costs</w:t>
      </w:r>
    </w:p>
    <w:p>
      <w:pPr>
        <w:spacing w:after="0" w:line="22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In 2018, the Company began incurring costs in connection with the filing of its Registration Statement on Form S-1, which are deferred in other assets in accordance with ASC 505-10-25, Equity — Recognition in the consolidated statements of financial condition. Initial public offering (“IPO”) costs consist of legal, accounting, and other costs directly related to the Company’s efforts to raise capital through an IPO. If the IPO becomes effective, these deferred costs will be offset against proceeds received from the offering and reclassified to equity on the consolidated statements of financial condition. Should the Company terminate or more than temporarily delay its planned offering, these costs will be expensed in the consolidated statements of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w:t>
      </w:r>
    </w:p>
    <w:p>
      <w:pPr>
        <w:spacing w:after="0" w:line="229"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 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16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8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On December 22, 2017, the President signed into law the Tax Cuts and Jobs Act (“TCJA”) effective for tax years ending after December 31, 2017. This legislation replaces the prior corporate tax rate structure with a flat 21% rate, effective in 2018. There were many other future impacts of the tax reform such as the repeal of the corporate alternative minimum tax rate, tax loss carryback and carryforward limitations. This legislation impacted the financial statements for the year ended December 31, 2017 by reducing the deferred tax asset by $1,982,000 as a result of the revaluation of the deferred tax asset based on the reduced federal corporate tax rate. During 2018 the Company finalized its calculations related to the impacts of the TCJA with no adjustment to the Company’s previously recorded provisional tax expense.</w:t>
      </w:r>
    </w:p>
    <w:p>
      <w:pPr>
        <w:spacing w:after="0" w:line="193"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The Company has elected to treat taxes due on future U.S. inclusions in taxable income under the GILTI provision as a current period expense when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earns transaction fees from transactions executed on the Company’s markets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87"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on the consolidated statements of income are viewer fees earned monthly from institutional investors accessing fixed income market data. The frequency of subscription fee billings varies from monthly until annually, depending on contract terms. Fees received by the Company which are not yet earned are included in deferred revenue on the consolidated statements of financial condition until the revenue recognition criteria has been met.</w:t>
      </w:r>
    </w:p>
    <w:p>
      <w:pPr>
        <w:spacing w:after="0" w:line="173"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related commission income for brokerage transactions are recorded on a trade-date basis, as if the transactions have settled. This income is received by the Company when the transactions settle or is billed monthly.</w:t>
      </w:r>
    </w:p>
    <w:p>
      <w:pPr>
        <w:spacing w:after="0" w:line="170"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166"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On January 1, 2018, the Company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the Company was required to make significant judgements for the Refinitiv market data fees. Significant judgements used in accounting for this contract include:</w:t>
      </w:r>
    </w:p>
    <w:p>
      <w:pPr>
        <w:spacing w:after="0" w:line="187" w:lineRule="exact"/>
        <w:rPr>
          <w:sz w:val="20"/>
          <w:szCs w:val="20"/>
          <w:color w:val="auto"/>
        </w:rPr>
      </w:pPr>
    </w:p>
    <w:p>
      <w:pPr>
        <w:ind w:left="700" w:hanging="32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740" w:right="180" w:hanging="369"/>
        <w:spacing w:after="0" w:line="277" w:lineRule="auto"/>
        <w:tabs>
          <w:tab w:leader="none" w:pos="70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740" w:right="40" w:hanging="369"/>
        <w:spacing w:after="0" w:line="264" w:lineRule="auto"/>
        <w:tabs>
          <w:tab w:leader="none" w:pos="706"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81" w:lineRule="exact"/>
        <w:rPr>
          <w:sz w:val="20"/>
          <w:szCs w:val="20"/>
          <w:color w:val="auto"/>
        </w:rPr>
      </w:pPr>
    </w:p>
    <w:p>
      <w:pPr>
        <w:ind w:right="260" w:firstLine="360"/>
        <w:spacing w:after="0" w:line="286" w:lineRule="auto"/>
        <w:rPr>
          <w:sz w:val="20"/>
          <w:szCs w:val="20"/>
          <w:color w:val="auto"/>
        </w:rPr>
      </w:pPr>
      <w:r>
        <w:rPr>
          <w:rFonts w:ascii="Arial" w:cs="Arial" w:eastAsia="Arial" w:hAnsi="Arial"/>
          <w:sz w:val="17"/>
          <w:szCs w:val="17"/>
          <w:color w:val="auto"/>
        </w:rPr>
        <w:t>Some commission and transaction fees earned by the Company have fixed fee components, such as monthly minimums or fixed monthly fees and variable components such as transaction based fees. The breakdown of revenues between fixed and variable revenues, in thousands, for October 1, 2018 to December 31, 2018, January 1, 2018 to September 30, 2018 and for the year ended December 31, 2017 and 2016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vMerge w:val="restart"/>
          </w:tcPr>
          <w:p>
            <w:pPr>
              <w:jc w:val="center"/>
              <w:ind w:left="460"/>
              <w:spacing w:after="0"/>
              <w:rPr>
                <w:sz w:val="20"/>
                <w:szCs w:val="20"/>
                <w:color w:val="auto"/>
              </w:rPr>
            </w:pPr>
            <w:r>
              <w:rPr>
                <w:rFonts w:ascii="Arial" w:cs="Arial" w:eastAsia="Arial" w:hAnsi="Arial"/>
                <w:sz w:val="14"/>
                <w:szCs w:val="14"/>
                <w:b w:val="1"/>
                <w:bCs w:val="1"/>
                <w:color w:val="auto"/>
                <w:w w:val="84"/>
              </w:rPr>
              <w:t>Successor</w:t>
            </w: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rPr>
              <w:t>October 1, 2018 to</w:t>
            </w: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5"/>
          </w:tcPr>
          <w:p>
            <w:pPr>
              <w:jc w:val="center"/>
              <w:ind w:right="340"/>
              <w:spacing w:after="0" w:line="119" w:lineRule="exact"/>
              <w:rPr>
                <w:sz w:val="20"/>
                <w:szCs w:val="20"/>
                <w:color w:val="auto"/>
              </w:rPr>
            </w:pPr>
            <w:r>
              <w:rPr>
                <w:rFonts w:ascii="Arial" w:cs="Arial" w:eastAsia="Arial" w:hAnsi="Arial"/>
                <w:sz w:val="13"/>
                <w:szCs w:val="13"/>
                <w:b w:val="1"/>
                <w:bCs w:val="1"/>
                <w:color w:val="auto"/>
              </w:rPr>
              <w:t>For the Year Ended</w:t>
            </w:r>
          </w:p>
        </w:tc>
        <w:tc>
          <w:tcPr>
            <w:tcW w:w="140" w:type="dxa"/>
            <w:vAlign w:val="bottom"/>
          </w:tcPr>
          <w:p>
            <w:pPr>
              <w:spacing w:after="0"/>
              <w:rPr>
                <w:sz w:val="10"/>
                <w:szCs w:val="10"/>
                <w:color w:val="auto"/>
              </w:rPr>
            </w:pPr>
          </w:p>
        </w:tc>
        <w:tc>
          <w:tcPr>
            <w:tcW w:w="1900" w:type="dxa"/>
            <w:vAlign w:val="bottom"/>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rPr>
              <w:t>For the 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Borders>
              <w:right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Pr>
          <w:p>
            <w:pPr>
              <w:spacing w:after="0"/>
              <w:rPr>
                <w:sz w:val="14"/>
                <w:szCs w:val="14"/>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19"/>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w w:val="95"/>
              </w:rPr>
              <w:t>(in thousands)</w:t>
            </w: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4"/>
                <w:szCs w:val="14"/>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210,198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Subscription fees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ind w:left="180"/>
              <w:spacing w:after="0"/>
              <w:rPr>
                <w:sz w:val="20"/>
                <w:szCs w:val="20"/>
                <w:color w:val="auto"/>
              </w:rPr>
            </w:pPr>
            <w:r>
              <w:rPr>
                <w:rFonts w:ascii="Arial" w:cs="Arial" w:eastAsia="Arial" w:hAnsi="Arial"/>
                <w:sz w:val="18"/>
                <w:szCs w:val="18"/>
                <w:color w:val="auto"/>
              </w:rPr>
              <w:t>including Refinitiv</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180"/>
              <w:spacing w:after="0"/>
              <w:rPr>
                <w:sz w:val="20"/>
                <w:szCs w:val="20"/>
                <w:color w:val="auto"/>
              </w:rPr>
            </w:pPr>
            <w:r>
              <w:rPr>
                <w:rFonts w:ascii="Arial" w:cs="Arial" w:eastAsia="Arial" w:hAnsi="Arial"/>
                <w:sz w:val="18"/>
                <w:szCs w:val="18"/>
                <w:color w:val="auto"/>
              </w:rPr>
              <w:t>market data fees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46,094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192,959</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1,496</w:t>
            </w: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190,487</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22,608</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49,367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39,627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54,194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37,469</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2,148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4,633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0"/>
        </w:trPr>
        <w:tc>
          <w:tcPr>
            <w:tcW w:w="2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81,804</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294,041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Company accounts for share-based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either as equity awards or as liability awards.</w:t>
      </w:r>
    </w:p>
    <w:p>
      <w:pPr>
        <w:spacing w:after="0" w:line="18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66"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Under ASC 718, the grant-date fair value of share based awards that do not require future service (i.e., vested awards) are expensed immediately. The grant-date fair value of share-based employee awards that require future service, and are graded-vesting awards, are amortized over the relevant service period on a straight-line basis, with each tranche separately measured. The grant-date fair value of share-based employee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65" w:lineRule="exact"/>
        <w:rPr>
          <w:sz w:val="20"/>
          <w:szCs w:val="20"/>
          <w:color w:val="auto"/>
        </w:rPr>
      </w:pPr>
    </w:p>
    <w:p>
      <w:pPr>
        <w:ind w:right="300" w:firstLine="360"/>
        <w:spacing w:after="0" w:line="302" w:lineRule="auto"/>
        <w:rPr>
          <w:sz w:val="20"/>
          <w:szCs w:val="20"/>
          <w:color w:val="auto"/>
        </w:rPr>
      </w:pPr>
      <w:r>
        <w:rPr>
          <w:rFonts w:ascii="Arial" w:cs="Arial" w:eastAsia="Arial" w:hAnsi="Arial"/>
          <w:sz w:val="16"/>
          <w:szCs w:val="16"/>
          <w:color w:val="auto"/>
        </w:rPr>
        <w:t>Determining the appropriate fair value model and calculating the fair value of the share-based payment awards requires the input of highly subjective assumptions, including the expected life of the share-based payment awards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154"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Company has elected to account for forfeitures when they occur. If in a reporting period a forfeiture occurs, any expenses already recognized relating to the forfeited awards in prior reporting periods are reversed in the current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Basic net income per share is computed by dividing the net income attributable to the Company’s shares by the weighted-average number of the Company’s shares outstanding during the period. For purposes of computing diluted net income per share, the weighted-average number of the Company’s shares reflects the dilutive effect that could occur if convertible securities were converted into or exercised for the Company’s shares using the treasury stock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8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237" w:lineRule="exact"/>
        <w:rPr>
          <w:sz w:val="20"/>
          <w:szCs w:val="20"/>
          <w:color w:val="auto"/>
        </w:rPr>
      </w:pPr>
    </w:p>
    <w:p>
      <w:pPr>
        <w:ind w:left="1020" w:right="440" w:hanging="647"/>
        <w:spacing w:after="0" w:line="277"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inputs that are both significant to the fair value measurement and unobservable.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financial instrument’s level within the fair value hierarchy is based on the lowest level of any input that is significant to the fair value measurement.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ASU2016-02 will be effective for the Company in the fiscal year beginning January 1, 2019. The new standard must be adopted using a modified retrospective transition. The Company will adopt the transition method provided by ASU 2018 — 11, Leases — Targeted Improvements, in which the Company will initially apply the new lease standard on the adoption date of January 1, 2019, recognizing the cumulative-effect adjustment to members’ capital. The Company is evaluating its current lease contracts and currently intends to use the package of practical expedients allowing entities to not reassess (i) whether any expired or existing contracts are or contain leases, (ii) the lease classification for any expired or existing leases and (iii) initial direct costs for any existing leases. The Company has not quantified the impact on its consolidated financial statements, but it anticipates an increase in the recognition of right-of-use assets and lease liabilities.</w:t>
      </w:r>
    </w:p>
    <w:p>
      <w:pPr>
        <w:spacing w:after="0" w:line="167"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In June 2016, the FASB issued ASU 2016-13, Financial Instruments — Credit Losses. This standard provided new guidance for estimating credit losses on certain types of financial instruments by introducing an approach based on expected losses. This guidance will be effective in the fiscal year beginning January 1, 2020. The Company is currently evaluating the impact of this standard on the Company’s consolidated financial statements.</w:t>
      </w:r>
    </w:p>
    <w:p>
      <w:pPr>
        <w:spacing w:after="0" w:line="166"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was adopted by the Company beginning on January 1, 2018. The adoption of this ASU did not have a material impact on the Company’s financial statements.</w:t>
      </w:r>
    </w:p>
    <w:p>
      <w:pPr>
        <w:spacing w:after="0" w:line="147"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In November 2016, the FASB issued ASU 2016-18, Statement of Cash Flows — Restricted Cash. This update requires that a statement of cash flows explain the change during the period in total cash, cash equivalents, and amounts generally described as restricted cash or restricted cash equivalents. The standard must be adopted using a retrospective transition method to each period presented. ASU 2016-18 was adopted by the Company beginning on January 1, 2018. The adoption resulted in the Company presenting a reconciliation of cash and cash equivalents and restricted cash that sum to the amounts shown in the consolidated statement of cash flows.</w:t>
      </w:r>
    </w:p>
    <w:p>
      <w:pPr>
        <w:spacing w:after="0" w:line="188"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 not anticipate the adoption of this ASU to have a material impact on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Pushdown Accounting</w:t>
      </w:r>
    </w:p>
    <w:p>
      <w:pPr>
        <w:spacing w:after="0" w:line="229"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to record the fair value of the assets and liabilities of Refinitiv on the date of the Refinitiv Transaction. The Company, as a consolidating subsidiary of Refinitiv, accounted for the Refinitiv Transaction using pushdown accounting. Under pushdown accounting, the excess of the fair value of the Company above the fair value accounting basis of the net assets and liabilities of the Company is recorded as goodwill.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fair value of assets acquired and liabilities assumed was determined based on assumptions that reasonable market participants would use in the principal (or most advantageous) market for the asset or liability. The following assumptions, the majority of which include significant unobservable inputs (Level 3), and valuation methodologies were used to determine fair value:</w:t>
      </w:r>
    </w:p>
    <w:p>
      <w:pPr>
        <w:spacing w:after="0" w:line="181" w:lineRule="exact"/>
        <w:rPr>
          <w:sz w:val="20"/>
          <w:szCs w:val="20"/>
          <w:color w:val="auto"/>
        </w:rPr>
      </w:pPr>
    </w:p>
    <w:p>
      <w:pPr>
        <w:ind w:left="740" w:right="200" w:hanging="369"/>
        <w:spacing w:after="0" w:line="264" w:lineRule="auto"/>
        <w:tabs>
          <w:tab w:leader="none" w:pos="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Licenses — The income approach: with or without method was used. Under this method, fair value is estimated based on income streams, such as cash flows or earnings, discounting to a present value. These discounted cash flows are calculated both with the asset and without the asset. The difference in the cash flows is discounted to the present value to determine the value of the asset.</w:t>
      </w:r>
    </w:p>
    <w:p>
      <w:pPr>
        <w:spacing w:after="0" w:line="181" w:lineRule="exact"/>
        <w:rPr>
          <w:rFonts w:ascii="Arial" w:cs="Arial" w:eastAsia="Arial" w:hAnsi="Arial"/>
          <w:sz w:val="18"/>
          <w:szCs w:val="18"/>
          <w:color w:val="auto"/>
        </w:rPr>
      </w:pPr>
    </w:p>
    <w:p>
      <w:pPr>
        <w:ind w:left="740" w:right="380" w:hanging="369"/>
        <w:spacing w:after="0" w:line="277" w:lineRule="auto"/>
        <w:tabs>
          <w:tab w:leader="none" w:pos="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Content and Data — The income approach: discounted cash flow method was used. Under this method, fair value is estimated based on income streams, such as cash flows or earnings, discounting to a present value.</w:t>
      </w:r>
    </w:p>
    <w:p>
      <w:pPr>
        <w:spacing w:after="0" w:line="170" w:lineRule="exact"/>
        <w:rPr>
          <w:rFonts w:ascii="Arial" w:cs="Arial" w:eastAsia="Arial" w:hAnsi="Arial"/>
          <w:sz w:val="18"/>
          <w:szCs w:val="18"/>
          <w:color w:val="auto"/>
        </w:rPr>
      </w:pPr>
    </w:p>
    <w:p>
      <w:pPr>
        <w:ind w:left="740" w:hanging="369"/>
        <w:spacing w:after="0" w:line="277" w:lineRule="auto"/>
        <w:tabs>
          <w:tab w:leader="none" w:pos="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Tradename and software development costs — The income approach: relief from royalty method was used. Under this method, the value of the asset is a function of several components:</w:t>
      </w:r>
    </w:p>
    <w:p>
      <w:pPr>
        <w:spacing w:after="0" w:line="170" w:lineRule="exact"/>
        <w:rPr>
          <w:rFonts w:ascii="Arial" w:cs="Arial" w:eastAsia="Arial" w:hAnsi="Arial"/>
          <w:sz w:val="18"/>
          <w:szCs w:val="18"/>
          <w:color w:val="auto"/>
        </w:rPr>
      </w:pPr>
    </w:p>
    <w:p>
      <w:pPr>
        <w:ind w:left="1060" w:hanging="326"/>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projected revenue attributable to the asset.</w:t>
      </w:r>
    </w:p>
    <w:p>
      <w:pPr>
        <w:spacing w:after="0" w:line="225" w:lineRule="exact"/>
        <w:rPr>
          <w:rFonts w:ascii="Arial" w:cs="Arial" w:eastAsia="Arial" w:hAnsi="Arial"/>
          <w:sz w:val="18"/>
          <w:szCs w:val="18"/>
          <w:color w:val="auto"/>
        </w:rPr>
      </w:pPr>
    </w:p>
    <w:p>
      <w:pPr>
        <w:ind w:left="1060" w:hanging="326"/>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expected economic life of the asset.</w:t>
      </w:r>
    </w:p>
    <w:p>
      <w:pPr>
        <w:spacing w:after="0" w:line="225" w:lineRule="exact"/>
        <w:rPr>
          <w:rFonts w:ascii="Arial" w:cs="Arial" w:eastAsia="Arial" w:hAnsi="Arial"/>
          <w:sz w:val="18"/>
          <w:szCs w:val="18"/>
          <w:color w:val="auto"/>
        </w:rPr>
      </w:pPr>
    </w:p>
    <w:p>
      <w:pPr>
        <w:ind w:left="1060" w:hanging="326"/>
        <w:spacing w:after="0"/>
        <w:tabs>
          <w:tab w:leader="none" w:pos="10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royalty rate, as a percentage of revenue that would hypothetically be charged by a licensor of the asset to an unrelated licensee.</w:t>
      </w:r>
    </w:p>
    <w:p>
      <w:pPr>
        <w:spacing w:after="0" w:line="236" w:lineRule="exact"/>
        <w:rPr>
          <w:rFonts w:ascii="Arial" w:cs="Arial" w:eastAsia="Arial" w:hAnsi="Arial"/>
          <w:sz w:val="17"/>
          <w:szCs w:val="17"/>
          <w:color w:val="auto"/>
        </w:rPr>
      </w:pPr>
    </w:p>
    <w:p>
      <w:pPr>
        <w:ind w:left="1060" w:hanging="326"/>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discount rate that reflects the level of risk associated with the future income attributable to the asset.</w:t>
      </w:r>
    </w:p>
    <w:p>
      <w:pPr>
        <w:spacing w:after="0" w:line="225" w:lineRule="exact"/>
        <w:rPr>
          <w:rFonts w:ascii="Arial" w:cs="Arial" w:eastAsia="Arial" w:hAnsi="Arial"/>
          <w:sz w:val="18"/>
          <w:szCs w:val="18"/>
          <w:color w:val="auto"/>
        </w:rPr>
      </w:pPr>
    </w:p>
    <w:p>
      <w:pPr>
        <w:ind w:left="740" w:right="280" w:hanging="369"/>
        <w:spacing w:after="0" w:line="308" w:lineRule="auto"/>
        <w:tabs>
          <w:tab w:leader="none" w:pos="706" w:val="left"/>
        </w:tabs>
        <w:numPr>
          <w:ilvl w:val="0"/>
          <w:numId w:val="7"/>
        </w:numPr>
        <w:rPr>
          <w:rFonts w:ascii="Arial" w:cs="Arial" w:eastAsia="Arial" w:hAnsi="Arial"/>
          <w:sz w:val="17"/>
          <w:szCs w:val="17"/>
          <w:color w:val="auto"/>
        </w:rPr>
      </w:pPr>
      <w:r>
        <w:rPr>
          <w:rFonts w:ascii="Arial" w:cs="Arial" w:eastAsia="Arial" w:hAnsi="Arial"/>
          <w:sz w:val="17"/>
          <w:szCs w:val="17"/>
          <w:color w:val="auto"/>
        </w:rPr>
        <w:t>Customer relationships — The income approach: multi-period excess earnings method was used. Under this method, the economic benefit of the asset is measured indirectly by calculating the income attributable to an asset after contributory asset charges.</w:t>
      </w:r>
    </w:p>
    <w:p>
      <w:pPr>
        <w:spacing w:after="0" w:line="146" w:lineRule="exact"/>
        <w:rPr>
          <w:rFonts w:ascii="Arial" w:cs="Arial" w:eastAsia="Arial" w:hAnsi="Arial"/>
          <w:sz w:val="17"/>
          <w:szCs w:val="17"/>
          <w:color w:val="auto"/>
        </w:rPr>
      </w:pPr>
    </w:p>
    <w:p>
      <w:pPr>
        <w:ind w:left="740" w:right="260" w:hanging="369"/>
        <w:spacing w:after="0" w:line="277" w:lineRule="auto"/>
        <w:tabs>
          <w:tab w:leader="none" w:pos="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Leasehold improvements, furniture and purchased software — The cost approach was used. Under this method the assets are valued based on the cost to a market participant to acquire a substitute asset of comparable utility, adjusted for obsolescence.</w:t>
      </w:r>
    </w:p>
    <w:p>
      <w:pPr>
        <w:spacing w:after="0" w:line="170" w:lineRule="exact"/>
        <w:rPr>
          <w:rFonts w:ascii="Arial" w:cs="Arial" w:eastAsia="Arial" w:hAnsi="Arial"/>
          <w:sz w:val="18"/>
          <w:szCs w:val="18"/>
          <w:color w:val="auto"/>
        </w:rPr>
      </w:pPr>
    </w:p>
    <w:p>
      <w:pPr>
        <w:ind w:left="740" w:right="40" w:hanging="369"/>
        <w:spacing w:after="0" w:line="342" w:lineRule="auto"/>
        <w:tabs>
          <w:tab w:leader="none" w:pos="706"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Computer hardware and office equipment — The market approach was used. Under this method, the fair value of an asset reflects the price at which comparable assets are purchased under similar circumstances based on recent sales prices of similar assets in an arm’s-length transaction.</w:t>
      </w:r>
    </w:p>
    <w:p>
      <w:pPr>
        <w:spacing w:after="0" w:line="123" w:lineRule="exact"/>
        <w:rPr>
          <w:rFonts w:ascii="Arial" w:cs="Arial" w:eastAsia="Arial" w:hAnsi="Arial"/>
          <w:sz w:val="16"/>
          <w:szCs w:val="16"/>
          <w:color w:val="auto"/>
        </w:rPr>
      </w:pPr>
    </w:p>
    <w:p>
      <w:pPr>
        <w:ind w:left="740" w:right="400" w:hanging="369"/>
        <w:spacing w:after="0" w:line="277" w:lineRule="auto"/>
        <w:tabs>
          <w:tab w:leader="none" w:pos="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Leasehold interests — The income approach was used. Under this method, fair value is estimated based on cash flows, discounting to a present value.</w:t>
      </w:r>
    </w:p>
    <w:p>
      <w:pPr>
        <w:spacing w:after="0" w:line="170"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The amount and timing of future cash flows used in these approaches were based on the Company’s most recent financial forecasts as of the date of the Refinitiv Transaction. In preparing the purchase price allocations, the Company considered a report of a third-party valuation expert. The Company’s management is responsible for these internal and third-party valuations and appraisals and they are continuing to review the amounts and allocations to finalize these amounts. The Company has one year from the date of the Refinitiv Transaction to finalize these amounts.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tbl>
      <w:tblPr>
        <w:tblLayout w:type="fixed"/>
        <w:tblInd w:w="3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0" w:type="dxa"/>
            <w:vAlign w:val="bottom"/>
          </w:tcPr>
          <w:p>
            <w:pPr>
              <w:ind w:left="3720"/>
              <w:spacing w:after="0"/>
              <w:rPr>
                <w:sz w:val="20"/>
                <w:szCs w:val="20"/>
                <w:color w:val="auto"/>
              </w:rPr>
            </w:pPr>
            <w:r>
              <w:rPr>
                <w:rFonts w:ascii="Arial" w:cs="Arial" w:eastAsia="Arial" w:hAnsi="Arial"/>
                <w:sz w:val="18"/>
                <w:szCs w:val="18"/>
                <w:b w:val="1"/>
                <w:bCs w:val="1"/>
                <w:color w:val="auto"/>
              </w:rPr>
              <w:t>Tradeweb Markets LLC and Subsidiaries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0" w:type="dxa"/>
            <w:vAlign w:val="bottom"/>
          </w:tcPr>
          <w:p>
            <w:pPr>
              <w:ind w:left="3640"/>
              <w:spacing w:after="0"/>
              <w:rPr>
                <w:sz w:val="20"/>
                <w:szCs w:val="20"/>
                <w:color w:val="auto"/>
              </w:rPr>
            </w:pPr>
            <w:r>
              <w:rPr>
                <w:rFonts w:ascii="Arial" w:cs="Arial" w:eastAsia="Arial" w:hAnsi="Arial"/>
                <w:sz w:val="18"/>
                <w:szCs w:val="18"/>
                <w:b w:val="1"/>
                <w:bCs w:val="1"/>
                <w:color w:val="auto"/>
              </w:rPr>
              <w:t>Notes to Consolidated Financial Statements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The allocation applying pushdown accounting is summarized in the table below (in thousands):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Company</w:t>
            </w:r>
          </w:p>
        </w:tc>
        <w:tc>
          <w:tcPr>
            <w:tcW w:w="1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Less: fair value of the net assets and liabilities of the Company</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(1,880,203)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spacing w:after="0"/>
              <w:rPr>
                <w:sz w:val="20"/>
                <w:szCs w:val="20"/>
                <w:color w:val="auto"/>
              </w:rPr>
            </w:pPr>
            <w:r>
              <w:rPr>
                <w:rFonts w:ascii="Arial" w:cs="Arial" w:eastAsia="Arial" w:hAnsi="Arial"/>
                <w:sz w:val="18"/>
                <w:szCs w:val="18"/>
                <w:color w:val="auto"/>
              </w:rPr>
              <w:t>Net assets and liabilities of the Company at October 1, 2018:</w:t>
            </w: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Restricted cash</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Furniture, equipment, purchased software and leasehold improvements: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Computer hardware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software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Furniture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equipment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Tradename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154,300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Content and Data</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Licenses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2,091,439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Leasehold interests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Payable to affiliates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211,236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net assets and liabilities of the Company</w:t>
            </w:r>
          </w:p>
        </w:tc>
        <w:tc>
          <w:tcPr>
            <w:tcW w:w="1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1,880,203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Restricted Cash</w:t>
      </w:r>
    </w:p>
    <w:p>
      <w:pPr>
        <w:spacing w:after="0" w:line="22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December 31, 2018 and December 31, 2017, cash in the amount of $1,200,000 has been segregated in the PAB reserve account exceeding the requirements pursuant to SEC Rule 15c3-3.</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Receivable from and Payable to Brokers and Dealers and Clearing Organizations</w:t>
      </w:r>
    </w:p>
    <w:p>
      <w:pPr>
        <w:spacing w:after="0" w:line="229" w:lineRule="exact"/>
        <w:rPr>
          <w:sz w:val="20"/>
          <w:szCs w:val="20"/>
          <w:color w:val="auto"/>
        </w:rPr>
      </w:pPr>
    </w:p>
    <w:p>
      <w:pPr>
        <w:ind w:right="280" w:firstLine="360"/>
        <w:spacing w:after="0" w:line="342" w:lineRule="auto"/>
        <w:rPr>
          <w:sz w:val="20"/>
          <w:szCs w:val="20"/>
          <w:color w:val="auto"/>
        </w:rPr>
      </w:pPr>
      <w:r>
        <w:rPr>
          <w:rFonts w:ascii="Arial" w:cs="Arial" w:eastAsia="Arial" w:hAnsi="Arial"/>
          <w:sz w:val="16"/>
          <w:szCs w:val="16"/>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with Clearing Organizations</w:t>
      </w:r>
    </w:p>
    <w:p>
      <w:pPr>
        <w:spacing w:after="0" w:line="229"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Furniture, Equipment, Purchased Software and Leasehold Improvements</w:t>
      </w:r>
    </w:p>
    <w:p>
      <w:pPr>
        <w:spacing w:after="0" w:line="229"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The components of furniture, equipment, purchased software and leasehold improvements, net of accumulated depreciation and amortization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8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8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12,339</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2,968</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(3,036)</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(87,301)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line="201" w:lineRule="exact"/>
              <w:rPr>
                <w:sz w:val="20"/>
                <w:szCs w:val="20"/>
                <w:color w:val="auto"/>
              </w:rPr>
            </w:pPr>
            <w:r>
              <w:rPr>
                <w:rFonts w:ascii="Arial" w:cs="Arial" w:eastAsia="Arial" w:hAnsi="Arial"/>
                <w:sz w:val="18"/>
                <w:szCs w:val="18"/>
                <w:color w:val="auto"/>
                <w:w w:val="94"/>
              </w:rPr>
              <w:t>Furniture, equipment, purchased software and leasehold improvements, net of accumulated depreciation and</w:t>
            </w: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0" w:type="dxa"/>
            <w:vAlign w:val="bottom"/>
            <w:vMerge w:val="continue"/>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38,128</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27,031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60"/>
        <w:spacing w:after="0" w:line="308"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depreciation and amortization expense related to these assets was $3,094,000, $9,270,000, $11,959,000 and $12,910,000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Software Development Cost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left w:val="single" w:sz="8" w:color="auto"/>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175,656</w:t>
            </w:r>
          </w:p>
        </w:tc>
        <w:tc>
          <w:tcPr>
            <w:tcW w:w="140" w:type="dxa"/>
            <w:vAlign w:val="bottom"/>
            <w:shd w:val="clear" w:color="auto" w:fill="CCEEFF"/>
          </w:tcPr>
          <w:p>
            <w:pPr>
              <w:spacing w:after="0"/>
              <w:rPr>
                <w:sz w:val="18"/>
                <w:szCs w:val="18"/>
                <w:color w:val="auto"/>
              </w:rPr>
            </w:pPr>
          </w:p>
        </w:tc>
        <w:tc>
          <w:tcPr>
            <w:tcW w:w="14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(5,074)</w:t>
            </w:r>
          </w:p>
        </w:tc>
        <w:tc>
          <w:tcPr>
            <w:tcW w:w="14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(177,201)</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60"/>
        <w:spacing w:after="0" w:line="293" w:lineRule="auto"/>
        <w:rPr>
          <w:sz w:val="20"/>
          <w:szCs w:val="20"/>
          <w:color w:val="auto"/>
        </w:rPr>
      </w:pPr>
      <w:r>
        <w:rPr>
          <w:rFonts w:ascii="Arial" w:cs="Arial" w:eastAsia="Arial" w:hAnsi="Arial"/>
          <w:sz w:val="16"/>
          <w:szCs w:val="16"/>
          <w:color w:val="auto"/>
        </w:rPr>
        <w:t>For October 1, 2018 to December 31, 2018, January 1, 2018 to September 30, 2018 and for the years ended December 31, 2017 and 2016, software development costs totaling $7,156,000, $19,523,000, $27,157,000 and $25,351,000, respectively, were capitalized. In addition, on October 1, 2018, a fair value of $168,500,000 was assigned to software development costs of the Company as a result of the Refinitiv Transaction. Non-capitalized software costs and routine maintenance costs are expensed as incurred and are included in employee compensation and benefits and professional fees on the consolidated statements of income. For October 1, 2018 to December 31, 2018, January 1, 2018 to September 30, 2018 and for the years ended December 31, 2017 and 2016, amortization expense related to these assets was $5,074,000, $19,962,000, $25,420,000 and $26,824,000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w:t>
      </w:r>
    </w:p>
    <w:p>
      <w:pPr>
        <w:spacing w:after="0" w:line="22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Refinitiv Transaction,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179" w:lineRule="exact"/>
        <w:rPr>
          <w:sz w:val="20"/>
          <w:szCs w:val="20"/>
          <w:color w:val="auto"/>
        </w:rPr>
      </w:pPr>
    </w:p>
    <w:tbl>
      <w:tblPr>
        <w:tblLayout w:type="fixed"/>
        <w:tblInd w:w="3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Refinitiv Transaction</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2,694,797</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TR Acquisition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RaffCap Business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BondDesk</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2,694,797</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w w:val="95"/>
              </w:rPr>
              <w:t>The following is a summary of intangible assets which have an indefinite useful life (in thousands):</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Licences</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Tradename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154,300</w:t>
            </w:r>
          </w:p>
        </w:tc>
        <w:tc>
          <w:tcPr>
            <w:tcW w:w="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Net</w:t>
            </w:r>
          </w:p>
        </w:tc>
        <w:tc>
          <w:tcPr>
            <w:tcW w:w="2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2"/>
        </w:trPr>
        <w:tc>
          <w:tcPr>
            <w:tcW w:w="1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Customer</w:t>
            </w: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Refinitiv</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12 Years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908,862</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Content and data</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7 Years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154,400</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148,886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Customer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13 Years</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(155,270)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Customer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relationships —</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Arial" w:cs="Arial" w:eastAsia="Arial" w:hAnsi="Arial"/>
                <w:sz w:val="18"/>
                <w:szCs w:val="18"/>
                <w:color w:val="auto"/>
              </w:rPr>
              <w:t>DW</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11 Years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(42,348)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22,652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Customer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RaffCap</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12 Years</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rPr>
              <w:t>Customer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relationships —</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Arial" w:cs="Arial" w:eastAsia="Arial" w:hAnsi="Arial"/>
                <w:sz w:val="18"/>
                <w:szCs w:val="18"/>
                <w:color w:val="auto"/>
              </w:rPr>
              <w:t>BondDesk</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15 Years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(28,806)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75,194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Customer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10 Years</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Tradenames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10 Years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Liquidity contracts</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16 Years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1,082,600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1,057,748</w:t>
            </w: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(318,965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amortization expense relating to these assets was $24,852,000, $19,576,000, $31,236,000 and $41,125,000,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annual future amortization for existing intangibles assets through December 31, 2023 is as follows (in thousands):</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84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99,408</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99,408</w:t>
            </w: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99,408</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Revenue</w:t>
      </w:r>
    </w:p>
    <w:p>
      <w:pPr>
        <w:spacing w:after="0" w:line="229"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80"/>
              <w:spacing w:after="0" w:line="119" w:lineRule="exact"/>
              <w:rPr>
                <w:sz w:val="20"/>
                <w:szCs w:val="20"/>
                <w:color w:val="auto"/>
              </w:rPr>
            </w:pPr>
            <w:r>
              <w:rPr>
                <w:rFonts w:ascii="Arial" w:cs="Arial" w:eastAsia="Arial" w:hAnsi="Arial"/>
                <w:sz w:val="13"/>
                <w:szCs w:val="13"/>
                <w:b w:val="1"/>
                <w:bCs w:val="1"/>
                <w:color w:val="auto"/>
              </w:rPr>
              <w:t>October 1,</w:t>
            </w:r>
          </w:p>
        </w:tc>
        <w:tc>
          <w:tcPr>
            <w:tcW w:w="2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60"/>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60"/>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2018 to</w:t>
            </w: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2018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balance —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New billings</w:t>
            </w: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26,609</w:t>
            </w: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100,091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127,312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(27,006)</w:t>
            </w:r>
          </w:p>
        </w:tc>
        <w:tc>
          <w:tcPr>
            <w:tcW w:w="20" w:type="dxa"/>
            <w:vAlign w:val="bottom"/>
            <w:shd w:val="clear" w:color="auto" w:fill="000000"/>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(139,823)</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Deferred revenue balance —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27,883</w:t>
            </w:r>
          </w:p>
        </w:tc>
        <w:tc>
          <w:tcPr>
            <w:tcW w:w="22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Predecessor</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Federal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1,212</w:t>
            </w: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3,559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Deferred — Federal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w:t>
            </w:r>
          </w:p>
        </w:tc>
        <w:tc>
          <w:tcPr>
            <w:tcW w:w="10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right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w w:val="99"/>
              </w:rPr>
              <w:t>20</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680" w:type="dxa"/>
            <w:vAlign w:val="bottom"/>
          </w:tcPr>
          <w:p>
            <w:pPr>
              <w:spacing w:after="0" w:line="20" w:lineRule="exact"/>
              <w:rPr>
                <w:sz w:val="1"/>
                <w:szCs w:val="1"/>
                <w:color w:val="auto"/>
              </w:rPr>
            </w:pPr>
          </w:p>
        </w:tc>
        <w:tc>
          <w:tcPr>
            <w:tcW w:w="1900" w:type="dxa"/>
            <w:vAlign w:val="bottom"/>
            <w:gridSpan w:val="2"/>
            <w:vMerge w:val="restart"/>
          </w:tcPr>
          <w:p>
            <w:pPr>
              <w:jc w:val="center"/>
              <w:ind w:right="21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8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87"/>
              </w:rPr>
              <w:t>Predecessor</w:t>
            </w:r>
          </w:p>
        </w:tc>
        <w:tc>
          <w:tcPr>
            <w:tcW w:w="188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85"/>
              </w:rPr>
              <w:t>Predecessor</w:t>
            </w:r>
          </w:p>
        </w:tc>
        <w:tc>
          <w:tcPr>
            <w:tcW w:w="18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36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2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2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at statutory rate</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State and local taxes — net of federal benefit</w:t>
            </w:r>
          </w:p>
        </w:tc>
        <w:tc>
          <w:tcPr>
            <w:tcW w:w="1900" w:type="dxa"/>
            <w:vAlign w:val="bottom"/>
            <w:gridSpan w:val="2"/>
          </w:tcPr>
          <w:p>
            <w:pPr>
              <w:jc w:val="right"/>
              <w:ind w:right="50"/>
              <w:spacing w:after="0"/>
              <w:rPr>
                <w:sz w:val="20"/>
                <w:szCs w:val="20"/>
                <w:color w:val="auto"/>
              </w:rPr>
            </w:pPr>
            <w:r>
              <w:rPr>
                <w:rFonts w:ascii="Arial" w:cs="Arial" w:eastAsia="Arial" w:hAnsi="Arial"/>
                <w:sz w:val="18"/>
                <w:szCs w:val="18"/>
                <w:color w:val="auto"/>
              </w:rPr>
              <w:t>4.7%</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30"/>
              <w:spacing w:after="0"/>
              <w:rPr>
                <w:sz w:val="20"/>
                <w:szCs w:val="20"/>
                <w:color w:val="auto"/>
              </w:rPr>
            </w:pPr>
            <w:r>
              <w:rPr>
                <w:rFonts w:ascii="Arial" w:cs="Arial" w:eastAsia="Arial" w:hAnsi="Arial"/>
                <w:sz w:val="18"/>
                <w:szCs w:val="18"/>
                <w:color w:val="auto"/>
              </w:rPr>
              <w:t>5.1%</w:t>
            </w: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Tax Cuts and Jobs Act provisional tax charge</w:t>
            </w:r>
          </w:p>
        </w:tc>
        <w:tc>
          <w:tcPr>
            <w:tcW w:w="190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Effective tax rate</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the Company’s deferred tax assets (liabilities)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47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CCEEFF"/>
            </w:tcBorders>
          </w:tcPr>
          <w:p>
            <w:pPr>
              <w:spacing w:after="0"/>
              <w:rPr>
                <w:sz w:val="12"/>
                <w:szCs w:val="12"/>
                <w:color w:val="auto"/>
              </w:rPr>
            </w:pPr>
          </w:p>
        </w:tc>
        <w:tc>
          <w:tcPr>
            <w:tcW w:w="220" w:type="dxa"/>
            <w:vAlign w:val="bottom"/>
            <w:tcBorders>
              <w:left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(liabilities):</w:t>
            </w:r>
          </w:p>
        </w:tc>
        <w:tc>
          <w:tcPr>
            <w:tcW w:w="2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operating losses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6,810</w:t>
            </w:r>
          </w:p>
        </w:tc>
        <w:tc>
          <w:tcPr>
            <w:tcW w:w="38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(28,799)</w:t>
            </w:r>
          </w:p>
        </w:tc>
        <w:tc>
          <w:tcPr>
            <w:tcW w:w="2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2,362</w:t>
            </w:r>
          </w:p>
        </w:tc>
        <w:tc>
          <w:tcPr>
            <w:tcW w:w="2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 (liabilities)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left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December 31, 2018, the Company has federal, New York state and New York City net operating loss carryforwards for income tax purposes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$17,196,000, $24,449,000 and $22,654,000, respectively. If not utilized, the federal net operating loss carryforwards will begin to expire in 2032 and the state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local net operating loss carryforwards will begin to expire in 2035.</w:t>
      </w:r>
    </w:p>
    <w:p>
      <w:pPr>
        <w:spacing w:after="0" w:line="21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Company was audited by the City of New York (“NYC”) for the tax periods from 2011 — 2013 and TWG was audited for the tax periods 2009 — 2011. In 2018, NYC issued an assessment for the periods under audit. Furthermore, NYC has also requested an extension of the statute of limitations, for TWG for the years 2012 — 2014 and for the Company for 2014, as it will audit those periods as well.</w:t>
      </w:r>
    </w:p>
    <w:p>
      <w:pPr>
        <w:spacing w:after="0" w:line="181"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For October 1, 2018 to December 31, 2018 and January 1, 2018 to September 30, 2018, the Company recorded the additional tax, penalties and interest of $26,000 and $1,288,000, respectively, resulting from NYC UBT audit assessments. For the tax periods from 2012 — 2016, the Company has calculated and recorded a provision of $70,000 and $2,003,000 for October 1, 2018 to December 31, 2018 and January 1, 2018 to September 30, 2018, respectively, for the additional exposure based on the methodology from the UBT audit assessment. This provision is included in accounts payable, accrued expenses and other liabilities on the consolidated statement of financial condition and in provision for income taxes in the consolidated statement of income. This provision was made using the best estimate of the amount expected to be paid based on available information and assessment of all relevant factors. Due to the uncertainty associated with tax audits, it is possible that at some future date liabilities resulting from this audit could vary significantly from this provision. Nevertheless, based on currently enacted legislation and information currently known to us, the Company believes that the ultimate resolution of this audit will not have a material adverse impact on the Company’s financial condition taken as a whole.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Company’s issued and vested shares are as follows:</w:t>
      </w:r>
    </w:p>
    <w:p>
      <w:pPr>
        <w:spacing w:after="0" w:line="217"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6780" w:type="dxa"/>
            <w:vAlign w:val="bottom"/>
          </w:tcPr>
          <w:p>
            <w:pPr>
              <w:spacing w:after="0" w:line="20" w:lineRule="exact"/>
              <w:rPr>
                <w:sz w:val="1"/>
                <w:szCs w:val="1"/>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67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Number of Vested Shares Issued</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Class A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146,333</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Class P(A)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6,887</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Class P-1(A)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6,094</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Each outstanding Class A Share, Class P(A) Share, Class P-1(A) Share, Class C Share, Class P(C) Share and Class P-1(C) Share equally participates in the earnings of the Company. All of these shares cannot be transferred without approval by the Board of Managers of the Company, with the exception of transfers to certain related parties. Most of the Class A, Class P(A) and Class P-1(A) Shareholders have the right to appoint the members of the Board of Managers. The Class C , Class P(C) and Class P-1(C) Shareholders do not have the right to appoint members of the Board of Managers.</w:t>
      </w:r>
    </w:p>
    <w:p>
      <w:pPr>
        <w:spacing w:after="0" w:line="154"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As a result of the Recapitalization described in Note 2, all of the outstanding Class A Shares, Class P(A) Shares, Class P-1(A) Shares, Class C Shares, Class P(C) Shares and Class P-1(C) Shares of the Company were exchanged for 222,222,197 LLC Interests. The Company’s issued and vested shares adjusted retroactively for the Recapitalization, in their pre-exchange classes, are as follows at December 31, 2018 and 2017:</w:t>
      </w:r>
    </w:p>
    <w:p>
      <w:pPr>
        <w:spacing w:after="0" w:line="157"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6780" w:type="dxa"/>
            <w:vAlign w:val="bottom"/>
          </w:tcPr>
          <w:p>
            <w:pPr>
              <w:spacing w:after="0" w:line="20" w:lineRule="exact"/>
              <w:rPr>
                <w:sz w:val="1"/>
                <w:szCs w:val="1"/>
                <w:color w:val="auto"/>
              </w:rPr>
            </w:pPr>
          </w:p>
        </w:tc>
        <w:tc>
          <w:tcPr>
            <w:tcW w:w="18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67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Number of Vested Shares Issued</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Class A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203,245,361</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203,245,361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621,431</w:t>
            </w: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Class P(A)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9,565,659</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9,565,659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Class P-1(A)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8,464,589</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322,637</w:t>
            </w: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 Plans</w:t>
      </w:r>
    </w:p>
    <w:p>
      <w:pPr>
        <w:spacing w:after="0" w:line="229" w:lineRule="exact"/>
        <w:rPr>
          <w:sz w:val="20"/>
          <w:szCs w:val="20"/>
          <w:color w:val="auto"/>
        </w:rPr>
      </w:pPr>
    </w:p>
    <w:p>
      <w:pPr>
        <w:jc w:val="both"/>
        <w:ind w:right="500" w:firstLine="360"/>
        <w:spacing w:after="0" w:line="277" w:lineRule="auto"/>
        <w:rPr>
          <w:sz w:val="20"/>
          <w:szCs w:val="20"/>
          <w:color w:val="auto"/>
        </w:rPr>
      </w:pPr>
      <w:r>
        <w:rPr>
          <w:rFonts w:ascii="Arial" w:cs="Arial" w:eastAsia="Arial" w:hAnsi="Arial"/>
          <w:sz w:val="18"/>
          <w:szCs w:val="18"/>
          <w:color w:val="auto"/>
        </w:rPr>
        <w:t>The Company has a share-based incentive plan which provides for the grant of performance-based restricted share units (“PRSUs”), to encourage employees of the Company to participate in the long-term success of the Company.</w:t>
      </w:r>
    </w:p>
    <w:p>
      <w:pPr>
        <w:spacing w:after="0" w:line="170"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color w:val="auto"/>
        </w:rPr>
        <w:t>The Company’s outstanding PRSUs as of December 31, 2018 vest on January 1, 2019, 2020 and 2021. The final value of the PRSUs upon vesting is determined by a performance modifier, which is adjusted as a result of the financial performance of the Company in the grant year. If an employee’s employment with the Company is terminated, with the exception of retirement, all unvested PRSUs are forfeited.</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31, 2018, certain PRSUs, which previously were cash-settled, were converted to equity settled PRSUs. The conversion was at fair value, using a unit price consistent with the share price of the Company, and as a result of the impact of the performance modifier on PRSUs value, 1,033.2 cash-settled PRSUs were converted into the equivalent value of 1,442.2 equity settled PRSUs. Equity-settled PRSUs have vesting terms similar to the cash-settled PRSUs and are converted into shares of the Company on the February 1 following vesting. The shares received upon conversion are subject to certain selling restrictions including an underwriter’s lockup period if an IPO of the Company is effective or a restriction that the shares can only be sold to the Company in January or June, if there is not an effective IPO of the Company. As a result of the modification, which impacted 54 employees, the Company reclassified $19,072,000 from employee equity compensation payable to members’ capital.</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7" w:name="page28"/>
    <w:bookmarkEnd w:id="27"/>
    <w:p>
      <w:pPr>
        <w:jc w:val="center"/>
        <w:ind w:right="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reports the activity for equity-settled PRSUs issued by the Company:</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7840" w:type="dxa"/>
            <w:vAlign w:val="bottom"/>
            <w:gridSpan w:val="2"/>
            <w:vMerge w:val="continue"/>
          </w:tcPr>
          <w:p>
            <w:pPr>
              <w:spacing w:after="0"/>
              <w:rPr>
                <w:sz w:val="14"/>
                <w:szCs w:val="14"/>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rPr>
              <w:t>PRSUs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Value of PRSUs</w:t>
            </w:r>
          </w:p>
        </w:tc>
        <w:tc>
          <w:tcPr>
            <w:tcW w:w="0" w:type="dxa"/>
            <w:vAlign w:val="bottom"/>
          </w:tcPr>
          <w:p>
            <w:pPr>
              <w:spacing w:after="0"/>
              <w:rPr>
                <w:sz w:val="1"/>
                <w:szCs w:val="1"/>
                <w:color w:val="auto"/>
              </w:rPr>
            </w:pPr>
          </w:p>
        </w:tc>
      </w:tr>
      <w:tr>
        <w:trPr>
          <w:trHeight w:val="210"/>
        </w:trPr>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Converted to equity settled PRSUs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1,442.2</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reports the activity for equity-settled PRSUs issued by the Company adjusted retroactively for the Recapitalization described in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7840" w:type="dxa"/>
            <w:vAlign w:val="bottom"/>
            <w:gridSpan w:val="2"/>
            <w:vMerge w:val="continue"/>
          </w:tcPr>
          <w:p>
            <w:pPr>
              <w:spacing w:after="0"/>
              <w:rPr>
                <w:sz w:val="14"/>
                <w:szCs w:val="14"/>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rPr>
              <w:t>PRSUs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Value of PRSUs</w:t>
            </w:r>
          </w:p>
        </w:tc>
        <w:tc>
          <w:tcPr>
            <w:tcW w:w="0" w:type="dxa"/>
            <w:vAlign w:val="bottom"/>
          </w:tcPr>
          <w:p>
            <w:pPr>
              <w:spacing w:after="0"/>
              <w:rPr>
                <w:sz w:val="1"/>
                <w:szCs w:val="1"/>
                <w:color w:val="auto"/>
              </w:rPr>
            </w:pPr>
          </w:p>
        </w:tc>
      </w:tr>
      <w:tr>
        <w:trPr>
          <w:trHeight w:val="210"/>
        </w:trPr>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Converted to equity settled PRSUs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2,003,100</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2,003,100</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remaining PRSUs that are cash-settled are accounted for as liability awards. The Company measures the cost of employee services received in exchange for the award based on its current fair value. The fair value of each award is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reports the activity for cash-settled PRSUs issued by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Value of PRSUs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Predecessor</w:t>
            </w:r>
          </w:p>
        </w:tc>
        <w:tc>
          <w:tcPr>
            <w:tcW w:w="39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574.7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21,723</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Forfeited</w:t>
            </w:r>
          </w:p>
        </w:tc>
        <w:tc>
          <w:tcPr>
            <w:tcW w:w="5500" w:type="dxa"/>
            <w:vAlign w:val="bottom"/>
            <w:gridSpan w:val="3"/>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39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511.7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26,770</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39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29,609</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Exercised</w:t>
            </w:r>
          </w:p>
        </w:tc>
        <w:tc>
          <w:tcPr>
            <w:tcW w:w="5500" w:type="dxa"/>
            <w:vAlign w:val="bottom"/>
            <w:gridSpan w:val="3"/>
          </w:tcPr>
          <w:p>
            <w:pPr>
              <w:jc w:val="right"/>
              <w:ind w:right="120"/>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31,130</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September 30, 2018</w:t>
            </w:r>
          </w:p>
        </w:tc>
        <w:tc>
          <w:tcPr>
            <w:tcW w:w="396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38,017</w:t>
            </w:r>
          </w:p>
        </w:tc>
        <w:tc>
          <w:tcPr>
            <w:tcW w:w="100" w:type="dxa"/>
            <w:vAlign w:val="bottom"/>
            <w:tcBorders>
              <w:bottom w:val="single" w:sz="8" w:color="CCEEFF"/>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Successor</w:t>
            </w: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Converted to equity settled PRSUs</w:t>
            </w:r>
          </w:p>
        </w:tc>
        <w:tc>
          <w:tcPr>
            <w:tcW w:w="39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42,696</w:t>
            </w:r>
          </w:p>
        </w:tc>
        <w:tc>
          <w:tcPr>
            <w:tcW w:w="10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39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960" w:type="dxa"/>
            <w:vAlign w:val="bottom"/>
            <w:vMerge w:val="restart"/>
          </w:tcPr>
          <w:p>
            <w:pPr>
              <w:jc w:val="right"/>
              <w:ind w:right="2330"/>
              <w:spacing w:after="0"/>
              <w:rPr>
                <w:sz w:val="20"/>
                <w:szCs w:val="20"/>
                <w:color w:val="auto"/>
              </w:rPr>
            </w:pPr>
            <w:r>
              <w:rPr>
                <w:rFonts w:ascii="Arial" w:cs="Arial" w:eastAsia="Arial" w:hAnsi="Arial"/>
                <w:sz w:val="18"/>
                <w:szCs w:val="18"/>
                <w:color w:val="auto"/>
              </w:rPr>
              <w:t>23</w:t>
            </w: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Company maintains an Option Plan which was established to recruit and retain key employees, directors and consultants by providing such participating individuals with a proprietary interest in the performance of the Company. There are currently 13,912.7 shares reserved for issuance under the Option Plan. In October 2018, the Company made a special award of options under the Option Plan. The options have a graded vesting schedule with vesting dates of January 1, 2019, 2020, 2021 and 2022. Half of the options only vest if the Company achieves certain performance targets. All options expire ten years from the grant date.</w:t>
      </w:r>
    </w:p>
    <w:p>
      <w:pPr>
        <w:spacing w:after="0" w:line="188"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In accounting for the options issued under this plan, the Company measures and recognizes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the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members’ capital.</w:t>
      </w:r>
    </w:p>
    <w:p>
      <w:pPr>
        <w:spacing w:after="0" w:line="15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fair value of the options is calculated at the date of grant using the Black-Scholes model. The significant assumptions used to estimate the fair value of the options as of grant date are as follows: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3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Weighted Average Risk Free Interest Rate</w:t>
            </w:r>
          </w:p>
        </w:tc>
        <w:tc>
          <w:tcPr>
            <w:tcW w:w="3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2.94%</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Volatility</w:t>
            </w:r>
          </w:p>
        </w:tc>
        <w:tc>
          <w:tcPr>
            <w:tcW w:w="3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Weighted Average Expected Dividend Yield</w:t>
            </w:r>
          </w:p>
        </w:tc>
        <w:tc>
          <w:tcPr>
            <w:tcW w:w="3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3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25,657</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Exercise Price</w:t>
            </w:r>
          </w:p>
        </w:tc>
        <w:tc>
          <w:tcPr>
            <w:tcW w:w="3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28,594</w:t>
            </w: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reports the activity for options issued by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9"/>
              </w:rPr>
              <w:t>Intrinsic</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of Options</w:t>
            </w:r>
          </w:p>
        </w:tc>
        <w:tc>
          <w:tcPr>
            <w:tcW w:w="120" w:type="dxa"/>
            <w:vAlign w:val="bottom"/>
          </w:tcPr>
          <w:p>
            <w:pPr>
              <w:spacing w:after="0"/>
              <w:rPr>
                <w:sz w:val="14"/>
                <w:szCs w:val="14"/>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(years)</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13,025.8</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28,594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reports the activity for options issued by the Company adjusted retroactively for the Recapitalization described in Note 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9"/>
              </w:rPr>
              <w:t>Intrinsic</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of Options</w:t>
            </w:r>
          </w:p>
        </w:tc>
        <w:tc>
          <w:tcPr>
            <w:tcW w:w="120" w:type="dxa"/>
            <w:vAlign w:val="bottom"/>
          </w:tcPr>
          <w:p>
            <w:pPr>
              <w:spacing w:after="0"/>
              <w:rPr>
                <w:sz w:val="14"/>
                <w:szCs w:val="14"/>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(years)</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18,091,793</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20.59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18,091,793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were forfeited. All vested SARs were only exercisable during a specific period of the year and must have been exercised by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SARs is calculated at the date of grant and remeasurement date using an appropriate valuation model such as Black-Scholes.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the fair values of these awards are based on the estimated fair value at that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center"/>
        <w:ind w:right="-9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reports activity for the SARs issued by the Company:</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1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7840" w:type="dxa"/>
            <w:vAlign w:val="bottom"/>
            <w:gridSpan w:val="2"/>
            <w:vMerge w:val="continue"/>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of SARs</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December 31, 2016</w:t>
            </w:r>
          </w:p>
        </w:tc>
        <w:tc>
          <w:tcPr>
            <w:tcW w:w="1360" w:type="dxa"/>
            <w:vAlign w:val="bottom"/>
          </w:tcPr>
          <w:p>
            <w:pPr>
              <w:jc w:val="right"/>
              <w:spacing w:after="0"/>
              <w:rPr>
                <w:sz w:val="20"/>
                <w:szCs w:val="20"/>
                <w:color w:val="auto"/>
              </w:rPr>
            </w:pPr>
            <w:r>
              <w:rPr>
                <w:rFonts w:ascii="Arial" w:cs="Arial" w:eastAsia="Arial" w:hAnsi="Arial"/>
                <w:sz w:val="18"/>
                <w:szCs w:val="18"/>
                <w:color w:val="auto"/>
              </w:rPr>
              <w:t>2,886.1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As of December 31, 2018, total unrecognized compensation cost related to non-vested share-based compensation arrangements and the expected recognition period are as follows:</w:t>
      </w:r>
    </w:p>
    <w:p>
      <w:pPr>
        <w:spacing w:after="0" w:line="15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rPr>
              <w:t>Cash-Settled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Equity Settled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PRSUs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PRSUs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unrecognized compensation cost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24,853,000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Weighted average recognition period</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 years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 years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0.9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Certain employees acquired or vested in Class C Shares, Class P(C) Shares and Class P-1(C) Shares of the Company (collectively the “Employee Shares”).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records activity of the Employee Shares.</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Class C</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Class P(C)</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Class P-1(C)</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00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Predecessor</w:t>
            </w: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Outstanding at December 31, 2015</w:t>
            </w:r>
          </w:p>
        </w:tc>
        <w:tc>
          <w:tcPr>
            <w:tcW w:w="360" w:type="dxa"/>
            <w:vAlign w:val="bottom"/>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Sold</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Sold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0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0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Sold</w:t>
            </w:r>
          </w:p>
        </w:tc>
        <w:tc>
          <w:tcPr>
            <w:tcW w:w="1740" w:type="dxa"/>
            <w:vAlign w:val="bottom"/>
            <w:gridSpan w:val="3"/>
          </w:tcPr>
          <w:p>
            <w:pPr>
              <w:jc w:val="right"/>
              <w:ind w:right="130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Successor</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Sold</w:t>
            </w:r>
          </w:p>
        </w:tc>
        <w:tc>
          <w:tcPr>
            <w:tcW w:w="1740" w:type="dxa"/>
            <w:vAlign w:val="bottom"/>
            <w:gridSpan w:val="3"/>
          </w:tcPr>
          <w:p>
            <w:pPr>
              <w:jc w:val="right"/>
              <w:ind w:right="130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Employee Shares are classified as mezzanine capital, as opposed to members’ capital, due to the right of employees to sell the shares back to the Company at fair market value upon termination of employment. Employee Shares that have been outstanding for less than six months are included in employee equity compensation payable. At December 31, 2017 there were no Employee Shares included in employee compensation payable. At December 31, 2018, $6,727,000 of vested Class P-1(C) Shares are included in employee compensation payable with any changes in the value of the shares included in compensation cost on the consolidated statements of income. Changes in the Employee Shares’ fair value included in mezzanine capital are not recognized as compensation cost.</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$9,413,000, $15,949,000, $26,100,000 and $19,032,000, respectively, has been expensed relating to PRSUs, options and shares granted to or acquired by employees and included in employee compensation and benefits in the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ind w:right="140" w:firstLine="360"/>
        <w:spacing w:after="0" w:line="308" w:lineRule="auto"/>
        <w:rPr>
          <w:sz w:val="20"/>
          <w:szCs w:val="20"/>
          <w:color w:val="auto"/>
        </w:rPr>
      </w:pPr>
      <w:r>
        <w:rPr>
          <w:rFonts w:ascii="Arial" w:cs="Arial" w:eastAsia="Arial" w:hAnsi="Arial"/>
          <w:sz w:val="17"/>
          <w:szCs w:val="17"/>
          <w:color w:val="auto"/>
        </w:rPr>
        <w:t>The Company enters into transactions with affiliates of the Banks and Refinitiv. At December 31, 2018 and December 31, 2017, the following balances with such affiliates were included in the consolidated statements of financial condition in the following line items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220" w:type="dxa"/>
            <w:vAlign w:val="bottom"/>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5"/>
              </w:rPr>
              <w:t>December 31, 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283,790</w:t>
            </w:r>
          </w:p>
        </w:tc>
        <w:tc>
          <w:tcPr>
            <w:tcW w:w="380" w:type="dxa"/>
            <w:vAlign w:val="bottom"/>
            <w:tcBorders>
              <w:lef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Receivables from brokers and dealers and clearing organizations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3,332</w:t>
            </w:r>
          </w:p>
        </w:tc>
        <w:tc>
          <w:tcPr>
            <w:tcW w:w="2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clearing organizations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2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40,730</w:t>
            </w:r>
          </w:p>
        </w:tc>
        <w:tc>
          <w:tcPr>
            <w:tcW w:w="2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3,243</w:t>
            </w:r>
          </w:p>
        </w:tc>
        <w:tc>
          <w:tcPr>
            <w:tcW w:w="2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w:t>
            </w:r>
          </w:p>
        </w:tc>
        <w:tc>
          <w:tcPr>
            <w:tcW w:w="2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Deferred revenue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9,151</w:t>
            </w:r>
          </w:p>
        </w:tc>
        <w:tc>
          <w:tcPr>
            <w:tcW w:w="2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5,009</w:t>
            </w:r>
          </w:p>
        </w:tc>
        <w:tc>
          <w:tcPr>
            <w:tcW w:w="22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Company maintains a shared services agreement with Refinitiv (TR in the predecessor periods). Under the terms of the agreement, Refinitiv provides the Company with certain real estate, payroll, benefits administration, insurance, content, financial reporting and tax support. For October 1, 2018 to December 31, 2018, January 1, 2018 to September 30, 2018 and for the years ended December 31, 2017 and 2016, the Company incurred shared services fees of $1,075,000, $3,225,000, $4,300,000 and $4,300,000 relating to this agreement, respectively. These fees are included in occupancy, technology and communications and general and administrative expenses in the consolidated statements of income.</w:t>
      </w:r>
    </w:p>
    <w:p>
      <w:pPr>
        <w:spacing w:after="0" w:line="173" w:lineRule="exact"/>
        <w:rPr>
          <w:sz w:val="20"/>
          <w:szCs w:val="20"/>
          <w:color w:val="auto"/>
        </w:rPr>
      </w:pPr>
    </w:p>
    <w:p>
      <w:pPr>
        <w:jc w:val="both"/>
        <w:ind w:right="40" w:firstLine="360"/>
        <w:spacing w:after="0" w:line="279" w:lineRule="auto"/>
        <w:rPr>
          <w:sz w:val="20"/>
          <w:szCs w:val="20"/>
          <w:color w:val="auto"/>
        </w:rPr>
      </w:pPr>
      <w:r>
        <w:rPr>
          <w:rFonts w:ascii="Arial" w:cs="Arial" w:eastAsia="Arial" w:hAnsi="Arial"/>
          <w:sz w:val="17"/>
          <w:szCs w:val="17"/>
          <w:color w:val="auto"/>
        </w:rPr>
        <w:t>The Company maintains a market data license agreement with Refinitiv (TR in the predecessor periods). Under the agreement, the Company delivers to Refinitiv certain market data feeds which Refinitiv redistributes to its customers. The Company earns license fees or royalties for these feeds. For October 1, 2018 to December 31, 2018, January 1, 2018 to September 30, 2018 and for the years ended December 31, 2017 and 2016, the Company earned $13,467,000, $36,851,000, $50,125,000 and $50,564,000, respectively, of revenue under this agreement.</w:t>
      </w:r>
    </w:p>
    <w:p>
      <w:pPr>
        <w:spacing w:after="0" w:line="171"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The Company reimburses affiliates of Refinitiv (TR in the predecessor periods) for expenses paid on behalf of the Company for various services including salaries and bonuses, marketing, professional fees, communications, data costs and certain other administrative services. For October 1, 2018 to December 31, 2018, January 1, 2018 to September 30, 2018 and for the years ended December 31, 2017 and 2016, the Company reimbursed such affiliates approximately $3,837,000, $28,736,000, $38,361,000 and $34,350,000, respectively, for these expenses.</w:t>
      </w:r>
    </w:p>
    <w:p>
      <w:pPr>
        <w:spacing w:after="0" w:line="171"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the Company earned approximately $90,845,000, $211,234,000, $232,436,000 and $211,743,000, respectively, of transaction, subscription and other fees from affiliates of the Banks.</w:t>
      </w:r>
    </w:p>
    <w:p>
      <w:pPr>
        <w:spacing w:after="0" w:line="181" w:lineRule="exact"/>
        <w:rPr>
          <w:sz w:val="20"/>
          <w:szCs w:val="20"/>
          <w:color w:val="auto"/>
        </w:rPr>
      </w:pPr>
    </w:p>
    <w:p>
      <w:pPr>
        <w:jc w:val="both"/>
        <w:ind w:right="80" w:firstLine="360"/>
        <w:spacing w:after="0" w:line="312" w:lineRule="auto"/>
        <w:rPr>
          <w:sz w:val="20"/>
          <w:szCs w:val="20"/>
          <w:color w:val="auto"/>
        </w:rPr>
      </w:pPr>
      <w:r>
        <w:rPr>
          <w:rFonts w:ascii="Arial" w:cs="Arial" w:eastAsia="Arial" w:hAnsi="Arial"/>
          <w:sz w:val="16"/>
          <w:szCs w:val="16"/>
          <w:color w:val="auto"/>
        </w:rPr>
        <w:t>For October 1, 2018 to December 31, 2018, January 1, 2018 to September 30, 2018 and for the years ended December 31, 2017 and 2016, the Company earned $17,000, $34,000,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The Company borrowed $29,285,000 from a subsidiary of TR under a convertible term note. Interest charged on the outstanding borrowings is the greater of LIBOR or 150 basis points, plus 300 basis points per annum, and is reset and payable quarterly. On May 5, 2017, TR converted all outstanding borrowings into 1,835 Class A Shares at the price of $15,958 per share. During the years ended December 31, 2017 and 2016, the interest rate charged was 4.50% per annum. The Company paid and expensed interest on this note of $455,000 and $1,339,000 in the years ended December 31, 2017 and 2016, respectively.</w:t>
      </w:r>
    </w:p>
    <w:p>
      <w:pPr>
        <w:spacing w:after="0" w:line="188"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During 2014, the Company issued Class A Shares and unvested Class P-1(A) Shares to some of the Banks as a result of a $120,000,000 capital contribution. In connection with this investment, employees invested $5,266,000 in the Company and were issued Class C Shares and unvested Class P-1(C) Shares. Certain Class P-1(A) Shares and Class P-1(C) Shares vested on July 31, 2018, based on a formula determined by the Company’s new credit platforms’ revenues and any remaining unvested Class P-1(A) Shares and Class P-1(C) Shares were cancelled. The value of the vested Class P-1(A) Shares which are included in members’ capital is $150,495,000 and the value of the vested P-1(C) Shares which are included in employee equity compensation payable is $6,727,000. The Company recognized contingent consideration for January 1, 2018 to September 30, 2018 and for the years ended December 31, 2017 and 2016, of $26,830,000, $58,520,000 and $26,224,000, respectively, relating to these shares, which is included in net revenue on the consolidated statements of income. At December 31, 2017, $129,393,000 is included in contingent consideration payable on the consolidated statements of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229"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170" w:lineRule="exact"/>
        <w:rPr>
          <w:sz w:val="20"/>
          <w:szCs w:val="20"/>
          <w:color w:val="auto"/>
        </w:rPr>
      </w:pPr>
    </w:p>
    <w:p>
      <w:pPr>
        <w:ind w:right="920" w:firstLine="360"/>
        <w:spacing w:after="0" w:line="277" w:lineRule="auto"/>
        <w:rPr>
          <w:sz w:val="20"/>
          <w:szCs w:val="20"/>
          <w:color w:val="auto"/>
        </w:rPr>
      </w:pPr>
      <w:r>
        <w:rPr>
          <w:rFonts w:ascii="Arial" w:cs="Arial" w:eastAsia="Arial" w:hAnsi="Arial"/>
          <w:sz w:val="18"/>
          <w:szCs w:val="18"/>
          <w:color w:val="auto"/>
        </w:rPr>
        <w:t>Following is a description of the fair value methodologies used for the Company’s instruments measured at fair value, as well as the general classification of such instruments pursuant to the valuation hierarchy:</w:t>
      </w:r>
    </w:p>
    <w:p>
      <w:pPr>
        <w:spacing w:after="0" w:line="17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jc w:val="both"/>
        <w:ind w:right="160" w:firstLine="360"/>
        <w:spacing w:after="0" w:line="312" w:lineRule="auto"/>
        <w:rPr>
          <w:sz w:val="20"/>
          <w:szCs w:val="20"/>
          <w:color w:val="auto"/>
        </w:rPr>
      </w:pPr>
      <w:r>
        <w:rPr>
          <w:rFonts w:ascii="Arial" w:cs="Arial" w:eastAsia="Arial" w:hAnsi="Arial"/>
          <w:sz w:val="16"/>
          <w:szCs w:val="16"/>
          <w:color w:val="auto"/>
        </w:rPr>
        <w:t>Contingent consideration is classified within level 3 of the fair value hierarchy because the valuation requires assumptions that are both significant and unobservable. The contingent consideration valuation is determined using a monte carlo simulation, with key inputs being the standard deviation applied to the Company’s new credit platforms’ revenues, revenue multiple and discount rate. At December 31, 2017, the inputs in the valuation are as follows:</w:t>
      </w:r>
    </w:p>
    <w:p>
      <w:pPr>
        <w:spacing w:after="0" w:line="16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Standard deviation</w:t>
            </w:r>
          </w:p>
        </w:tc>
        <w:tc>
          <w:tcPr>
            <w:tcW w:w="4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1,666,667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Revenue multiple</w:t>
            </w:r>
          </w:p>
        </w:tc>
        <w:tc>
          <w:tcPr>
            <w:tcW w:w="430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Arial" w:cs="Arial" w:eastAsia="Arial" w:hAnsi="Arial"/>
                <w:sz w:val="18"/>
                <w:szCs w:val="18"/>
                <w:color w:val="auto"/>
              </w:rPr>
              <w:t>7.03x</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300" w:type="dxa"/>
            <w:vAlign w:val="bottom"/>
            <w:shd w:val="clear" w:color="auto" w:fill="CCEEFF"/>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1.64%</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no instruments that are classified within level 2 of the fair value hierarchy.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measurements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1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Indentical</w:t>
            </w:r>
          </w:p>
        </w:tc>
        <w:tc>
          <w:tcPr>
            <w:tcW w:w="22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1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As of December 31, 2017</w:t>
            </w:r>
          </w:p>
        </w:tc>
        <w:tc>
          <w:tcPr>
            <w:tcW w:w="2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8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101,154</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i w:val="1"/>
                <w:iCs w:val="1"/>
                <w:color w:val="auto"/>
              </w:rPr>
              <w:t>Liabilities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Contingent consideration payable</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129,393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129,393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Successor</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As of December 31, 2018</w:t>
            </w:r>
          </w:p>
        </w:tc>
        <w:tc>
          <w:tcPr>
            <w:tcW w:w="2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127,927</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Credit Risk</w:t>
      </w:r>
    </w:p>
    <w:p>
      <w:pPr>
        <w:spacing w:after="0" w:line="22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Company may be exposed to credit risk regarding its receivables, which are primarily receivable from financial institutions, including investment managers and broker/dealers. At December 31, 2018 and December 31, 2017 the Company established an allowance for doubtful accounts of $1,169,000 and $928,000, respectively, with regard to these accounts receivable.</w:t>
      </w:r>
    </w:p>
    <w:p>
      <w:pPr>
        <w:spacing w:after="0" w:line="181" w:lineRule="exact"/>
        <w:rPr>
          <w:sz w:val="20"/>
          <w:szCs w:val="20"/>
          <w:color w:val="auto"/>
        </w:rPr>
      </w:pPr>
    </w:p>
    <w:p>
      <w:pPr>
        <w:ind w:right="740" w:firstLine="360"/>
        <w:spacing w:after="0" w:line="312"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47"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47"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jc w:val="both"/>
        <w:ind w:right="280" w:firstLine="360"/>
        <w:spacing w:after="0" w:line="342" w:lineRule="auto"/>
        <w:rPr>
          <w:sz w:val="20"/>
          <w:szCs w:val="20"/>
          <w:color w:val="auto"/>
        </w:rPr>
      </w:pPr>
      <w:r>
        <w:rPr>
          <w:rFonts w:ascii="Arial" w:cs="Arial" w:eastAsia="Arial" w:hAnsi="Arial"/>
          <w:sz w:val="16"/>
          <w:szCs w:val="16"/>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December 31, 2018 (in thousands):</w:t>
      </w:r>
    </w:p>
    <w:p>
      <w:pPr>
        <w:spacing w:after="0" w:line="10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720" w:type="dxa"/>
            <w:vAlign w:val="bottom"/>
          </w:tcPr>
          <w:p>
            <w:pPr>
              <w:spacing w:after="0"/>
              <w:rPr>
                <w:sz w:val="20"/>
                <w:szCs w:val="20"/>
                <w:color w:val="auto"/>
              </w:rPr>
            </w:pPr>
            <w:r>
              <w:rPr>
                <w:rFonts w:ascii="Arial" w:cs="Arial" w:eastAsia="Arial" w:hAnsi="Arial"/>
                <w:sz w:val="14"/>
                <w:szCs w:val="14"/>
                <w:b w:val="1"/>
                <w:bCs w:val="1"/>
                <w:color w:val="auto"/>
              </w:rPr>
              <w:t>Year ending</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10"/>
        </w:trPr>
        <w:tc>
          <w:tcPr>
            <w:tcW w:w="7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actual rent charged to occupancy amounted to $2,733,000, $9,011,000, $11,774,000 and $13,253,000 for October 1, 2018 to December 31, 2018, January 1, 2018 to September 30, 2018 and for the years ended December 31, 2017 and 2016, respectively.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US lease is secured by a letter of credit in the amount of $1,200,000, which is guaranteed by Refinitiv.</w:t>
      </w:r>
    </w:p>
    <w:p>
      <w:pPr>
        <w:spacing w:after="0" w:line="225"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1" w:lineRule="exact"/>
        <w:rPr>
          <w:sz w:val="20"/>
          <w:szCs w:val="20"/>
          <w:color w:val="auto"/>
        </w:rPr>
      </w:pPr>
    </w:p>
    <w:p>
      <w:pPr>
        <w:jc w:val="both"/>
        <w:ind w:right="100" w:firstLine="360"/>
        <w:spacing w:after="0" w:line="286" w:lineRule="auto"/>
        <w:rPr>
          <w:sz w:val="20"/>
          <w:szCs w:val="20"/>
          <w:color w:val="auto"/>
        </w:rPr>
      </w:pPr>
      <w:r>
        <w:rPr>
          <w:rFonts w:ascii="Arial" w:cs="Arial" w:eastAsia="Arial" w:hAnsi="Arial"/>
          <w:sz w:val="17"/>
          <w:szCs w:val="17"/>
          <w:color w:val="auto"/>
        </w:rPr>
        <w:t>The Company was named as a defendant, along with dozens of financial institutions, in antitrust class actions (consolidated into two actions) relating to trading practices in United States Treasury securities auctions and, separately, interest rate swaps. The Company was dismissed from the interest rate swaps matter and believes it has substantial defenses to the other plaintiffs’ claims and intends to defend itself vigorously.</w:t>
      </w:r>
    </w:p>
    <w:p>
      <w:pPr>
        <w:spacing w:after="0" w:line="16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The Company is a co-defendant in a matter relating to the distribution of financial strength ratings over the Company’s trading platform to one of its customers. The matter alleges that while certain business units of the client were licensed to receive the data via the Company’s platform, the data was also distributed without authorization to certain end clients of the customer. The plaintiff claims to have suffered approximately $80,000,000 in damages and also seeks punitive damages, attorneys’ fees and costs. The Company intends to continue to vigorously defend what the Company believes to be meritless and excessive claims.</w:t>
      </w:r>
    </w:p>
    <w:p>
      <w:pPr>
        <w:spacing w:after="0" w:line="18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Income Per Share</w:t>
      </w:r>
    </w:p>
    <w:p>
      <w:pPr>
        <w:spacing w:after="0" w:line="229"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On April 4, 2019, the LLC Agreement was amended and restated to, among other things, (i) provide for LLC Interests and (ii) exchange all of the existing membership interests of the Company’s existing equityholders for LLC Interests. For purposes of calculating net income per share on the consolidated statements of income, the number of outstanding shares has been adjusted retroactively for all periods presented to reflect the above-mentioned amendment and resulting Recapitalization. The following table sets forth the computation of basic and diluted net income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4"/>
              </w:rPr>
              <w:t>Successor</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line="20" w:lineRule="exact"/>
              <w:rPr>
                <w:sz w:val="1"/>
                <w:szCs w:val="1"/>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119"/>
              <w:spacing w:after="0" w:line="119" w:lineRule="exact"/>
              <w:rPr>
                <w:sz w:val="20"/>
                <w:szCs w:val="20"/>
                <w:color w:val="auto"/>
              </w:rPr>
            </w:pPr>
            <w:r>
              <w:rPr>
                <w:rFonts w:ascii="Arial" w:cs="Arial" w:eastAsia="Arial" w:hAnsi="Arial"/>
                <w:sz w:val="13"/>
                <w:szCs w:val="13"/>
                <w:b w:val="1"/>
                <w:bCs w:val="1"/>
                <w:color w:val="auto"/>
                <w:w w:val="99"/>
              </w:rPr>
              <w:t>October 1,</w:t>
            </w:r>
          </w:p>
        </w:tc>
        <w:tc>
          <w:tcPr>
            <w:tcW w:w="220" w:type="dxa"/>
            <w:vAlign w:val="bottom"/>
          </w:tcPr>
          <w:p>
            <w:pPr>
              <w:spacing w:after="0"/>
              <w:rPr>
                <w:sz w:val="10"/>
                <w:szCs w:val="10"/>
                <w:color w:val="auto"/>
              </w:rPr>
            </w:pPr>
          </w:p>
        </w:tc>
        <w:tc>
          <w:tcPr>
            <w:tcW w:w="240" w:type="dxa"/>
            <w:vAlign w:val="bottom"/>
            <w:tcBorders>
              <w:lef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99"/>
              <w:spacing w:after="0" w:line="119" w:lineRule="exact"/>
              <w:rPr>
                <w:sz w:val="20"/>
                <w:szCs w:val="20"/>
                <w:color w:val="auto"/>
              </w:rPr>
            </w:pPr>
            <w:r>
              <w:rPr>
                <w:rFonts w:ascii="Arial" w:cs="Arial" w:eastAsia="Arial" w:hAnsi="Arial"/>
                <w:sz w:val="13"/>
                <w:szCs w:val="13"/>
                <w:b w:val="1"/>
                <w:bCs w:val="1"/>
                <w:color w:val="auto"/>
                <w:w w:val="99"/>
              </w:rPr>
              <w:t>January 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9"/>
              <w:spacing w:after="0" w:line="119" w:lineRule="exact"/>
              <w:rPr>
                <w:sz w:val="20"/>
                <w:szCs w:val="20"/>
                <w:color w:val="auto"/>
              </w:rPr>
            </w:pPr>
            <w:r>
              <w:rPr>
                <w:rFonts w:ascii="Arial" w:cs="Arial" w:eastAsia="Arial" w:hAnsi="Arial"/>
                <w:sz w:val="13"/>
                <w:szCs w:val="13"/>
                <w:b w:val="1"/>
                <w:bCs w:val="1"/>
                <w:color w:val="auto"/>
                <w:w w:val="99"/>
              </w:rPr>
              <w:t>Year</w:t>
            </w: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9"/>
              <w:spacing w:after="0" w:line="119" w:lineRule="exact"/>
              <w:rPr>
                <w:sz w:val="20"/>
                <w:szCs w:val="20"/>
                <w:color w:val="auto"/>
              </w:rPr>
            </w:pPr>
            <w:r>
              <w:rPr>
                <w:rFonts w:ascii="Arial" w:cs="Arial" w:eastAsia="Arial" w:hAnsi="Arial"/>
                <w:sz w:val="13"/>
                <w:szCs w:val="13"/>
                <w:b w:val="1"/>
                <w:bCs w:val="1"/>
                <w:color w:val="auto"/>
                <w:w w:val="99"/>
              </w:rPr>
              <w:t>Year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2018 to</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2018 to</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left w:val="single" w:sz="8" w:color="auto"/>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(in thousands)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20" w:type="dxa"/>
            <w:vAlign w:val="bottom"/>
            <w:shd w:val="clear" w:color="auto" w:fill="CCEEFF"/>
          </w:tcPr>
          <w:p>
            <w:pPr>
              <w:spacing w:after="0"/>
              <w:rPr>
                <w:sz w:val="18"/>
                <w:szCs w:val="18"/>
                <w:color w:val="auto"/>
              </w:rPr>
            </w:pP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222,221,628</w:t>
            </w:r>
          </w:p>
        </w:tc>
        <w:tc>
          <w:tcPr>
            <w:tcW w:w="2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215,365,920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212,568,635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210,979,704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Conversion to Equity Settled PRSU</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22,223</w:t>
            </w:r>
          </w:p>
        </w:tc>
        <w:tc>
          <w:tcPr>
            <w:tcW w:w="2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222,243,851</w:t>
            </w:r>
          </w:p>
        </w:tc>
        <w:tc>
          <w:tcPr>
            <w:tcW w:w="220" w:type="dxa"/>
            <w:vAlign w:val="bottom"/>
            <w:tcBorders>
              <w:bottom w:val="single" w:sz="8" w:color="CCEEFF"/>
            </w:tcBorders>
          </w:tcPr>
          <w:p>
            <w:pPr>
              <w:spacing w:after="0"/>
              <w:rPr>
                <w:sz w:val="21"/>
                <w:szCs w:val="21"/>
                <w:color w:val="auto"/>
              </w:rPr>
            </w:pPr>
          </w:p>
        </w:tc>
        <w:tc>
          <w:tcPr>
            <w:tcW w:w="240" w:type="dxa"/>
            <w:vAlign w:val="bottom"/>
            <w:tcBorders>
              <w:left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215,365,920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212,568,635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210,979,704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Net Income Per Share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left w:val="single" w:sz="8" w:color="auto"/>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left w:val="single" w:sz="8" w:color="auto"/>
            </w:tcBorders>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20" w:type="dxa"/>
            <w:vAlign w:val="bottom"/>
            <w:vMerge w:val="continue"/>
          </w:tcPr>
          <w:p>
            <w:pPr>
              <w:spacing w:after="0"/>
              <w:rPr>
                <w:sz w:val="17"/>
                <w:szCs w:val="17"/>
                <w:color w:val="auto"/>
              </w:rPr>
            </w:pPr>
          </w:p>
        </w:tc>
        <w:tc>
          <w:tcPr>
            <w:tcW w:w="240" w:type="dxa"/>
            <w:vAlign w:val="bottom"/>
            <w:tcBorders>
              <w:left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Shares from the convertible term note payable totaling 894,464 and 2,548,668 for the years ended December 31, 2017 and 2016, respectively, and shares from the contingent consideration payable totaling 5,444,566 for January 1, 2018 to September 30, 2018 were excluded from the computation of diluted net income per share because their effect would have been anti-dilutive.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income per share are the same for all classes of the Company’s shares since each class of share equally participates in the earnings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Regulatory Capital Requirements</w:t>
      </w:r>
    </w:p>
    <w:p>
      <w:pPr>
        <w:spacing w:after="0" w:line="229" w:lineRule="exact"/>
        <w:rPr>
          <w:sz w:val="20"/>
          <w:szCs w:val="20"/>
          <w:color w:val="auto"/>
        </w:rPr>
      </w:pPr>
    </w:p>
    <w:p>
      <w:pPr>
        <w:ind w:right="160" w:firstLine="360"/>
        <w:spacing w:after="0" w:line="308" w:lineRule="auto"/>
        <w:rPr>
          <w:sz w:val="20"/>
          <w:szCs w:val="20"/>
          <w:color w:val="auto"/>
        </w:rPr>
      </w:pPr>
      <w:r>
        <w:rPr>
          <w:rFonts w:ascii="Arial" w:cs="Arial" w:eastAsia="Arial" w:hAnsi="Arial"/>
          <w:sz w:val="17"/>
          <w:szCs w:val="17"/>
          <w:color w:val="auto"/>
        </w:rPr>
        <w:t>TWL, DW and TWD are subject to the Uniform Net Capital Rule 15c3-1 under the Securities Exchange Act of 1934. TEL is subject to certain financial resource requirements with the FCA in the UK and TWJ are subject to certain financial resource requirements with the FCA in Japan.</w:t>
      </w:r>
    </w:p>
    <w:p>
      <w:pPr>
        <w:spacing w:after="0" w:line="14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At December 31, 2018 and December 31, 2017, the regulatory capital requirements and regulatory capital for TWL, DW, TWD, TEL and TWJ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TWL</w:t>
            </w:r>
          </w:p>
        </w:tc>
        <w:tc>
          <w:tcPr>
            <w:tcW w:w="28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DW</w:t>
            </w:r>
          </w:p>
        </w:tc>
        <w:tc>
          <w:tcPr>
            <w:tcW w:w="24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TWD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TEL</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TWJ</w:t>
            </w:r>
          </w:p>
        </w:tc>
        <w:tc>
          <w:tcPr>
            <w:tcW w:w="4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88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As of December 31, 2017</w:t>
            </w:r>
          </w:p>
        </w:tc>
        <w:tc>
          <w:tcPr>
            <w:tcW w:w="22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Regulatory Capital</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22,551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35,546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16,965</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31,509</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20,962</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33,934</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9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TWL</w:t>
            </w:r>
          </w:p>
        </w:tc>
        <w:tc>
          <w:tcPr>
            <w:tcW w:w="28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DW</w:t>
            </w:r>
          </w:p>
        </w:tc>
        <w:tc>
          <w:tcPr>
            <w:tcW w:w="24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TWD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TEL</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TWJ</w:t>
            </w:r>
          </w:p>
        </w:tc>
        <w:tc>
          <w:tcPr>
            <w:tcW w:w="4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88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As of December 31, 2018</w:t>
            </w:r>
          </w:p>
        </w:tc>
        <w:tc>
          <w:tcPr>
            <w:tcW w:w="22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Regulatory Capital</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18,986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41,164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24,042</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46,157</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16,288</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39,361</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required and maintained financial resources and liquid financial assets at December 31, 2018 and December 31, 2017 are as follows (in thousands):</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3"/>
        </w:trPr>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vMerge w:val="restart"/>
          </w:tcPr>
          <w:p>
            <w:pPr>
              <w:jc w:val="center"/>
              <w:ind w:left="738"/>
              <w:spacing w:after="0"/>
              <w:rPr>
                <w:sz w:val="20"/>
                <w:szCs w:val="20"/>
                <w:color w:val="auto"/>
              </w:rPr>
            </w:pPr>
            <w:r>
              <w:rPr>
                <w:rFonts w:ascii="Arial" w:cs="Arial" w:eastAsia="Arial" w:hAnsi="Arial"/>
                <w:sz w:val="14"/>
                <w:szCs w:val="14"/>
                <w:b w:val="1"/>
                <w:bCs w:val="1"/>
                <w:color w:val="auto"/>
                <w:w w:val="84"/>
              </w:rPr>
              <w:t>Successor</w:t>
            </w: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4"/>
            <w:vMerge w:val="restart"/>
          </w:tcPr>
          <w:p>
            <w:pPr>
              <w:jc w:val="center"/>
              <w:ind w:left="698"/>
              <w:spacing w:after="0"/>
              <w:rPr>
                <w:sz w:val="20"/>
                <w:szCs w:val="20"/>
                <w:color w:val="auto"/>
              </w:rPr>
            </w:pPr>
            <w:r>
              <w:rPr>
                <w:rFonts w:ascii="Arial" w:cs="Arial" w:eastAsia="Arial" w:hAnsi="Arial"/>
                <w:sz w:val="14"/>
                <w:szCs w:val="14"/>
                <w:b w:val="1"/>
                <w:bCs w:val="1"/>
                <w:color w:val="auto"/>
                <w:w w:val="87"/>
              </w:rPr>
              <w:t>Predecessor</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vMerge w:val="continue"/>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3"/>
          </w:tcPr>
          <w:p>
            <w:pPr>
              <w:jc w:val="center"/>
              <w:ind w:left="738"/>
              <w:spacing w:after="0" w:line="119" w:lineRule="exact"/>
              <w:rPr>
                <w:sz w:val="20"/>
                <w:szCs w:val="20"/>
                <w:color w:val="auto"/>
              </w:rPr>
            </w:pPr>
            <w:r>
              <w:rPr>
                <w:rFonts w:ascii="Arial" w:cs="Arial" w:eastAsia="Arial" w:hAnsi="Arial"/>
                <w:sz w:val="13"/>
                <w:szCs w:val="13"/>
                <w:b w:val="1"/>
                <w:bCs w:val="1"/>
                <w:color w:val="auto"/>
                <w:w w:val="98"/>
              </w:rPr>
              <w:t>As of</w:t>
            </w:r>
          </w:p>
        </w:tc>
        <w:tc>
          <w:tcPr>
            <w:tcW w:w="10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gridSpan w:val="4"/>
          </w:tcPr>
          <w:p>
            <w:pPr>
              <w:jc w:val="center"/>
              <w:ind w:left="698"/>
              <w:spacing w:after="0" w:line="119" w:lineRule="exact"/>
              <w:rPr>
                <w:sz w:val="20"/>
                <w:szCs w:val="20"/>
                <w:color w:val="auto"/>
              </w:rPr>
            </w:pPr>
            <w:r>
              <w:rPr>
                <w:rFonts w:ascii="Arial" w:cs="Arial" w:eastAsia="Arial" w:hAnsi="Arial"/>
                <w:sz w:val="13"/>
                <w:szCs w:val="13"/>
                <w:b w:val="1"/>
                <w:bCs w:val="1"/>
                <w:color w:val="auto"/>
                <w:w w:val="92"/>
              </w:rPr>
              <w:t>As of</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TW SEF</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DW SEF</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TW SEF</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DW SEF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Required Financial Resources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8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Liquid Financial Assets</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16,662</w:t>
            </w:r>
          </w:p>
        </w:tc>
        <w:tc>
          <w:tcPr>
            <w:tcW w:w="28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11,888</w:t>
            </w:r>
          </w:p>
        </w:tc>
        <w:tc>
          <w:tcPr>
            <w:tcW w:w="180" w:type="dxa"/>
            <w:vAlign w:val="bottom"/>
            <w:tcBorders>
              <w:righ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14,084</w:t>
            </w:r>
          </w:p>
        </w:tc>
        <w:tc>
          <w:tcPr>
            <w:tcW w:w="2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Excess Liquid Financial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11,412</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Employees Savings Plan</w:t>
      </w:r>
    </w:p>
    <w:p>
      <w:pPr>
        <w:spacing w:after="0" w:line="229"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Company sponsors a 401(k) savings plan for its US employees. Employees may voluntarily contribute up to 75% of their annual compensation, including bonus. The Company matches 100% of the employee’s contribution, up to 4% of their annual compensation, which vests immediately. Company’s expense for matching contributions under the plans was $738,000, $3,758,000, $4,137,000 and $4,179,000, for October 1, 2018 to December 31, 2018, January 1, 2018 to September 30, 2018 and for the years ended December 31, 2017 and 2016, respectively.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has deferred compensation plans for its UK and Asia employees. Employer contributions to the plans were $423,000, $1,113,000,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$1,242,000 and $1,181,000 for October 1, 2018 to December 31, 2018, January 1, 2018 to September 30, 2018 and for the years ended December 31,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and Geographic Information</w:t>
      </w:r>
    </w:p>
    <w:p>
      <w:pPr>
        <w:spacing w:after="0" w:line="229"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The Company operates electronic marketplaces for the trading of products across the rates, credit, money markets and equities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Institutional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103,971</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301,918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318,038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285,801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Wholesale</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38,153</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118,451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19,780</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57,766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70,857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67,471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 Data</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16,733</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(58,520)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146,702</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338,607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415,356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399,049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Company operates in the U.S. and internationally, primarily in Europe and Asia. Revenues are attributed to geographic area based on the jurisdiction where the underlying transactions take place. Long-lived assets are attributed to the geographic area based on the location of the particular subsidiary. Information regarding revenue for October 1, 2018 to December 31, 2018, January 1, 2018 to September 30, 2018 and for the years ended December 31, 2017 and 2016 and long-lived assets as of December 31, 2018 and December 31, 2017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2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2"/>
              </w:rPr>
              <w:t>January 1, 2018 to</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center"/>
              <w:ind w:right="139"/>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59"/>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U.S.</w:t>
            </w:r>
          </w:p>
        </w:tc>
        <w:tc>
          <w:tcPr>
            <w:tcW w:w="1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115,907</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324,304</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760"/>
              <w:spacing w:after="0"/>
              <w:rPr>
                <w:sz w:val="20"/>
                <w:szCs w:val="20"/>
                <w:color w:val="auto"/>
              </w:rPr>
            </w:pPr>
            <w:r>
              <w:rPr>
                <w:rFonts w:ascii="Arial" w:cs="Arial" w:eastAsia="Arial" w:hAnsi="Arial"/>
                <w:sz w:val="18"/>
                <w:szCs w:val="18"/>
                <w:color w:val="auto"/>
              </w:rPr>
              <w:t>385,176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365,308</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62,730</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181,467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177,792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153,096</w:t>
            </w:r>
          </w:p>
        </w:tc>
        <w:tc>
          <w:tcPr>
            <w:tcW w:w="0" w:type="dxa"/>
            <w:vAlign w:val="bottom"/>
          </w:tcPr>
          <w:p>
            <w:pPr>
              <w:spacing w:after="0"/>
              <w:rPr>
                <w:sz w:val="1"/>
                <w:szCs w:val="1"/>
                <w:color w:val="auto"/>
              </w:rPr>
            </w:pPr>
          </w:p>
        </w:tc>
      </w:tr>
      <w:tr>
        <w:trPr>
          <w:trHeight w:val="210"/>
        </w:trPr>
        <w:tc>
          <w:tcPr>
            <w:tcW w:w="3020" w:type="dxa"/>
            <w:vAlign w:val="bottom"/>
          </w:tcPr>
          <w:p>
            <w:pPr>
              <w:ind w:left="380"/>
              <w:spacing w:after="0"/>
              <w:rPr>
                <w:sz w:val="20"/>
                <w:szCs w:val="20"/>
                <w:color w:val="auto"/>
              </w:rPr>
            </w:pPr>
            <w:r>
              <w:rPr>
                <w:rFonts w:ascii="Arial" w:cs="Arial" w:eastAsia="Arial" w:hAnsi="Arial"/>
                <w:sz w:val="18"/>
                <w:szCs w:val="18"/>
                <w:color w:val="auto"/>
              </w:rPr>
              <w:t>Gross revenue</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178,637</w:t>
            </w:r>
          </w:p>
        </w:tc>
        <w:tc>
          <w:tcPr>
            <w:tcW w:w="18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505,771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6"/>
              </w:rPr>
              <w:t>562,968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Contingent consideration</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(58,520)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(26,224)</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178,637</w:t>
            </w: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478,941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6"/>
              </w:rPr>
              <w:t>504,448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CCEE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U.S.</w:t>
            </w:r>
          </w:p>
        </w:tc>
        <w:tc>
          <w:tcPr>
            <w:tcW w:w="1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4,276,568</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845,599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4,284,355</w:t>
            </w:r>
          </w:p>
        </w:tc>
        <w:tc>
          <w:tcPr>
            <w:tcW w:w="18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853,586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Company is in the process of preparing for an IPO. The Company’s expectation is that the IPO will occur during the first half of 2019, though no assurances can be made. On March 21, 2019, the Board of Directors approved that the Company will effect a series of reorganization transactions, including a recapitalization of the Company’s issued and vested shares, immediately prior to the consummation of the IPO. In addition, the Company expects to enter into a $500 million revolving credit facility upon the closing of the IPO. On March 22, 2019, the Company paid a $20.0 million distribution to the current owners of the Company.</w:t>
      </w:r>
    </w:p>
    <w:p>
      <w:pPr>
        <w:spacing w:after="0" w:line="188"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There were no other subsequent events requiring adjustment to the financial statements or disclosure, except as disclosed in note 1, through March 25, 2019, the date that the Company’s financial statements were issued.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2019-12-28T11:13:29Z</dcterms:created>
  <dcterms:modified xsi:type="dcterms:W3CDTF">2019-12-28T11:13:29Z</dcterms:modified>
</cp:coreProperties>
</file>