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26, 2023</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2"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2"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44"/>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52"/>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10036</w:t>
            </w:r>
          </w:p>
        </w:tc>
        <w:tc>
          <w:tcPr>
            <w:tcW w:w="0" w:type="dxa"/>
            <w:vAlign w:val="bottom"/>
          </w:tcPr>
          <w:p>
            <w:pPr>
              <w:spacing w:after="0"/>
              <w:rPr>
                <w:sz w:val="1"/>
                <w:szCs w:val="1"/>
                <w:color w:val="auto"/>
              </w:rPr>
            </w:pPr>
          </w:p>
        </w:tc>
      </w:tr>
      <w:tr>
        <w:trPr>
          <w:trHeight w:val="234"/>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5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97"/>
        </w:trPr>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3"/>
        </w:trPr>
        <w:tc>
          <w:tcPr>
            <w:tcW w:w="4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8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1264285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On October 26, 2023, Tradeweb Markets Inc. (the “Company”) filed a Form 8-K (“Original Form 8-K”) with the U.S. Securities and Exchange Commission (“SEC”), which included the earnings release that was furnished on Exhibit 99.1 to the Original Form 8-K (the “Original Earnings Release”). The Company is filing this Amendment No. 1 to the Original Form 8-K (“Amendment No. 1”) solely to correct the range of forecasted Adjusted Expenses set forth in the Company’s Original Earnings Release due to a typographical error. All other information contained in the Original Form 8-K, including the Original Earnings Release, remains unchanged.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On October 25, 2023, Tradeweb Markets LLC (“Tradeweb Markets”), a wholly owned subsidiary of Tradeweb Markets Inc. (the “Company”) entered into a master data license agreement (the “Master Data Agreement”) with Refinitiv US LLC and Refinitiv US Organization LLC (together, the “Refinitiv Parties”), which effective as of November 1, 2023 amends and restates in its entirety the Second Amended and Restated Market Data Agreement, dated November 1, 2018, by and among Tradeweb Markets and the Refinitiv Parties, as amended. Pursuant to the Master Data Agreement, on October 25, 2023, Tradeweb Markets and the Refinitiv Parties entered into separate data schedules (the “Current Data Schedules”) under which Tradeweb Markets will license certain data sets to Refinitiv US LLC and its relevant affiliates (collectively, the “Refinitiv Subscriber”) in exchange for either fixed license fees or fees payable based on a percentage of revenue generated by the Refinitiv Subscriber. As of the date hereof, Tradeweb Markets will provide the Refinitiv Subscriber with certain market data (including real time feeds) for multiple fixed income and derivatives products under a partially exclusive license pursuant to which the Refinitiv Subscriber is permitted to distribute such market data to its customers subject to the terms of the Master Data Agreement. Tradeweb Markets will also earn revenues from the Refinitiv Subscriber for servicing certain of its customers, as well as earn a share of revenue generated from the licensing of 19901 data sets to clients, which utilizes Tradeweb Markets data.</w:t>
      </w:r>
    </w:p>
    <w:p>
      <w:pPr>
        <w:spacing w:after="0" w:line="2" w:lineRule="exact"/>
        <w:rPr>
          <w:sz w:val="20"/>
          <w:szCs w:val="20"/>
          <w:color w:val="auto"/>
        </w:rPr>
      </w:pPr>
    </w:p>
    <w:p>
      <w:pPr>
        <w:ind w:right="60" w:firstLine="648"/>
        <w:spacing w:after="0" w:line="243" w:lineRule="auto"/>
        <w:rPr>
          <w:sz w:val="20"/>
          <w:szCs w:val="20"/>
          <w:color w:val="auto"/>
        </w:rPr>
      </w:pPr>
      <w:r>
        <w:rPr>
          <w:rFonts w:ascii="Arial" w:cs="Arial" w:eastAsia="Arial" w:hAnsi="Arial"/>
          <w:sz w:val="17"/>
          <w:szCs w:val="17"/>
          <w:color w:val="auto"/>
        </w:rPr>
        <w:t>The Master Data Agreement is effective as of November 1, 2023 and will continue in effect until the earlier of its termination in accordance with its terms and five years after the termination of all data schedules thereunder. The initial license and service periods under the Current Data Schedules run from November 1, 2023 through October 31, 2025 and unless otherwise agreed to by the parties, also includes the option for a twelve-month transition period following the initial period to allow for an orderly transition of the market data distribution arrangements contemplated under the applicable Current Data Schedule. The Master Data Agreement includes customary termination provisions, including termination of a data schedule in the event of a material breach of such data schedule that is not cured within 30 days of receipt of written notice.</w:t>
      </w:r>
    </w:p>
    <w:p>
      <w:pPr>
        <w:spacing w:after="0" w:line="200" w:lineRule="exact"/>
        <w:rPr>
          <w:sz w:val="20"/>
          <w:szCs w:val="20"/>
          <w:color w:val="auto"/>
        </w:rPr>
      </w:pPr>
    </w:p>
    <w:p>
      <w:pPr>
        <w:ind w:right="320" w:firstLine="648"/>
        <w:spacing w:after="0" w:line="307" w:lineRule="auto"/>
        <w:rPr>
          <w:rFonts w:ascii="Arial" w:cs="Arial" w:eastAsia="Arial" w:hAnsi="Arial"/>
          <w:sz w:val="16"/>
          <w:szCs w:val="16"/>
          <w:color w:val="auto"/>
        </w:rPr>
      </w:pPr>
      <w:r>
        <w:rPr>
          <w:rFonts w:ascii="Arial" w:cs="Arial" w:eastAsia="Arial" w:hAnsi="Arial"/>
          <w:sz w:val="16"/>
          <w:szCs w:val="16"/>
          <w:color w:val="auto"/>
        </w:rPr>
        <w:t xml:space="preserve">Affiliates of the Refinitiv Parties, which are subsidiaries of Refinitiv Parent Limited, the controlling shareholder of the Company, have various relationships with the Company. For further information, see the Company’s </w:t>
      </w:r>
      <w:hyperlink r:id="rId13">
        <w:r>
          <w:rPr>
            <w:rFonts w:ascii="Arial" w:cs="Arial" w:eastAsia="Arial" w:hAnsi="Arial"/>
            <w:sz w:val="16"/>
            <w:szCs w:val="16"/>
            <w:u w:val="single" w:color="auto"/>
            <w:color w:val="0000FF"/>
          </w:rPr>
          <w:t>Definitive Proxy Statement on Schedule 14A</w:t>
        </w:r>
      </w:hyperlink>
      <w:r>
        <w:rPr>
          <w:rFonts w:ascii="Arial" w:cs="Arial" w:eastAsia="Arial" w:hAnsi="Arial"/>
          <w:sz w:val="16"/>
          <w:szCs w:val="16"/>
          <w:color w:val="auto"/>
        </w:rPr>
        <w:t>, filed on March 23, 2023.</w:t>
      </w:r>
    </w:p>
    <w:p>
      <w:pPr>
        <w:spacing w:after="0" w:line="150" w:lineRule="exact"/>
        <w:rPr>
          <w:sz w:val="20"/>
          <w:szCs w:val="20"/>
          <w:color w:val="auto"/>
        </w:rPr>
      </w:pPr>
    </w:p>
    <w:p>
      <w:pPr>
        <w:ind w:right="620" w:firstLine="648"/>
        <w:spacing w:after="0" w:line="324" w:lineRule="auto"/>
        <w:rPr>
          <w:sz w:val="20"/>
          <w:szCs w:val="20"/>
          <w:color w:val="auto"/>
        </w:rPr>
      </w:pPr>
      <w:r>
        <w:rPr>
          <w:rFonts w:ascii="Arial" w:cs="Arial" w:eastAsia="Arial" w:hAnsi="Arial"/>
          <w:sz w:val="16"/>
          <w:szCs w:val="16"/>
          <w:color w:val="auto"/>
        </w:rPr>
        <w:t>The foregoing description does not purport to be complete and is subject to, and qualified in its entirety by, the full text of the Master Data Agreement, which will be filed as an exhibit to the Company’s Annual Report on Form 10-K for the fiscal year ending December 31, 2023.</w:t>
      </w:r>
    </w:p>
    <w:p>
      <w:pPr>
        <w:spacing w:after="0" w:line="13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On October 26, 2023, the Company issued a press release announcing its entry into the Master Data Agreement, a copy of which is filed as Exhibit 99.2 to this Current Report on Form 8-K and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On October 26, 2023, the Company filed the Original Form 8-K, which included the Original Earnings Release. This Amendment No. 1 replaces the Original Earnings Release with the amended earnings release, attached hereto as Exhibit 99.1 (the “Amended Earnings Release”). The Amended Earnings Release corrects the high end of the range of expected Adjusted Expenses from $659 million to $695 million. All other information contained in the Original Earnings Release remains unchanged. See “Forward-Looking Statements” and “Non-GAAP Financial Measures” in the Amended Earnings Release for additional information.</w:t>
      </w:r>
    </w:p>
    <w:p>
      <w:pPr>
        <w:spacing w:after="0" w:line="23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920" w:type="dxa"/>
            <w:vAlign w:val="bottom"/>
            <w:gridSpan w:val="3"/>
            <w:vMerge w:val="restart"/>
          </w:tcPr>
          <w:p>
            <w:pPr>
              <w:ind w:left="35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380" w:type="dxa"/>
            <w:vAlign w:val="bottom"/>
            <w:tcBorders>
              <w:top w:val="single" w:sz="8" w:color="auto"/>
              <w:bottom w:val="single" w:sz="8" w:color="0000FF"/>
            </w:tcBorders>
            <w:gridSpan w:val="2"/>
          </w:tcPr>
          <w:p>
            <w:pPr>
              <w:spacing w:after="0"/>
              <w:rPr>
                <w:sz w:val="20"/>
                <w:szCs w:val="20"/>
                <w:color w:val="auto"/>
              </w:rPr>
            </w:pPr>
            <w:r>
              <w:rPr>
                <w:rFonts w:ascii="Arial" w:cs="Arial" w:eastAsia="Arial" w:hAnsi="Arial"/>
                <w:sz w:val="18"/>
                <w:szCs w:val="18"/>
                <w:color w:val="0000FF"/>
                <w:w w:val="89"/>
              </w:rPr>
              <w:t>Press Release of Tradeweb Markets Inc., dated October 26, 2023, announcing Third Quarter 2023 Financial Results.</w:t>
            </w:r>
          </w:p>
        </w:tc>
        <w:tc>
          <w:tcPr>
            <w:tcW w:w="10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gridSpan w:val="2"/>
          </w:tcPr>
          <w:p>
            <w:pPr>
              <w:ind w:left="2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0000FF"/>
                <w:w w:val="91"/>
              </w:rPr>
              <w:t>Press Release of Tradeweb Markets Inc., dated October 26, 2023, announcing Entry into Market Data Licensing Agreement with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1"/>
              </w:rPr>
              <w:t>LSEG</w:t>
            </w:r>
          </w:p>
        </w:tc>
        <w:tc>
          <w:tcPr>
            <w:tcW w:w="882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TRADEWEB MARKETS INC.</w:t>
            </w:r>
          </w:p>
        </w:tc>
      </w:tr>
      <w:tr>
        <w:trPr>
          <w:trHeight w:val="500"/>
        </w:trPr>
        <w:tc>
          <w:tcPr>
            <w:tcW w:w="4480" w:type="dxa"/>
            <w:vAlign w:val="bottom"/>
          </w:tcPr>
          <w:p>
            <w:pPr>
              <w:spacing w:after="0"/>
              <w:rPr>
                <w:sz w:val="20"/>
                <w:szCs w:val="20"/>
                <w:color w:val="auto"/>
              </w:rPr>
            </w:pPr>
            <w:r>
              <w:rPr>
                <w:rFonts w:ascii="Arial" w:cs="Arial" w:eastAsia="Arial" w:hAnsi="Arial"/>
                <w:sz w:val="18"/>
                <w:szCs w:val="18"/>
                <w:color w:val="auto"/>
              </w:rPr>
              <w:t>Date: October 26, 2023</w:t>
            </w: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By:   /s/ Douglas Friedman</w:t>
            </w:r>
          </w:p>
        </w:tc>
      </w:tr>
      <w:tr>
        <w:trPr>
          <w:trHeight w:val="222"/>
        </w:trPr>
        <w:tc>
          <w:tcPr>
            <w:tcW w:w="4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4" w:name="page5"/>
    <w:bookmarkEnd w:id="4"/>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11"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1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THIRD QUARTER 2023 FINANCIAL RESULTS</w:t>
      </w:r>
    </w:p>
    <w:p>
      <w:pPr>
        <w:spacing w:after="0" w:line="224"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New York, October 26, 2023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67310</wp:posOffset>
            </wp:positionV>
            <wp:extent cx="3094355" cy="270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094355" cy="2700020"/>
                    </a:xfrm>
                    <a:prstGeom prst="rect">
                      <a:avLst/>
                    </a:prstGeom>
                    <a:noFill/>
                  </pic:spPr>
                </pic:pic>
              </a:graphicData>
            </a:graphic>
          </wp:anchor>
        </w:drawing>
      </w:r>
    </w:p>
    <w:p>
      <w:pPr>
        <w:sectPr>
          <w:pgSz w:w="11900" w:h="16838" w:orient="portrait"/>
          <w:cols w:equalWidth="0" w:num="1">
            <w:col w:w="10940"/>
          </w:cols>
          <w:pgMar w:left="320" w:top="270" w:right="639" w:bottom="1440" w:gutter="0" w:footer="0" w:header="0"/>
        </w:sectPr>
      </w:pPr>
    </w:p>
    <w:p>
      <w:pPr>
        <w:spacing w:after="0" w:line="115"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b w:val="1"/>
          <w:bCs w:val="1"/>
          <w:color w:val="auto"/>
        </w:rPr>
        <w:t xml:space="preserve">$328.4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14.4% </w:t>
      </w:r>
      <w:r>
        <w:rPr>
          <w:rFonts w:ascii="Arial" w:cs="Arial" w:eastAsia="Arial" w:hAnsi="Arial"/>
          <w:sz w:val="16"/>
          <w:szCs w:val="16"/>
          <w:color w:val="auto"/>
        </w:rPr>
        <w:t>(</w:t>
      </w:r>
      <w:r>
        <w:rPr>
          <w:rFonts w:ascii="Arial" w:cs="Arial" w:eastAsia="Arial" w:hAnsi="Arial"/>
          <w:sz w:val="16"/>
          <w:szCs w:val="16"/>
          <w:b w:val="1"/>
          <w:bCs w:val="1"/>
          <w:color w:val="auto"/>
        </w:rPr>
        <w:t xml:space="preserve">12.5%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64" w:lineRule="auto"/>
        <w:rPr>
          <w:sz w:val="20"/>
          <w:szCs w:val="20"/>
          <w:color w:val="auto"/>
        </w:rPr>
      </w:pPr>
      <w:r>
        <w:rPr>
          <w:rFonts w:ascii="Arial" w:cs="Arial" w:eastAsia="Arial" w:hAnsi="Arial"/>
          <w:sz w:val="16"/>
          <w:szCs w:val="16"/>
          <w:b w:val="1"/>
          <w:bCs w:val="1"/>
          <w:color w:val="auto"/>
        </w:rPr>
        <w:t xml:space="preserve">$1.4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29.6% </w:t>
      </w:r>
      <w:r>
        <w:rPr>
          <w:rFonts w:ascii="Arial" w:cs="Arial" w:eastAsia="Arial" w:hAnsi="Arial"/>
          <w:sz w:val="16"/>
          <w:szCs w:val="16"/>
          <w:color w:val="auto"/>
        </w:rPr>
        <w:t xml:space="preserve">compared to prior year period; quarterly ADV records in fully electronic U.S. High Grade credit, global repurchase agreements, Chinese bonds and swaps/swaptions ≥ 1-year; record </w:t>
      </w:r>
      <w:r>
        <w:rPr>
          <w:rFonts w:ascii="Arial" w:cs="Arial" w:eastAsia="Arial" w:hAnsi="Arial"/>
          <w:sz w:val="16"/>
          <w:szCs w:val="16"/>
          <w:b w:val="1"/>
          <w:bCs w:val="1"/>
          <w:color w:val="auto"/>
        </w:rPr>
        <w:t>16.6%</w:t>
      </w:r>
      <w:r>
        <w:rPr>
          <w:rFonts w:ascii="Arial" w:cs="Arial" w:eastAsia="Arial" w:hAnsi="Arial"/>
          <w:sz w:val="16"/>
          <w:szCs w:val="16"/>
          <w:color w:val="auto"/>
        </w:rPr>
        <w:t xml:space="preserve"> share of fully electronic U.S. High Grade TRACE and a record </w:t>
      </w:r>
      <w:r>
        <w:rPr>
          <w:rFonts w:ascii="Arial" w:cs="Arial" w:eastAsia="Arial" w:hAnsi="Arial"/>
          <w:sz w:val="16"/>
          <w:szCs w:val="16"/>
          <w:b w:val="1"/>
          <w:bCs w:val="1"/>
          <w:color w:val="auto"/>
        </w:rPr>
        <w:t>7.8%</w:t>
      </w:r>
      <w:r>
        <w:rPr>
          <w:rFonts w:ascii="Arial" w:cs="Arial" w:eastAsia="Arial" w:hAnsi="Arial"/>
          <w:sz w:val="16"/>
          <w:szCs w:val="16"/>
          <w:color w:val="auto"/>
        </w:rPr>
        <w:t xml:space="preserve"> share of fully electronic U.S. High Yield TRACE</w:t>
      </w:r>
    </w:p>
    <w:p>
      <w:pPr>
        <w:spacing w:after="0" w:line="68" w:lineRule="exact"/>
        <w:rPr>
          <w:sz w:val="20"/>
          <w:szCs w:val="20"/>
          <w:color w:val="auto"/>
        </w:rPr>
      </w:pPr>
    </w:p>
    <w:p>
      <w:pPr>
        <w:ind w:left="20" w:right="560"/>
        <w:spacing w:after="0" w:line="302" w:lineRule="auto"/>
        <w:rPr>
          <w:sz w:val="20"/>
          <w:szCs w:val="20"/>
          <w:color w:val="auto"/>
        </w:rPr>
      </w:pPr>
      <w:r>
        <w:rPr>
          <w:rFonts w:ascii="Arial" w:cs="Arial" w:eastAsia="Arial" w:hAnsi="Arial"/>
          <w:sz w:val="16"/>
          <w:szCs w:val="16"/>
          <w:b w:val="1"/>
          <w:bCs w:val="1"/>
          <w:color w:val="auto"/>
        </w:rPr>
        <w:t xml:space="preserve">$111.6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$130.8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36.9%</w:t>
      </w:r>
      <w:r>
        <w:rPr>
          <w:rFonts w:ascii="Arial" w:cs="Arial" w:eastAsia="Arial" w:hAnsi="Arial"/>
          <w:sz w:val="16"/>
          <w:szCs w:val="16"/>
          <w:color w:val="auto"/>
        </w:rPr>
        <w:t xml:space="preserve"> and </w:t>
      </w:r>
      <w:r>
        <w:rPr>
          <w:rFonts w:ascii="Arial" w:cs="Arial" w:eastAsia="Arial" w:hAnsi="Arial"/>
          <w:sz w:val="16"/>
          <w:szCs w:val="16"/>
          <w:b w:val="1"/>
          <w:bCs w:val="1"/>
          <w:color w:val="auto"/>
        </w:rPr>
        <w:t>22.8%</w:t>
      </w:r>
      <w:r>
        <w:rPr>
          <w:rFonts w:ascii="Arial" w:cs="Arial" w:eastAsia="Arial" w:hAnsi="Arial"/>
          <w:sz w:val="16"/>
          <w:szCs w:val="16"/>
          <w:color w:val="auto"/>
        </w:rPr>
        <w:t xml:space="preserve"> respectively from prior year period</w:t>
      </w:r>
    </w:p>
    <w:p>
      <w:pPr>
        <w:spacing w:after="0" w:line="36"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51.9%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$170.4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51.0% and $146.3 million respectively for prior year period</w:t>
      </w:r>
    </w:p>
    <w:p>
      <w:pPr>
        <w:spacing w:after="0" w:line="48" w:lineRule="exact"/>
        <w:rPr>
          <w:sz w:val="20"/>
          <w:szCs w:val="20"/>
          <w:color w:val="auto"/>
        </w:rPr>
      </w:pPr>
    </w:p>
    <w:p>
      <w:pPr>
        <w:ind w:left="20" w:right="560"/>
        <w:spacing w:after="0" w:line="304" w:lineRule="auto"/>
        <w:rPr>
          <w:sz w:val="20"/>
          <w:szCs w:val="20"/>
          <w:color w:val="auto"/>
        </w:rPr>
      </w:pPr>
      <w:r>
        <w:rPr>
          <w:rFonts w:ascii="Arial" w:cs="Arial" w:eastAsia="Arial" w:hAnsi="Arial"/>
          <w:sz w:val="16"/>
          <w:szCs w:val="16"/>
          <w:b w:val="1"/>
          <w:bCs w:val="1"/>
          <w:color w:val="auto"/>
        </w:rPr>
        <w:t xml:space="preserve">$0.46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$0.55 </w:t>
      </w:r>
      <w:r>
        <w:rPr>
          <w:rFonts w:ascii="Arial" w:cs="Arial" w:eastAsia="Arial" w:hAnsi="Arial"/>
          <w:sz w:val="16"/>
          <w:szCs w:val="16"/>
          <w:color w:val="auto"/>
        </w:rPr>
        <w:t>adjusted diluted earnings per share</w:t>
      </w:r>
    </w:p>
    <w:p>
      <w:pPr>
        <w:spacing w:after="0" w:line="33" w:lineRule="exact"/>
        <w:rPr>
          <w:sz w:val="20"/>
          <w:szCs w:val="20"/>
          <w:color w:val="auto"/>
        </w:rPr>
      </w:pPr>
    </w:p>
    <w:p>
      <w:pPr>
        <w:ind w:left="20" w:right="660"/>
        <w:spacing w:after="0" w:line="286" w:lineRule="auto"/>
        <w:rPr>
          <w:sz w:val="20"/>
          <w:szCs w:val="20"/>
          <w:color w:val="auto"/>
        </w:rPr>
      </w:pPr>
      <w:r>
        <w:rPr>
          <w:rFonts w:ascii="Arial" w:cs="Arial" w:eastAsia="Arial" w:hAnsi="Arial"/>
          <w:sz w:val="16"/>
          <w:szCs w:val="16"/>
          <w:b w:val="1"/>
          <w:bCs w:val="1"/>
          <w:color w:val="auto"/>
        </w:rPr>
        <w:t xml:space="preserve">$0.09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$4.9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Billy Hult, CEO of Tradeweb:</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“Tradeweb delivered record third-quarter revenues, as heightened</w:t>
      </w:r>
    </w:p>
    <w:p>
      <w:pPr>
        <w:spacing w:after="0" w:line="4" w:lineRule="exact"/>
        <w:rPr>
          <w:sz w:val="20"/>
          <w:szCs w:val="20"/>
          <w:color w:val="auto"/>
        </w:rPr>
      </w:pPr>
    </w:p>
    <w:p>
      <w:pPr>
        <w:ind w:right="380"/>
        <w:spacing w:after="0" w:line="220" w:lineRule="auto"/>
        <w:rPr>
          <w:sz w:val="20"/>
          <w:szCs w:val="20"/>
          <w:color w:val="auto"/>
        </w:rPr>
      </w:pPr>
      <w:r>
        <w:rPr>
          <w:rFonts w:ascii="Arial" w:cs="Arial" w:eastAsia="Arial" w:hAnsi="Arial"/>
          <w:sz w:val="16"/>
          <w:szCs w:val="16"/>
          <w:color w:val="auto"/>
        </w:rPr>
        <w:t>focus on fixed income and a sustained period of high interest rates dominated institutional, wholesale and retail client sectors.</w:t>
      </w:r>
    </w:p>
    <w:p>
      <w:pPr>
        <w:ind w:right="300"/>
        <w:spacing w:after="0" w:line="228" w:lineRule="auto"/>
        <w:rPr>
          <w:sz w:val="20"/>
          <w:szCs w:val="20"/>
          <w:color w:val="auto"/>
        </w:rPr>
      </w:pPr>
      <w:r>
        <w:rPr>
          <w:rFonts w:ascii="Arial" w:cs="Arial" w:eastAsia="Arial" w:hAnsi="Arial"/>
          <w:sz w:val="16"/>
          <w:szCs w:val="16"/>
          <w:color w:val="auto"/>
        </w:rPr>
        <w:t>Reflecting the breadth of Tradeweb’s business, our nearly 30% year-over-year increase in quarterly ADV was fueled by strong volumes in rates, credit, equities and money markets. We continued to grow market share in credit, where our record share</w:t>
      </w:r>
    </w:p>
    <w:p>
      <w:pPr>
        <w:spacing w:after="0" w:line="3" w:lineRule="exact"/>
        <w:rPr>
          <w:sz w:val="20"/>
          <w:szCs w:val="20"/>
          <w:color w:val="auto"/>
        </w:rPr>
      </w:pPr>
    </w:p>
    <w:p>
      <w:pPr>
        <w:ind w:right="320"/>
        <w:spacing w:after="0" w:line="220" w:lineRule="auto"/>
        <w:rPr>
          <w:sz w:val="20"/>
          <w:szCs w:val="20"/>
          <w:color w:val="auto"/>
        </w:rPr>
      </w:pPr>
      <w:r>
        <w:rPr>
          <w:rFonts w:ascii="Arial" w:cs="Arial" w:eastAsia="Arial" w:hAnsi="Arial"/>
          <w:sz w:val="16"/>
          <w:szCs w:val="16"/>
          <w:color w:val="auto"/>
        </w:rPr>
        <w:t>of fully-electronic U.S. High Grade TRACE increased by 263 bps compared to the prior year period – and has more than</w:t>
      </w:r>
    </w:p>
    <w:p>
      <w:pPr>
        <w:ind w:right="220"/>
        <w:spacing w:after="0" w:line="228" w:lineRule="auto"/>
        <w:rPr>
          <w:sz w:val="20"/>
          <w:szCs w:val="20"/>
          <w:color w:val="auto"/>
        </w:rPr>
      </w:pPr>
      <w:r>
        <w:rPr>
          <w:rFonts w:ascii="Arial" w:cs="Arial" w:eastAsia="Arial" w:hAnsi="Arial"/>
          <w:sz w:val="16"/>
          <w:szCs w:val="16"/>
          <w:color w:val="auto"/>
        </w:rPr>
        <w:t>quadrupled over the past five years. We made continued progress against our strategic growth priorities with the closing of the Yieldbroker acquisition during the third quarter. Today, we also announced a new licensing agreement with LSEG Data &amp;</w:t>
      </w:r>
    </w:p>
    <w:p>
      <w:pPr>
        <w:spacing w:after="0" w:line="3" w:lineRule="exact"/>
        <w:rPr>
          <w:sz w:val="20"/>
          <w:szCs w:val="20"/>
          <w:color w:val="auto"/>
        </w:rPr>
      </w:pPr>
    </w:p>
    <w:p>
      <w:pPr>
        <w:ind w:right="220"/>
        <w:spacing w:after="0" w:line="220" w:lineRule="auto"/>
        <w:rPr>
          <w:sz w:val="20"/>
          <w:szCs w:val="20"/>
          <w:color w:val="auto"/>
        </w:rPr>
      </w:pPr>
      <w:r>
        <w:rPr>
          <w:rFonts w:ascii="Arial" w:cs="Arial" w:eastAsia="Arial" w:hAnsi="Arial"/>
          <w:sz w:val="16"/>
          <w:szCs w:val="16"/>
          <w:color w:val="auto"/>
        </w:rPr>
        <w:t>Analytics (Refinitiv), allowing LSEG to distribute our market data while providing Tradeweb with increased revenue and flexibility as</w:t>
      </w:r>
    </w:p>
    <w:p>
      <w:pPr>
        <w:spacing w:after="0"/>
        <w:rPr>
          <w:sz w:val="20"/>
          <w:szCs w:val="20"/>
          <w:color w:val="auto"/>
        </w:rPr>
      </w:pPr>
      <w:r>
        <w:rPr>
          <w:rFonts w:ascii="Arial" w:cs="Arial" w:eastAsia="Arial" w:hAnsi="Arial"/>
          <w:sz w:val="16"/>
          <w:szCs w:val="16"/>
          <w:color w:val="auto"/>
        </w:rPr>
        <w:t>we grow our market data offering.”</w:t>
      </w:r>
    </w:p>
    <w:p>
      <w:pPr>
        <w:spacing w:after="0" w:line="200" w:lineRule="exact"/>
        <w:rPr>
          <w:sz w:val="20"/>
          <w:szCs w:val="20"/>
          <w:color w:val="auto"/>
        </w:rPr>
      </w:pPr>
    </w:p>
    <w:p>
      <w:pPr>
        <w:sectPr>
          <w:pgSz w:w="11900" w:h="16838" w:orient="portrait"/>
          <w:cols w:equalWidth="0" w:num="2">
            <w:col w:w="5880" w:space="120"/>
            <w:col w:w="4940"/>
          </w:cols>
          <w:pgMar w:left="320" w:top="270" w:right="6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6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6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7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6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7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3Q23</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3Q22</w:t>
            </w:r>
          </w:p>
        </w:tc>
        <w:tc>
          <w:tcPr>
            <w:tcW w:w="90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6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78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94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40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60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3Q23</w:t>
            </w:r>
          </w:p>
        </w:tc>
        <w:tc>
          <w:tcPr>
            <w:tcW w:w="220" w:type="dxa"/>
            <w:vAlign w:val="bottom"/>
            <w:shd w:val="clear" w:color="auto" w:fill="083566"/>
          </w:tcPr>
          <w:p>
            <w:pPr>
              <w:spacing w:after="0"/>
              <w:rPr>
                <w:sz w:val="20"/>
                <w:szCs w:val="20"/>
                <w:color w:val="auto"/>
              </w:rPr>
            </w:pPr>
          </w:p>
        </w:tc>
        <w:tc>
          <w:tcPr>
            <w:tcW w:w="7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3Q22</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324</w:t>
            </w:r>
          </w:p>
        </w:tc>
        <w:tc>
          <w:tcPr>
            <w:tcW w:w="880" w:type="dxa"/>
            <w:vAlign w:val="bottom"/>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33"/>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328,357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287,115</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14.4 %</w:t>
            </w:r>
          </w:p>
        </w:tc>
        <w:tc>
          <w:tcPr>
            <w:tcW w:w="560" w:type="dxa"/>
            <w:vAlign w:val="bottom"/>
          </w:tcPr>
          <w:p>
            <w:pPr>
              <w:jc w:val="right"/>
              <w:spacing w:after="0"/>
              <w:rPr>
                <w:sz w:val="20"/>
                <w:szCs w:val="20"/>
                <w:color w:val="auto"/>
              </w:rPr>
            </w:pPr>
            <w:r>
              <w:rPr>
                <w:rFonts w:ascii="Arial" w:cs="Arial" w:eastAsia="Arial" w:hAnsi="Arial"/>
                <w:sz w:val="16"/>
                <w:szCs w:val="16"/>
                <w:color w:val="auto"/>
              </w:rPr>
              <w:t>12.5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492</w:t>
            </w:r>
          </w:p>
        </w:tc>
        <w:tc>
          <w:tcPr>
            <w:tcW w:w="220" w:type="dxa"/>
            <w:vAlign w:val="bottom"/>
          </w:tcPr>
          <w:p>
            <w:pPr>
              <w:spacing w:after="0"/>
              <w:rPr>
                <w:sz w:val="20"/>
                <w:szCs w:val="20"/>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329</w:t>
            </w:r>
          </w:p>
        </w:tc>
        <w:tc>
          <w:tcPr>
            <w:tcW w:w="880" w:type="dxa"/>
            <w:vAlign w:val="bottom"/>
          </w:tcPr>
          <w:p>
            <w:pPr>
              <w:jc w:val="right"/>
              <w:spacing w:after="0"/>
              <w:rPr>
                <w:sz w:val="20"/>
                <w:szCs w:val="20"/>
                <w:color w:val="auto"/>
              </w:rPr>
            </w:pPr>
            <w:r>
              <w:rPr>
                <w:rFonts w:ascii="Arial" w:cs="Arial" w:eastAsia="Arial" w:hAnsi="Arial"/>
                <w:sz w:val="16"/>
                <w:szCs w:val="16"/>
                <w:color w:val="auto"/>
              </w:rPr>
              <w:t>49.7 %</w:t>
            </w:r>
          </w:p>
        </w:tc>
        <w:tc>
          <w:tcPr>
            <w:tcW w:w="0" w:type="dxa"/>
            <w:vAlign w:val="bottom"/>
          </w:tcPr>
          <w:p>
            <w:pPr>
              <w:spacing w:after="0"/>
              <w:rPr>
                <w:sz w:val="1"/>
                <w:szCs w:val="1"/>
                <w:color w:val="auto"/>
              </w:rPr>
            </w:pPr>
          </w:p>
        </w:tc>
      </w:tr>
      <w:tr>
        <w:trPr>
          <w:trHeight w:val="246"/>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172,832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148,167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16.6 %</w:t>
            </w:r>
          </w:p>
        </w:tc>
        <w:tc>
          <w:tcPr>
            <w:tcW w:w="560" w:type="dxa"/>
            <w:vAlign w:val="bottom"/>
          </w:tcPr>
          <w:p>
            <w:pPr>
              <w:jc w:val="right"/>
              <w:spacing w:after="0"/>
              <w:rPr>
                <w:sz w:val="20"/>
                <w:szCs w:val="20"/>
                <w:color w:val="auto"/>
              </w:rPr>
            </w:pPr>
            <w:r>
              <w:rPr>
                <w:rFonts w:ascii="Arial" w:cs="Arial" w:eastAsia="Arial" w:hAnsi="Arial"/>
                <w:sz w:val="16"/>
                <w:szCs w:val="16"/>
                <w:color w:val="auto"/>
              </w:rPr>
              <w:t>14.6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853</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653</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30.7 %</w:t>
            </w:r>
          </w:p>
        </w:tc>
        <w:tc>
          <w:tcPr>
            <w:tcW w:w="0" w:type="dxa"/>
            <w:vAlign w:val="bottom"/>
          </w:tcPr>
          <w:p>
            <w:pPr>
              <w:spacing w:after="0"/>
              <w:rPr>
                <w:sz w:val="1"/>
                <w:szCs w:val="1"/>
                <w:color w:val="auto"/>
              </w:rPr>
            </w:pPr>
          </w:p>
        </w:tc>
      </w:tr>
      <w:tr>
        <w:trPr>
          <w:trHeight w:val="223"/>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90,062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78,101</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15.3 %</w:t>
            </w: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39.6 %</w:t>
            </w:r>
          </w:p>
        </w:tc>
        <w:tc>
          <w:tcPr>
            <w:tcW w:w="0" w:type="dxa"/>
            <w:vAlign w:val="bottom"/>
          </w:tcPr>
          <w:p>
            <w:pPr>
              <w:spacing w:after="0"/>
              <w:rPr>
                <w:sz w:val="1"/>
                <w:szCs w:val="1"/>
                <w:color w:val="auto"/>
              </w:rPr>
            </w:pPr>
          </w:p>
        </w:tc>
      </w:tr>
      <w:tr>
        <w:trPr>
          <w:trHeight w:val="253"/>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20,890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21,277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 %</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(4.8)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88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46"/>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15,763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12,969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21.5 %</w:t>
            </w: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29</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23"/>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22,956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21,222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8.2 %</w:t>
            </w:r>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53"/>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5,854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5,379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8.8 %</w:t>
            </w:r>
          </w:p>
        </w:tc>
        <w:tc>
          <w:tcPr>
            <w:tcW w:w="560" w:type="dxa"/>
            <w:vAlign w:val="bottom"/>
          </w:tcPr>
          <w:p>
            <w:pPr>
              <w:jc w:val="right"/>
              <w:spacing w:after="0"/>
              <w:rPr>
                <w:sz w:val="20"/>
                <w:szCs w:val="20"/>
                <w:color w:val="auto"/>
              </w:rPr>
            </w:pPr>
            <w:r>
              <w:rPr>
                <w:rFonts w:ascii="Arial" w:cs="Arial" w:eastAsia="Arial" w:hAnsi="Arial"/>
                <w:sz w:val="16"/>
                <w:szCs w:val="16"/>
                <w:color w:val="auto"/>
              </w:rPr>
              <w:t>8.8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34.8 %</w:t>
            </w:r>
          </w:p>
        </w:tc>
        <w:tc>
          <w:tcPr>
            <w:tcW w:w="0" w:type="dxa"/>
            <w:vAlign w:val="bottom"/>
          </w:tcPr>
          <w:p>
            <w:pPr>
              <w:spacing w:after="0"/>
              <w:rPr>
                <w:sz w:val="1"/>
                <w:szCs w:val="1"/>
                <w:color w:val="auto"/>
              </w:rPr>
            </w:pPr>
          </w:p>
        </w:tc>
      </w:tr>
      <w:tr>
        <w:trPr>
          <w:trHeight w:val="246"/>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111,630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81,566</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36.9 %</w:t>
            </w: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192"/>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522</w:t>
            </w:r>
          </w:p>
        </w:tc>
        <w:tc>
          <w:tcPr>
            <w:tcW w:w="22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6"/>
                <w:szCs w:val="16"/>
                <w:color w:val="auto"/>
              </w:rPr>
              <w:t>401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108"/>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shd w:val="clear" w:color="auto" w:fill="D5DCE4"/>
          </w:tcPr>
          <w:p>
            <w:pPr>
              <w:spacing w:after="0"/>
              <w:rPr>
                <w:sz w:val="8"/>
                <w:szCs w:val="8"/>
                <w:color w:val="auto"/>
              </w:rPr>
            </w:pPr>
          </w:p>
        </w:tc>
        <w:tc>
          <w:tcPr>
            <w:tcW w:w="220" w:type="dxa"/>
            <w:vAlign w:val="bottom"/>
            <w:shd w:val="clear" w:color="auto" w:fill="D5DCE4"/>
          </w:tcPr>
          <w:p>
            <w:pPr>
              <w:spacing w:after="0"/>
              <w:rPr>
                <w:sz w:val="8"/>
                <w:szCs w:val="8"/>
                <w:color w:val="auto"/>
              </w:rPr>
            </w:pPr>
          </w:p>
        </w:tc>
        <w:tc>
          <w:tcPr>
            <w:tcW w:w="600" w:type="dxa"/>
            <w:vAlign w:val="bottom"/>
            <w:shd w:val="clear" w:color="auto" w:fill="D5DCE4"/>
          </w:tcPr>
          <w:p>
            <w:pPr>
              <w:spacing w:after="0"/>
              <w:rPr>
                <w:sz w:val="8"/>
                <w:szCs w:val="8"/>
                <w:color w:val="auto"/>
              </w:rPr>
            </w:pPr>
          </w:p>
        </w:tc>
        <w:tc>
          <w:tcPr>
            <w:tcW w:w="220" w:type="dxa"/>
            <w:vAlign w:val="bottom"/>
            <w:shd w:val="clear" w:color="auto" w:fill="D5DCE4"/>
          </w:tcPr>
          <w:p>
            <w:pPr>
              <w:spacing w:after="0"/>
              <w:rPr>
                <w:sz w:val="8"/>
                <w:szCs w:val="8"/>
                <w:color w:val="auto"/>
              </w:rPr>
            </w:pPr>
          </w:p>
        </w:tc>
        <w:tc>
          <w:tcPr>
            <w:tcW w:w="780" w:type="dxa"/>
            <w:vAlign w:val="bottom"/>
            <w:shd w:val="clear" w:color="auto" w:fill="D5DCE4"/>
          </w:tcPr>
          <w:p>
            <w:pPr>
              <w:spacing w:after="0"/>
              <w:rPr>
                <w:sz w:val="8"/>
                <w:szCs w:val="8"/>
                <w:color w:val="auto"/>
              </w:rPr>
            </w:pPr>
          </w:p>
        </w:tc>
        <w:tc>
          <w:tcPr>
            <w:tcW w:w="880" w:type="dxa"/>
            <w:vAlign w:val="bottom"/>
            <w:shd w:val="clear" w:color="auto" w:fill="D5DCE4"/>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740" w:type="dxa"/>
            <w:vAlign w:val="bottom"/>
          </w:tcPr>
          <w:p>
            <w:pPr>
              <w:ind w:left="20"/>
              <w:spacing w:after="0" w:line="226"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98,614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69,083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42.7 %</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083566"/>
            </w:tcBorders>
          </w:tcPr>
          <w:p>
            <w:pPr>
              <w:spacing w:after="0"/>
              <w:rPr>
                <w:sz w:val="19"/>
                <w:szCs w:val="19"/>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19"/>
                <w:szCs w:val="19"/>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522</w:t>
            </w:r>
          </w:p>
        </w:tc>
        <w:tc>
          <w:tcPr>
            <w:tcW w:w="220" w:type="dxa"/>
            <w:vAlign w:val="bottom"/>
            <w:tcBorders>
              <w:bottom w:val="single" w:sz="8" w:color="083566"/>
            </w:tcBorders>
            <w:shd w:val="clear" w:color="auto" w:fill="D5DCE4"/>
          </w:tcPr>
          <w:p>
            <w:pPr>
              <w:spacing w:after="0"/>
              <w:rPr>
                <w:sz w:val="19"/>
                <w:szCs w:val="19"/>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401</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37"/>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0.46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0.33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39.4 %</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1,424</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1,099</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29.6 %</w:t>
            </w:r>
          </w:p>
        </w:tc>
        <w:tc>
          <w:tcPr>
            <w:tcW w:w="0" w:type="dxa"/>
            <w:vAlign w:val="bottom"/>
          </w:tcPr>
          <w:p>
            <w:pPr>
              <w:spacing w:after="0"/>
              <w:rPr>
                <w:sz w:val="1"/>
                <w:szCs w:val="1"/>
                <w:color w:val="auto"/>
              </w:rPr>
            </w:pPr>
          </w:p>
        </w:tc>
      </w:tr>
      <w:tr>
        <w:trPr>
          <w:trHeight w:val="223"/>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34.0 %</w:t>
            </w:r>
          </w:p>
        </w:tc>
        <w:tc>
          <w:tcPr>
            <w:tcW w:w="2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28.4 %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+559 bps</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73761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73761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940"/>
          </w:cols>
          <w:pgMar w:left="320" w:top="270" w:right="6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170,360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146,334</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16.4 %</w:t>
            </w:r>
          </w:p>
        </w:tc>
        <w:tc>
          <w:tcPr>
            <w:tcW w:w="520" w:type="dxa"/>
            <w:vAlign w:val="bottom"/>
          </w:tcPr>
          <w:p>
            <w:pPr>
              <w:ind w:left="160"/>
              <w:spacing w:after="0"/>
              <w:rPr>
                <w:sz w:val="20"/>
                <w:szCs w:val="20"/>
                <w:color w:val="auto"/>
              </w:rPr>
            </w:pPr>
            <w:r>
              <w:rPr>
                <w:rFonts w:ascii="Arial" w:cs="Arial" w:eastAsia="Arial" w:hAnsi="Arial"/>
                <w:sz w:val="16"/>
                <w:szCs w:val="16"/>
                <w:color w:val="auto"/>
              </w:rPr>
              <w:t>16.5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51.9 %</w:t>
            </w:r>
          </w:p>
        </w:tc>
        <w:tc>
          <w:tcPr>
            <w:tcW w:w="2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51.0 %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+92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+181 bps</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155,772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133,114</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17.0 %</w:t>
            </w:r>
          </w:p>
        </w:tc>
        <w:tc>
          <w:tcPr>
            <w:tcW w:w="520" w:type="dxa"/>
            <w:vAlign w:val="bottom"/>
          </w:tcPr>
          <w:p>
            <w:pPr>
              <w:ind w:left="160"/>
              <w:spacing w:after="0"/>
              <w:rPr>
                <w:sz w:val="20"/>
                <w:szCs w:val="20"/>
                <w:color w:val="auto"/>
              </w:rPr>
            </w:pPr>
            <w:r>
              <w:rPr>
                <w:rFonts w:ascii="Arial" w:cs="Arial" w:eastAsia="Arial" w:hAnsi="Arial"/>
                <w:sz w:val="16"/>
                <w:szCs w:val="16"/>
                <w:color w:val="auto"/>
              </w:rPr>
              <w:t>17.2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720" w:type="dxa"/>
            <w:vAlign w:val="bottom"/>
          </w:tcPr>
          <w:p>
            <w:pPr>
              <w:spacing w:after="0" w:line="158"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47.4 %</w:t>
            </w:r>
          </w:p>
        </w:tc>
        <w:tc>
          <w:tcPr>
            <w:tcW w:w="20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46.4 %</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+108 bps</w:t>
            </w:r>
          </w:p>
        </w:tc>
        <w:tc>
          <w:tcPr>
            <w:tcW w:w="820" w:type="dxa"/>
            <w:vAlign w:val="bottom"/>
            <w:gridSpan w:val="2"/>
            <w:vMerge w:val="restart"/>
          </w:tcPr>
          <w:p>
            <w:pPr>
              <w:ind w:left="160"/>
              <w:spacing w:after="0"/>
              <w:rPr>
                <w:sz w:val="20"/>
                <w:szCs w:val="20"/>
                <w:color w:val="auto"/>
              </w:rPr>
            </w:pPr>
            <w:r>
              <w:rPr>
                <w:rFonts w:ascii="Arial" w:cs="Arial" w:eastAsia="Arial" w:hAnsi="Arial"/>
                <w:sz w:val="16"/>
                <w:szCs w:val="16"/>
                <w:color w:val="auto"/>
                <w:w w:val="96"/>
              </w:rPr>
              <w:t>+192 bps</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720" w:type="dxa"/>
            <w:vAlign w:val="bottom"/>
          </w:tcPr>
          <w:p>
            <w:pPr>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130,794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106,491</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22.8 %</w:t>
            </w:r>
          </w:p>
        </w:tc>
        <w:tc>
          <w:tcPr>
            <w:tcW w:w="520" w:type="dxa"/>
            <w:vAlign w:val="bottom"/>
          </w:tcPr>
          <w:p>
            <w:pPr>
              <w:ind w:left="160"/>
              <w:spacing w:after="0"/>
              <w:rPr>
                <w:sz w:val="20"/>
                <w:szCs w:val="20"/>
                <w:color w:val="auto"/>
              </w:rPr>
            </w:pPr>
            <w:r>
              <w:rPr>
                <w:rFonts w:ascii="Arial" w:cs="Arial" w:eastAsia="Arial" w:hAnsi="Arial"/>
                <w:sz w:val="16"/>
                <w:szCs w:val="16"/>
                <w:color w:val="auto"/>
              </w:rPr>
              <w:t>23.0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720" w:type="dxa"/>
            <w:vAlign w:val="bottom"/>
          </w:tcPr>
          <w:p>
            <w:pPr>
              <w:spacing w:after="0" w:line="158"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0.55</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0.45</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22.2 %</w:t>
            </w:r>
          </w:p>
        </w:tc>
        <w:tc>
          <w:tcPr>
            <w:tcW w:w="520" w:type="dxa"/>
            <w:vAlign w:val="bottom"/>
            <w:vMerge w:val="restart"/>
          </w:tcPr>
          <w:p>
            <w:pPr>
              <w:ind w:left="160"/>
              <w:spacing w:after="0"/>
              <w:rPr>
                <w:sz w:val="20"/>
                <w:szCs w:val="20"/>
                <w:color w:val="auto"/>
              </w:rPr>
            </w:pPr>
            <w:r>
              <w:rPr>
                <w:rFonts w:ascii="Arial" w:cs="Arial" w:eastAsia="Arial" w:hAnsi="Arial"/>
                <w:sz w:val="16"/>
                <w:szCs w:val="16"/>
                <w:color w:val="auto"/>
              </w:rPr>
              <w:t>22.2</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47" w:right="240" w:hanging="247"/>
        <w:spacing w:after="0" w:line="258" w:lineRule="auto"/>
        <w:tabs>
          <w:tab w:leader="none" w:pos="184"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14" w:lineRule="exact"/>
        <w:rPr>
          <w:rFonts w:ascii="Arial" w:cs="Arial" w:eastAsia="Arial" w:hAnsi="Arial"/>
          <w:sz w:val="12"/>
          <w:szCs w:val="12"/>
          <w:color w:val="auto"/>
        </w:rPr>
      </w:pPr>
    </w:p>
    <w:p>
      <w:pPr>
        <w:ind w:left="187" w:hanging="187"/>
        <w:spacing w:after="0"/>
        <w:tabs>
          <w:tab w:leader="none" w:pos="187"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00" w:space="193"/>
            <w:col w:w="4947"/>
          </w:cols>
          <w:pgMar w:left="320" w:top="270" w:right="6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$172.8 million in the third quarter of 2023 increased 16.6% compared to prior year period (14.6% increase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30.7% from prior year period, as heightened interest rate volatility drove record volume in swaps/swaptions ≥ 1-year. U.S. and European government bonds reported double-digit ADV increases from prior year period, supported by sustained rates market volatility, while Mortgages ADV was up 7.3% reflecting increased trading activity across institutional, wholesale, and retail client sectors.</w:t>
      </w:r>
    </w:p>
    <w:p>
      <w:pPr>
        <w:spacing w:after="0" w:line="196"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$90.1 million in the third quarter of 2023 increased 15.3% compared to prior year period (13.8% increase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2.1% from prior year period, as strong U.S. credit volumes reflected continued client adoption across Tradeweb protocols, including request-for-quote (RFQ), Tradeweb AllTrade® and portfolio trading. European Credit ADV was up 34.4% from prior year period, while our share of</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fully electronic TRACE for U.S. High Grade was a record 16.6%, up 263 bps from prior year period, and U.S. High Yield was a record 7.8%, up 240 bps from prior year period.</w:t>
      </w:r>
    </w:p>
    <w:p>
      <w:pPr>
        <w:spacing w:after="0" w:line="218" w:lineRule="exact"/>
        <w:rPr>
          <w:sz w:val="20"/>
          <w:szCs w:val="20"/>
          <w:color w:val="auto"/>
        </w:rPr>
      </w:pPr>
    </w:p>
    <w:p>
      <w:pPr>
        <w:jc w:val="both"/>
        <w:ind w:right="360"/>
        <w:spacing w:after="0" w:line="275"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$20.9 million in the third quarter of 2023 decreased 1.8% compared to prior year period (4.8% decrease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19.7% from prior year period, driven by strong U.S. ETF wholesale activity, while institutional client engagement remained robust. European ETF volumes reflected declining overall market volumes.</w:t>
      </w:r>
    </w:p>
    <w:p>
      <w:pPr>
        <w:spacing w:after="0" w:line="178" w:lineRule="exact"/>
        <w:rPr>
          <w:sz w:val="20"/>
          <w:szCs w:val="20"/>
          <w:color w:val="auto"/>
        </w:rPr>
      </w:pPr>
    </w:p>
    <w:p>
      <w:pPr>
        <w:jc w:val="both"/>
        <w:ind w:right="420"/>
        <w:spacing w:after="0" w:line="257"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$15.8 million in the third quarter of 2023 increased 21.5% compared to prior year period (20.0% increase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30.3% from prior year period, led by record activity in global repurchase agreements and continued client adoption of Tradeweb's electronic trading solutions.</w:t>
      </w: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$23.0 million in the third quarter of 2023 increased 8.2% compared to prior year period (6.9% increase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The increase was derived primarily from increased proprietary third party market data and trade reporting services (APA) revenue.</w:t>
      </w:r>
    </w:p>
    <w:p>
      <w:pPr>
        <w:spacing w:after="0" w:line="19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$5.9 million in the third quarter of 2023 increased 8.8% compared to prior year period (the same percentage increase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software development and implementation revenue on behalf of certain clients.</w:t>
      </w:r>
    </w:p>
    <w:p>
      <w:pPr>
        <w:spacing w:after="0" w:line="16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$203.6 million in the third quarter of 2023 increased 10.5% compared to $184.3 million in prior year period due to: higher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employee compensation and benefits associated with higher headcount and incentive compensation and commission tied to our operating performance, higher technology and communications expenses related to continued investment in our data strategy and infrastructure, higher professional fee expenses due to increased legal and other costs related to acquisitions and higher depreciation and amortization expenses, driven by increases in investment in our infrastructure and expenses relating to the assets acquired in connection with the Yieldbroker acquisition.</w:t>
      </w:r>
    </w:p>
    <w:p>
      <w:pPr>
        <w:spacing w:after="0" w:line="22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$172.6 million increased 12.1% (8.5% increase on a constant currency basis) compared to prior year period due to higher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employee compensation and benefits, higher technology and communications expenses and higher depreciation and amortization. Please see "Non-GAAP Financial Measures" below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October 2023</w:t>
      </w:r>
    </w:p>
    <w:p>
      <w:pPr>
        <w:spacing w:after="0" w:line="12" w:lineRule="exact"/>
        <w:rPr>
          <w:sz w:val="20"/>
          <w:szCs w:val="20"/>
          <w:color w:val="auto"/>
        </w:rPr>
      </w:pPr>
    </w:p>
    <w:p>
      <w:pPr>
        <w:ind w:left="660" w:right="80" w:hanging="328"/>
        <w:spacing w:after="0" w:line="23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new licensing agreement with LSEG Data &amp; Analytics (Refinitiv), allowing LSEG to distribute our market data while providing Tradeweb with increased revenue and flexibility.</w:t>
      </w:r>
    </w:p>
    <w:p>
      <w:pPr>
        <w:spacing w:after="0" w:line="1" w:lineRule="exact"/>
        <w:rPr>
          <w:rFonts w:ascii="Arial" w:cs="Arial" w:eastAsia="Arial" w:hAnsi="Arial"/>
          <w:sz w:val="16"/>
          <w:szCs w:val="16"/>
          <w:color w:val="auto"/>
        </w:rPr>
      </w:pPr>
    </w:p>
    <w:p>
      <w:pPr>
        <w:ind w:left="660" w:right="480" w:hanging="328"/>
        <w:spacing w:after="0" w:line="24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strategic partnership with FTSE Russell to develop the next generation of fixed income pricing and index trading products. The collaboration is focused on expanding benchmark pricing, broadening index inclusion and enhancing trading functionality across fixed income products.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2023</w:t>
      </w:r>
    </w:p>
    <w:p>
      <w:pPr>
        <w:spacing w:after="0" w:line="25" w:lineRule="exact"/>
        <w:rPr>
          <w:sz w:val="20"/>
          <w:szCs w:val="20"/>
          <w:color w:val="auto"/>
        </w:rPr>
      </w:pPr>
    </w:p>
    <w:p>
      <w:pPr>
        <w:ind w:left="660" w:right="660" w:hanging="328"/>
        <w:spacing w:after="0" w:line="25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Closed acquisition of Yieldbroker, a leading Australian trading platform for Australian and New Zealand government bonds and interest rate derivatives covering the institutional, wholesale and primary markets.</w:t>
      </w:r>
    </w:p>
    <w:p>
      <w:pPr>
        <w:ind w:left="660" w:right="4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Collaborated with FXall, LSEG's leading electronic platform for global currency products, to launch Tradeweb's FX Swap Workflow multi-asset digital solution, which links trading workflows in local currency EM bonds and FX swaps through a single user interface.</w:t>
      </w:r>
    </w:p>
    <w:p>
      <w:pPr>
        <w:ind w:left="660" w:right="360" w:hanging="328"/>
        <w:spacing w:after="0" w:line="24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Published our third annual 2022 Corporate Sustainability Report and our inaugural Task Force on Climate-Related Financial Disclosure (TCFD) Report.</w:t>
      </w:r>
    </w:p>
    <w:p>
      <w:pPr>
        <w:spacing w:after="0" w:line="1" w:lineRule="exact"/>
        <w:rPr>
          <w:rFonts w:ascii="Arial" w:cs="Arial" w:eastAsia="Arial" w:hAnsi="Arial"/>
          <w:sz w:val="16"/>
          <w:szCs w:val="16"/>
          <w:color w:val="auto"/>
        </w:rPr>
      </w:pPr>
    </w:p>
    <w:p>
      <w:pPr>
        <w:ind w:left="660" w:right="220" w:hanging="328"/>
        <w:spacing w:after="0" w:line="25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that institutional clients executing Japanese Yen swaps on Tradeweb's Multilateral Trading Facilities (MTFs) and SEFs can clear their transactions via the Japan Securities Clearing Corporation (JSCC).</w:t>
      </w:r>
    </w:p>
    <w:p>
      <w:pPr>
        <w:ind w:left="660" w:right="40" w:hanging="328"/>
        <w:spacing w:after="0" w:line="25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European Women in Finance,</w:t>
      </w:r>
      <w:r>
        <w:rPr>
          <w:rFonts w:ascii="Arial" w:cs="Arial" w:eastAsia="Arial" w:hAnsi="Arial"/>
          <w:sz w:val="16"/>
          <w:szCs w:val="16"/>
          <w:color w:val="auto"/>
        </w:rPr>
        <w:t xml:space="preserve"> </w:t>
      </w:r>
      <w:r>
        <w:rPr>
          <w:rFonts w:ascii="Arial" w:cs="Arial" w:eastAsia="Arial" w:hAnsi="Arial"/>
          <w:sz w:val="16"/>
          <w:szCs w:val="16"/>
          <w:i w:val="1"/>
          <w:iCs w:val="1"/>
          <w:color w:val="auto"/>
        </w:rPr>
        <w:t>Excellence in Trading Platforms - Mélanie Hazan (Markets Media), European Women in Finance, Individual Achievement - Elodie Cany (Markets Media), 40 Innovators in Financial Markets - Billy Hult (TabbFORUM), Asia Risk Awards, OTC Platform of the Year (Risk.net), Asia Risk Awards, Buy-Side Trading System of the Year (Risk.net), Covered Bond Awards, Best Electronic Trading Platform (GlobalCapital), HFM Asia Services Awards, Most Disruptive Technology Solution (With Intelligence), Best Financial Services Companies to Work for (U.S. News &amp; World Report), Best Workplaces for Innovators (Fast Company).</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2</w:t>
      </w:r>
    </w:p>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083566"/>
        </w:rPr>
        <w:t>CAPITAL MANAGEMENT</w:t>
      </w:r>
    </w:p>
    <w:p>
      <w:pPr>
        <w:spacing w:after="0" w:line="12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$1.5 billion in cash and cash equivalents and an undrawn $500 million credit facility at September 30, 2023</w:t>
      </w:r>
    </w:p>
    <w:p>
      <w:pPr>
        <w:spacing w:after="0" w:line="22" w:lineRule="exact"/>
        <w:rPr>
          <w:rFonts w:ascii="Arial" w:cs="Arial" w:eastAsia="Arial" w:hAnsi="Arial"/>
          <w:sz w:val="16"/>
          <w:szCs w:val="16"/>
          <w:color w:val="auto"/>
        </w:rPr>
      </w:pPr>
    </w:p>
    <w:p>
      <w:pPr>
        <w:ind w:left="660" w:right="4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September 30, 2023 of $645.1 million, up 16.2% compared to prior year period. See “Non-GAAP Financial Measures” for additional information</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Non-acquisition cash capital expenditures and capitalization of software development in the third quarter 2023 of $17.9 million</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Invested $69.6 million in the acquisition of Yieldbroker, net of cash acquired</w:t>
      </w:r>
    </w:p>
    <w:p>
      <w:pPr>
        <w:spacing w:after="0" w:line="5" w:lineRule="exact"/>
        <w:rPr>
          <w:rFonts w:ascii="Arial" w:cs="Arial" w:eastAsia="Arial" w:hAnsi="Arial"/>
          <w:sz w:val="16"/>
          <w:szCs w:val="16"/>
          <w:color w:val="auto"/>
        </w:rPr>
      </w:pPr>
    </w:p>
    <w:p>
      <w:pPr>
        <w:ind w:left="660" w:right="160" w:hanging="328"/>
        <w:spacing w:after="0" w:line="254"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third quarter of 2023, as part of its share repurchase program, Tradeweb purchased 65,054 shares of Class A common stock, at an average price of $75.28, for purchases totaling $4.9 million. As of September 30, 2023, a total of $239.8 million remained available for repurchase pursuant to the share repurchase program authorization</w:t>
      </w:r>
    </w:p>
    <w:p>
      <w:pPr>
        <w:spacing w:after="0" w:line="1" w:lineRule="exact"/>
        <w:rPr>
          <w:rFonts w:ascii="Arial" w:cs="Arial" w:eastAsia="Arial" w:hAnsi="Arial"/>
          <w:sz w:val="16"/>
          <w:szCs w:val="16"/>
          <w:color w:val="auto"/>
        </w:rPr>
      </w:pPr>
    </w:p>
    <w:p>
      <w:pPr>
        <w:ind w:left="660" w:right="220" w:hanging="328"/>
        <w:spacing w:after="0" w:line="25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$7.8 million in shares of Class A common stock were withheld in the third quarter of 2023 to satisfy tax obligations related to the exercise of stock options and vesting of restricted stock units and performance-based restricted stock units held by employees</w:t>
      </w:r>
    </w:p>
    <w:p>
      <w:pPr>
        <w:spacing w:after="0" w:line="1" w:lineRule="exact"/>
        <w:rPr>
          <w:rFonts w:ascii="Arial" w:cs="Arial" w:eastAsia="Arial" w:hAnsi="Arial"/>
          <w:sz w:val="16"/>
          <w:szCs w:val="16"/>
          <w:color w:val="auto"/>
        </w:rPr>
      </w:pPr>
    </w:p>
    <w:p>
      <w:pPr>
        <w:ind w:left="660" w:right="580" w:hanging="328"/>
        <w:spacing w:after="0" w:line="27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declared a quarterly cash dividend of $0.09 per share of Class A common stock and Class B common stock. The dividend will be payable on December 15, 2023 to stockholders of record as of December 1, 2023</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2023 Guidance*</w:t>
      </w:r>
    </w:p>
    <w:p>
      <w:pPr>
        <w:spacing w:after="0" w:line="13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$670 - 695 million</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$128 million</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~24% - 25%</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costs of non-acquisition capital expenditures and capitalized software development: $56 - 63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2024 &amp; 2025 Revenue Guidance Related to the Refinitiv Market Data Contract</w:t>
      </w:r>
    </w:p>
    <w:p>
      <w:pPr>
        <w:spacing w:after="0" w:line="13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2024 Revenues: ~ $80 million</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2025 Revenues: ~ $90 million</w:t>
      </w:r>
    </w:p>
    <w:p>
      <w:pPr>
        <w:spacing w:after="0" w:line="250"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2022 Sterling/US$ foreign exchange rate or 1.24.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3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 xml:space="preserve">Tradeweb Markets will hold a conference call to discuss third quarter 2023 results starting at 9:30 AM EDT today, October 26, 2023.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21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https://edge.media-server.com/mmc/p/g22t4gez</w:t>
      </w:r>
      <w:r>
        <w:rPr>
          <w:rFonts w:ascii="Arial" w:cs="Arial" w:eastAsia="Arial" w:hAnsi="Arial"/>
          <w:sz w:val="16"/>
          <w:szCs w:val="16"/>
          <w:color w:val="auto"/>
        </w:rPr>
        <w:t>/</w:t>
      </w:r>
    </w:p>
    <w:p>
      <w:pPr>
        <w:spacing w:after="0" w:line="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https://register.vevent.com/register/BIe3255f53031643bcabc94aed666618ed</w:t>
      </w:r>
      <w:r>
        <w:rPr>
          <w:rFonts w:ascii="Arial" w:cs="Arial" w:eastAsia="Arial" w:hAnsi="Arial"/>
          <w:sz w:val="16"/>
          <w:szCs w:val="16"/>
          <w:color w:val="auto"/>
        </w:rPr>
        <w:t>. Registered participants will receive an email confirmation with a unique PIN to access the conference call.</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more than 2,500 clients in more than 65 countries. On average, Tradeweb facilitated more than $1.2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9"/>
                <w:szCs w:val="19"/>
                <w:color w:val="auto"/>
              </w:rPr>
            </w:pPr>
          </w:p>
        </w:tc>
        <w:tc>
          <w:tcPr>
            <w:tcW w:w="28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7"/>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1"/>
                <w:szCs w:val="21"/>
                <w:color w:val="auto"/>
              </w:rPr>
            </w:pPr>
          </w:p>
        </w:tc>
        <w:tc>
          <w:tcPr>
            <w:tcW w:w="288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D5DCE4"/>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D5DCE4"/>
          </w:tcPr>
          <w:p>
            <w:pPr>
              <w:spacing w:after="0"/>
              <w:rPr>
                <w:sz w:val="20"/>
                <w:szCs w:val="20"/>
                <w:color w:val="auto"/>
              </w:rPr>
            </w:pPr>
          </w:p>
        </w:tc>
        <w:tc>
          <w:tcPr>
            <w:tcW w:w="12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263,485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228,015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776,544</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717,489</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46,361</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41,342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136,483</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124,337</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3,051</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2,388</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8,677</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7,559</w:t>
            </w:r>
          </w:p>
        </w:tc>
        <w:tc>
          <w:tcPr>
            <w:tcW w:w="0" w:type="dxa"/>
            <w:vAlign w:val="bottom"/>
          </w:tcPr>
          <w:p>
            <w:pPr>
              <w:spacing w:after="0"/>
              <w:rPr>
                <w:sz w:val="1"/>
                <w:szCs w:val="1"/>
                <w:color w:val="auto"/>
              </w:rPr>
            </w:pP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328,357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287,115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968,219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895,739</w:t>
            </w:r>
          </w:p>
        </w:tc>
        <w:tc>
          <w:tcPr>
            <w:tcW w:w="0" w:type="dxa"/>
            <w:vAlign w:val="bottom"/>
          </w:tcPr>
          <w:p>
            <w:pPr>
              <w:spacing w:after="0"/>
              <w:rPr>
                <w:sz w:val="1"/>
                <w:szCs w:val="1"/>
                <w:color w:val="auto"/>
              </w:rPr>
            </w:pPr>
          </w:p>
        </w:tc>
      </w:tr>
      <w:tr>
        <w:trPr>
          <w:trHeight w:val="274"/>
        </w:trPr>
        <w:tc>
          <w:tcPr>
            <w:tcW w:w="49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4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116,016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102,720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334,433</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330,601</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137,850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133,998</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19,733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16,816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56,001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48,626</w:t>
            </w:r>
          </w:p>
        </w:tc>
        <w:tc>
          <w:tcPr>
            <w:tcW w:w="0" w:type="dxa"/>
            <w:vAlign w:val="bottom"/>
          </w:tcPr>
          <w:p>
            <w:pPr>
              <w:spacing w:after="0"/>
              <w:rPr>
                <w:sz w:val="1"/>
                <w:szCs w:val="1"/>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24,806</w:t>
            </w: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10,479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9,400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32,321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25,832</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12,283</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203,619</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184,305</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604,580</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574,720</w:t>
            </w:r>
          </w:p>
        </w:tc>
        <w:tc>
          <w:tcPr>
            <w:tcW w:w="0" w:type="dxa"/>
            <w:vAlign w:val="bottom"/>
          </w:tcPr>
          <w:p>
            <w:pPr>
              <w:spacing w:after="0"/>
              <w:rPr>
                <w:sz w:val="1"/>
                <w:szCs w:val="1"/>
                <w:color w:val="auto"/>
              </w:rPr>
            </w:pP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124,738</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102,810</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363,639</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321,019</w:t>
            </w:r>
          </w:p>
        </w:tc>
        <w:tc>
          <w:tcPr>
            <w:tcW w:w="0" w:type="dxa"/>
            <w:vAlign w:val="bottom"/>
          </w:tcPr>
          <w:p>
            <w:pPr>
              <w:spacing w:after="0"/>
              <w:rPr>
                <w:sz w:val="1"/>
                <w:szCs w:val="1"/>
                <w:color w:val="auto"/>
              </w:rPr>
            </w:pPr>
          </w:p>
        </w:tc>
      </w:tr>
      <w:tr>
        <w:trPr>
          <w:trHeight w:val="240"/>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2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17,465</w:t>
            </w:r>
          </w:p>
        </w:tc>
        <w:tc>
          <w:tcPr>
            <w:tcW w:w="80" w:type="dxa"/>
            <w:vAlign w:val="bottom"/>
            <w:shd w:val="clear" w:color="auto" w:fill="D5DCE4"/>
          </w:tcPr>
          <w:p>
            <w:pPr>
              <w:spacing w:after="0"/>
              <w:rPr>
                <w:sz w:val="20"/>
                <w:szCs w:val="20"/>
                <w:color w:val="auto"/>
              </w:rPr>
            </w:pPr>
          </w:p>
        </w:tc>
        <w:tc>
          <w:tcPr>
            <w:tcW w:w="2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3,413</w:t>
            </w:r>
          </w:p>
        </w:tc>
        <w:tc>
          <w:tcPr>
            <w:tcW w:w="80" w:type="dxa"/>
            <w:vAlign w:val="bottom"/>
            <w:shd w:val="clear" w:color="auto" w:fill="D5DCE4"/>
          </w:tcPr>
          <w:p>
            <w:pPr>
              <w:spacing w:after="0"/>
              <w:rPr>
                <w:sz w:val="20"/>
                <w:szCs w:val="20"/>
                <w:color w:val="auto"/>
              </w:rPr>
            </w:pPr>
          </w:p>
        </w:tc>
        <w:tc>
          <w:tcPr>
            <w:tcW w:w="2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45,065</w:t>
            </w:r>
          </w:p>
        </w:tc>
        <w:tc>
          <w:tcPr>
            <w:tcW w:w="80" w:type="dxa"/>
            <w:vAlign w:val="bottom"/>
            <w:shd w:val="clear" w:color="auto" w:fill="D5DCE4"/>
          </w:tcPr>
          <w:p>
            <w:pPr>
              <w:spacing w:after="0"/>
              <w:rPr>
                <w:sz w:val="20"/>
                <w:szCs w:val="20"/>
                <w:color w:val="auto"/>
              </w:rPr>
            </w:pPr>
          </w:p>
        </w:tc>
        <w:tc>
          <w:tcPr>
            <w:tcW w:w="2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37"/>
        </w:trPr>
        <w:tc>
          <w:tcPr>
            <w:tcW w:w="4980" w:type="dxa"/>
            <w:vAlign w:val="bottom"/>
          </w:tcPr>
          <w:p>
            <w:pPr>
              <w:ind w:left="140"/>
              <w:spacing w:after="0"/>
              <w:rPr>
                <w:sz w:val="20"/>
                <w:szCs w:val="20"/>
                <w:color w:val="auto"/>
              </w:rPr>
            </w:pPr>
            <w:r>
              <w:rPr>
                <w:rFonts w:ascii="Arial" w:cs="Arial" w:eastAsia="Arial" w:hAnsi="Arial"/>
                <w:sz w:val="16"/>
                <w:szCs w:val="16"/>
                <w:color w:val="auto"/>
              </w:rPr>
              <w:t>Other income (loss),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980" w:type="dxa"/>
            <w:vAlign w:val="bottom"/>
            <w:tcBorders>
              <w:top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2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140,296</w:t>
            </w:r>
          </w:p>
        </w:tc>
        <w:tc>
          <w:tcPr>
            <w:tcW w:w="80" w:type="dxa"/>
            <w:vAlign w:val="bottom"/>
            <w:tcBorders>
              <w:top w:val="single" w:sz="8" w:color="D5DCE4"/>
            </w:tcBorders>
            <w:shd w:val="clear" w:color="auto" w:fill="D5DCE4"/>
          </w:tcPr>
          <w:p>
            <w:pPr>
              <w:spacing w:after="0"/>
              <w:rPr>
                <w:sz w:val="20"/>
                <w:szCs w:val="20"/>
                <w:color w:val="auto"/>
              </w:rPr>
            </w:pPr>
          </w:p>
        </w:tc>
        <w:tc>
          <w:tcPr>
            <w:tcW w:w="22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106,223</w:t>
            </w:r>
          </w:p>
        </w:tc>
        <w:tc>
          <w:tcPr>
            <w:tcW w:w="80" w:type="dxa"/>
            <w:vAlign w:val="bottom"/>
            <w:tcBorders>
              <w:top w:val="single" w:sz="8" w:color="D5DCE4"/>
            </w:tcBorders>
            <w:shd w:val="clear" w:color="auto" w:fill="D5DCE4"/>
          </w:tcPr>
          <w:p>
            <w:pPr>
              <w:spacing w:after="0"/>
              <w:rPr>
                <w:sz w:val="20"/>
                <w:szCs w:val="20"/>
                <w:color w:val="auto"/>
              </w:rPr>
            </w:pPr>
          </w:p>
        </w:tc>
        <w:tc>
          <w:tcPr>
            <w:tcW w:w="22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406,682</w:t>
            </w:r>
          </w:p>
        </w:tc>
        <w:tc>
          <w:tcPr>
            <w:tcW w:w="80" w:type="dxa"/>
            <w:vAlign w:val="bottom"/>
            <w:tcBorders>
              <w:top w:val="single" w:sz="8" w:color="D5DCE4"/>
            </w:tcBorders>
            <w:shd w:val="clear" w:color="auto" w:fill="D5DCE4"/>
          </w:tcPr>
          <w:p>
            <w:pPr>
              <w:spacing w:after="0"/>
              <w:rPr>
                <w:sz w:val="20"/>
                <w:szCs w:val="20"/>
                <w:color w:val="auto"/>
              </w:rPr>
            </w:pPr>
          </w:p>
        </w:tc>
        <w:tc>
          <w:tcPr>
            <w:tcW w:w="24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324,526</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(28,666)</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(24,657)</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(90,920)</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(63,915)</w:t>
            </w:r>
          </w:p>
        </w:tc>
        <w:tc>
          <w:tcPr>
            <w:tcW w:w="0" w:type="dxa"/>
            <w:vAlign w:val="bottom"/>
          </w:tcPr>
          <w:p>
            <w:pPr>
              <w:spacing w:after="0"/>
              <w:rPr>
                <w:sz w:val="1"/>
                <w:szCs w:val="1"/>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111,630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81,566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315,762</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260,611</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13,016</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12,483</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40,210</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40,219</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98,614</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69,083</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275,552</w:t>
            </w:r>
          </w:p>
        </w:tc>
        <w:tc>
          <w:tcPr>
            <w:tcW w:w="80" w:type="dxa"/>
            <w:vAlign w:val="bottom"/>
            <w:tcBorders>
              <w:bottom w:val="single" w:sz="8" w:color="D5DCE4"/>
            </w:tcBorders>
            <w:shd w:val="clear" w:color="auto" w:fill="D5DCE4"/>
          </w:tcPr>
          <w:p>
            <w:pPr>
              <w:spacing w:after="0"/>
              <w:rPr>
                <w:sz w:val="22"/>
                <w:szCs w:val="22"/>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220,392</w:t>
            </w:r>
          </w:p>
        </w:tc>
        <w:tc>
          <w:tcPr>
            <w:tcW w:w="0" w:type="dxa"/>
            <w:vAlign w:val="bottom"/>
          </w:tcPr>
          <w:p>
            <w:pPr>
              <w:spacing w:after="0"/>
              <w:rPr>
                <w:sz w:val="1"/>
                <w:szCs w:val="1"/>
                <w:color w:val="auto"/>
              </w:rPr>
            </w:pP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and B common stockholders:</w:t>
            </w: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D5DCE4"/>
            </w:tcBorders>
            <w:shd w:val="clear" w:color="auto" w:fill="D5DCE4"/>
          </w:tcPr>
          <w:p>
            <w:pPr>
              <w:spacing w:after="0"/>
              <w:rPr>
                <w:sz w:val="22"/>
                <w:szCs w:val="22"/>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498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211,618,475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205,721,162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210,444,082</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204,767,261</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213,491,634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208,329,469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212,276,908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207,748,037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80" w:type="dxa"/>
            <w:vAlign w:val="bottom"/>
            <w:gridSpan w:val="2"/>
            <w:vMerge w:val="restart"/>
          </w:tcPr>
          <w:p>
            <w:pPr>
              <w:ind w:left="20"/>
              <w:spacing w:after="0" w:line="171" w:lineRule="exact"/>
              <w:rPr>
                <w:sz w:val="20"/>
                <w:szCs w:val="20"/>
                <w:color w:val="auto"/>
              </w:rPr>
            </w:pPr>
            <w:r>
              <w:rPr>
                <w:rFonts w:ascii="Arial" w:cs="Arial" w:eastAsia="Arial" w:hAnsi="Arial"/>
                <w:sz w:val="16"/>
                <w:szCs w:val="16"/>
                <w:b w:val="1"/>
                <w:bCs w:val="1"/>
                <w:color w:val="auto"/>
              </w:rPr>
              <w:t>Adjusted EBITDA Margin, Adjusted EBIT and Adjusted</w:t>
            </w: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6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 Margin</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4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(dollars in thousands)</w:t>
            </w: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111,630</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81,566</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315,762</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260,611</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6,411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(17,465)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(3,413)</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(45,065)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3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46,559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44,778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137,850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133,998</w:t>
            </w:r>
          </w:p>
        </w:tc>
        <w:tc>
          <w:tcPr>
            <w:tcW w:w="0" w:type="dxa"/>
            <w:vAlign w:val="bottom"/>
          </w:tcPr>
          <w:p>
            <w:pPr>
              <w:spacing w:after="0"/>
              <w:rPr>
                <w:sz w:val="1"/>
                <w:szCs w:val="1"/>
                <w:color w:val="auto"/>
              </w:rPr>
            </w:pPr>
          </w:p>
        </w:tc>
      </w:tr>
      <w:tr>
        <w:trPr>
          <w:trHeight w:val="25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525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2,675</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1,960</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13,839</w:t>
            </w:r>
          </w:p>
        </w:tc>
        <w:tc>
          <w:tcPr>
            <w:tcW w:w="0" w:type="dxa"/>
            <w:vAlign w:val="bottom"/>
          </w:tcPr>
          <w:p>
            <w:pPr>
              <w:spacing w:after="0"/>
              <w:rPr>
                <w:sz w:val="1"/>
                <w:szCs w:val="1"/>
                <w:color w:val="auto"/>
              </w:rPr>
            </w:pPr>
          </w:p>
        </w:tc>
      </w:tr>
      <w:tr>
        <w:trPr>
          <w:trHeight w:val="23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28,666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24,657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90,920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63,915</w:t>
            </w:r>
          </w:p>
        </w:tc>
        <w:tc>
          <w:tcPr>
            <w:tcW w:w="0" w:type="dxa"/>
            <w:vAlign w:val="bottom"/>
          </w:tcPr>
          <w:p>
            <w:pPr>
              <w:spacing w:after="0"/>
              <w:rPr>
                <w:sz w:val="1"/>
                <w:szCs w:val="1"/>
                <w:color w:val="auto"/>
              </w:rPr>
            </w:pPr>
          </w:p>
        </w:tc>
      </w:tr>
      <w:tr>
        <w:trPr>
          <w:trHeight w:val="25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(4,242)</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(6,306)</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1,907</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1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170,360</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146,334</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505,618</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462,590</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(46,559)</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(44,778)</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(137,850)</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(133,998)</w:t>
            </w:r>
          </w:p>
        </w:tc>
        <w:tc>
          <w:tcPr>
            <w:tcW w:w="0" w:type="dxa"/>
            <w:vAlign w:val="bottom"/>
          </w:tcPr>
          <w:p>
            <w:pPr>
              <w:spacing w:after="0"/>
              <w:rPr>
                <w:sz w:val="1"/>
                <w:szCs w:val="1"/>
                <w:color w:val="auto"/>
              </w:rPr>
            </w:pPr>
          </w:p>
        </w:tc>
      </w:tr>
      <w:tr>
        <w:trPr>
          <w:trHeight w:val="176"/>
        </w:trPr>
        <w:tc>
          <w:tcPr>
            <w:tcW w:w="46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Add: D&amp;A related to acquisitions and the Refinitiv Transaction</w:t>
            </w:r>
          </w:p>
        </w:tc>
        <w:tc>
          <w:tcPr>
            <w:tcW w:w="360" w:type="dxa"/>
            <w:vAlign w:val="bottom"/>
          </w:tcPr>
          <w:p>
            <w:pPr>
              <w:spacing w:after="0"/>
              <w:rPr>
                <w:sz w:val="15"/>
                <w:szCs w:val="15"/>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31,971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31,558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95,217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95,088</w:t>
            </w:r>
          </w:p>
        </w:tc>
        <w:tc>
          <w:tcPr>
            <w:tcW w:w="0" w:type="dxa"/>
            <w:vAlign w:val="bottom"/>
          </w:tcPr>
          <w:p>
            <w:pPr>
              <w:spacing w:after="0"/>
              <w:rPr>
                <w:sz w:val="1"/>
                <w:szCs w:val="1"/>
                <w:color w:val="auto"/>
              </w:rPr>
            </w:pPr>
          </w:p>
        </w:tc>
      </w:tr>
      <w:tr>
        <w:trPr>
          <w:trHeight w:val="131"/>
        </w:trPr>
        <w:tc>
          <w:tcPr>
            <w:tcW w:w="4600" w:type="dxa"/>
            <w:vAlign w:val="bottom"/>
          </w:tcPr>
          <w:p>
            <w:pPr>
              <w:ind w:left="20"/>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600" w:type="dxa"/>
            <w:vAlign w:val="bottom"/>
            <w:tcBorders>
              <w:bottom w:val="single" w:sz="8" w:color="D5DCE4"/>
            </w:tcBorders>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155,772</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133,114</w:t>
            </w:r>
          </w:p>
        </w:tc>
        <w:tc>
          <w:tcPr>
            <w:tcW w:w="80" w:type="dxa"/>
            <w:vAlign w:val="bottom"/>
            <w:tcBorders>
              <w:bottom w:val="single" w:sz="8" w:color="D5DCE4"/>
            </w:tcBorders>
            <w:shd w:val="clear" w:color="auto" w:fill="D5DCE4"/>
          </w:tcPr>
          <w:p>
            <w:pPr>
              <w:spacing w:after="0"/>
              <w:rPr>
                <w:sz w:val="22"/>
                <w:szCs w:val="22"/>
                <w:color w:val="auto"/>
              </w:rPr>
            </w:pP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462,985</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423,680</w:t>
            </w:r>
          </w:p>
        </w:tc>
        <w:tc>
          <w:tcPr>
            <w:tcW w:w="0" w:type="dxa"/>
            <w:vAlign w:val="bottom"/>
          </w:tcPr>
          <w:p>
            <w:pPr>
              <w:spacing w:after="0"/>
              <w:rPr>
                <w:sz w:val="1"/>
                <w:szCs w:val="1"/>
                <w:color w:val="auto"/>
              </w:rPr>
            </w:pPr>
          </w:p>
        </w:tc>
      </w:tr>
      <w:tr>
        <w:trPr>
          <w:trHeight w:val="20"/>
        </w:trPr>
        <w:tc>
          <w:tcPr>
            <w:tcW w:w="46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2"/>
          </w:tcPr>
          <w:p>
            <w:pPr>
              <w:ind w:left="20"/>
              <w:spacing w:after="0" w:line="21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34.0 %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51.9 %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51.0 %</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52.2 %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51.6 %</w:t>
            </w:r>
          </w:p>
        </w:tc>
        <w:tc>
          <w:tcPr>
            <w:tcW w:w="0" w:type="dxa"/>
            <w:vAlign w:val="bottom"/>
          </w:tcPr>
          <w:p>
            <w:pPr>
              <w:spacing w:after="0"/>
              <w:rPr>
                <w:sz w:val="1"/>
                <w:szCs w:val="1"/>
                <w:color w:val="auto"/>
              </w:rPr>
            </w:pPr>
          </w:p>
        </w:tc>
      </w:tr>
      <w:tr>
        <w:trPr>
          <w:trHeight w:val="294"/>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46.4 %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47.8 %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47.3 %</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40" w:right="240" w:hanging="414"/>
        <w:spacing w:after="0" w:line="190" w:lineRule="auto"/>
        <w:tabs>
          <w:tab w:leader="none" w:pos="440" w:val="left"/>
        </w:tabs>
        <w:numPr>
          <w:ilvl w:val="0"/>
          <w:numId w:val="9"/>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ind w:left="440" w:hanging="414"/>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37" w:lineRule="exact"/>
        <w:rPr>
          <w:rFonts w:ascii="Arial" w:cs="Arial" w:eastAsia="Arial" w:hAnsi="Arial"/>
          <w:sz w:val="12"/>
          <w:szCs w:val="12"/>
          <w:color w:val="auto"/>
        </w:rPr>
      </w:pPr>
    </w:p>
    <w:p>
      <w:pPr>
        <w:ind w:left="440" w:right="400"/>
        <w:spacing w:after="0" w:line="261" w:lineRule="auto"/>
        <w:rPr>
          <w:rFonts w:ascii="Arial" w:cs="Arial" w:eastAsia="Arial" w:hAnsi="Arial"/>
          <w:sz w:val="12"/>
          <w:szCs w:val="12"/>
          <w:color w:val="auto"/>
        </w:rPr>
      </w:pPr>
      <w:r>
        <w:rPr>
          <w:rFonts w:ascii="Arial" w:cs="Arial" w:eastAsia="Arial" w:hAnsi="Arial"/>
          <w:sz w:val="12"/>
          <w:szCs w:val="12"/>
          <w:color w:val="auto"/>
        </w:rPr>
        <w:t>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37" w:lineRule="exact"/>
        <w:rPr>
          <w:rFonts w:ascii="Arial" w:cs="Arial" w:eastAsia="Arial" w:hAnsi="Arial"/>
          <w:sz w:val="12"/>
          <w:szCs w:val="12"/>
          <w:color w:val="auto"/>
        </w:rPr>
      </w:pPr>
    </w:p>
    <w:p>
      <w:pPr>
        <w:ind w:left="440" w:right="140" w:hanging="414"/>
        <w:spacing w:after="0" w:line="284"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0" w:lineRule="exact"/>
        <w:rPr>
          <w:rFonts w:ascii="Arial" w:cs="Arial" w:eastAsia="Arial" w:hAnsi="Arial"/>
          <w:sz w:val="12"/>
          <w:szCs w:val="12"/>
          <w:color w:val="auto"/>
        </w:rPr>
      </w:pPr>
    </w:p>
    <w:p>
      <w:pPr>
        <w:ind w:left="440" w:right="80" w:hanging="414"/>
        <w:spacing w:after="0" w:line="284"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0" w:lineRule="exact"/>
        <w:rPr>
          <w:rFonts w:ascii="Arial" w:cs="Arial" w:eastAsia="Arial" w:hAnsi="Arial"/>
          <w:sz w:val="12"/>
          <w:szCs w:val="12"/>
          <w:color w:val="auto"/>
        </w:rPr>
      </w:pPr>
    </w:p>
    <w:p>
      <w:pPr>
        <w:ind w:left="440" w:right="360" w:hanging="414"/>
        <w:spacing w:after="0" w:line="284"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40" w:hanging="414"/>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line="302"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120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960" w:type="dxa"/>
            <w:vAlign w:val="bottom"/>
          </w:tcPr>
          <w:p>
            <w:pPr>
              <w:spacing w:after="0"/>
              <w:rPr>
                <w:sz w:val="21"/>
                <w:szCs w:val="21"/>
                <w:color w:val="auto"/>
              </w:rPr>
            </w:pPr>
          </w:p>
        </w:tc>
        <w:tc>
          <w:tcPr>
            <w:tcW w:w="220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rPr>
              <w:t>September 30,</w:t>
            </w:r>
          </w:p>
        </w:tc>
        <w:tc>
          <w:tcPr>
            <w:tcW w:w="2120" w:type="dxa"/>
            <w:vAlign w:val="bottom"/>
          </w:tcPr>
          <w:p>
            <w:pPr>
              <w:jc w:val="center"/>
              <w:ind w:left="87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1"/>
                <w:szCs w:val="21"/>
                <w:color w:val="auto"/>
              </w:rPr>
            </w:pPr>
          </w:p>
        </w:tc>
      </w:tr>
      <w:tr>
        <w:trPr>
          <w:trHeight w:val="237"/>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2023</w:t>
            </w: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33"/>
        </w:trPr>
        <w:tc>
          <w:tcPr>
            <w:tcW w:w="960" w:type="dxa"/>
            <w:vAlign w:val="bottom"/>
          </w:tcPr>
          <w:p>
            <w:pPr>
              <w:spacing w:after="0"/>
              <w:rPr>
                <w:sz w:val="20"/>
                <w:szCs w:val="20"/>
                <w:color w:val="auto"/>
              </w:rPr>
            </w:pPr>
          </w:p>
        </w:tc>
        <w:tc>
          <w:tcPr>
            <w:tcW w:w="43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(in thousands, except per share amounts)</w:t>
            </w:r>
          </w:p>
        </w:tc>
        <w:tc>
          <w:tcPr>
            <w:tcW w:w="96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4440" w:space="560"/>
            <w:col w:w="624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r>
        <w:trPr>
          <w:trHeight w:val="207"/>
        </w:trPr>
        <w:tc>
          <w:tcPr>
            <w:tcW w:w="500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98,614</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69,083</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275,552</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220,392</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13,016</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12,483</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40,210</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40,219</w:t>
            </w:r>
          </w:p>
        </w:tc>
      </w:tr>
      <w:tr>
        <w:trPr>
          <w:trHeight w:val="227"/>
        </w:trPr>
        <w:tc>
          <w:tcPr>
            <w:tcW w:w="5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111,630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81,566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315,762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260,611</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28,666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24,657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90,920</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63,915</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31,971</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31,558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95,217</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95,088</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13,839</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(4,242)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(6,306)</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1,907</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173,237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136,527</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508,050</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427,187</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(42,443)</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(30,036)</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(124,472)</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(93,982)</w:t>
            </w: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130,794</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106,491</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383,578</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333,205</w:t>
            </w:r>
          </w:p>
        </w:tc>
      </w:tr>
      <w:tr>
        <w:trPr>
          <w:trHeight w:val="20"/>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8"/>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0.55</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0.45</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1.62</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type w:val="continuous"/>
        </w:sectPr>
      </w:pPr>
    </w:p>
    <w:p>
      <w:pPr>
        <w:spacing w:after="0" w:line="5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69" w:right="339" w:bottom="1440" w:gutter="0" w:footer="0" w:header="0"/>
          <w:type w:val="continuous"/>
        </w:sectPr>
      </w:pPr>
    </w:p>
    <w:bookmarkStart w:id="9" w:name="page10"/>
    <w:bookmarkEnd w:id="9"/>
    <w:p>
      <w:pPr>
        <w:ind w:left="440" w:right="24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10" w:lineRule="exact"/>
        <w:rPr>
          <w:rFonts w:ascii="Arial" w:cs="Arial" w:eastAsia="Arial" w:hAnsi="Arial"/>
          <w:sz w:val="12"/>
          <w:szCs w:val="12"/>
          <w:color w:val="auto"/>
        </w:rPr>
      </w:pPr>
    </w:p>
    <w:p>
      <w:pPr>
        <w:ind w:left="440" w:right="26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10" w:lineRule="exact"/>
        <w:rPr>
          <w:rFonts w:ascii="Arial" w:cs="Arial" w:eastAsia="Arial" w:hAnsi="Arial"/>
          <w:sz w:val="12"/>
          <w:szCs w:val="12"/>
          <w:color w:val="auto"/>
        </w:rPr>
      </w:pPr>
    </w:p>
    <w:p>
      <w:pPr>
        <w:ind w:left="440" w:right="38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40" w:hanging="41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37" w:lineRule="exact"/>
        <w:rPr>
          <w:rFonts w:ascii="Arial" w:cs="Arial" w:eastAsia="Arial" w:hAnsi="Arial"/>
          <w:sz w:val="12"/>
          <w:szCs w:val="12"/>
          <w:color w:val="auto"/>
        </w:rPr>
      </w:pPr>
    </w:p>
    <w:p>
      <w:pPr>
        <w:ind w:left="440" w:right="420"/>
        <w:spacing w:after="0" w:line="284" w:lineRule="auto"/>
        <w:rPr>
          <w:rFonts w:ascii="Arial" w:cs="Arial" w:eastAsia="Arial" w:hAnsi="Arial"/>
          <w:sz w:val="12"/>
          <w:szCs w:val="12"/>
          <w:color w:val="auto"/>
        </w:rPr>
      </w:pPr>
      <w:r>
        <w:rPr>
          <w:rFonts w:ascii="Arial" w:cs="Arial" w:eastAsia="Arial" w:hAnsi="Arial"/>
          <w:sz w:val="12"/>
          <w:szCs w:val="12"/>
          <w:color w:val="auto"/>
        </w:rPr>
        <w:t>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10" w:lineRule="exact"/>
        <w:rPr>
          <w:rFonts w:ascii="Arial" w:cs="Arial" w:eastAsia="Arial" w:hAnsi="Arial"/>
          <w:sz w:val="12"/>
          <w:szCs w:val="12"/>
          <w:color w:val="auto"/>
        </w:rPr>
      </w:pPr>
    </w:p>
    <w:p>
      <w:pPr>
        <w:ind w:left="440" w:right="16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0" w:lineRule="exact"/>
        <w:rPr>
          <w:rFonts w:ascii="Arial" w:cs="Arial" w:eastAsia="Arial" w:hAnsi="Arial"/>
          <w:sz w:val="12"/>
          <w:szCs w:val="12"/>
          <w:color w:val="auto"/>
        </w:rPr>
      </w:pPr>
    </w:p>
    <w:p>
      <w:pPr>
        <w:ind w:left="440" w:right="100" w:hanging="414"/>
        <w:spacing w:after="0" w:line="26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04" w:lineRule="exact"/>
        <w:rPr>
          <w:rFonts w:ascii="Arial" w:cs="Arial" w:eastAsia="Arial" w:hAnsi="Arial"/>
          <w:sz w:val="12"/>
          <w:szCs w:val="12"/>
          <w:color w:val="auto"/>
        </w:rPr>
      </w:pPr>
    </w:p>
    <w:p>
      <w:pPr>
        <w:ind w:left="440" w:right="120" w:hanging="414"/>
        <w:spacing w:after="0" w:line="26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24.5% applied to Adjusted Net Income before income taxes for the three and nine months ended September 30, 2023 and 22.0% for the three and nine months ended September 30, 2022.</w:t>
      </w:r>
    </w:p>
    <w:p>
      <w:pPr>
        <w:spacing w:after="0" w:line="37" w:lineRule="exact"/>
        <w:rPr>
          <w:rFonts w:ascii="Arial" w:cs="Arial" w:eastAsia="Arial" w:hAnsi="Arial"/>
          <w:sz w:val="12"/>
          <w:szCs w:val="12"/>
          <w:color w:val="auto"/>
        </w:rPr>
      </w:pPr>
    </w:p>
    <w:p>
      <w:pPr>
        <w:ind w:left="440" w:right="100" w:hanging="414"/>
        <w:spacing w:after="0" w:line="26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940" w:right="339" w:bottom="1440" w:gutter="0" w:footer="0" w:header="0"/>
        </w:sectPr>
      </w:pPr>
    </w:p>
    <w:p>
      <w:pPr>
        <w:spacing w:after="0" w:line="191" w:lineRule="exact"/>
        <w:rPr>
          <w:sz w:val="20"/>
          <w:szCs w:val="20"/>
          <w:color w:val="auto"/>
        </w:rPr>
      </w:pPr>
    </w:p>
    <w:p>
      <w:pPr>
        <w:ind w:left="20" w:right="280"/>
        <w:spacing w:after="0" w:line="283"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5" w:lineRule="exact"/>
        <w:rPr>
          <w:sz w:val="20"/>
          <w:szCs w:val="20"/>
          <w:color w:val="auto"/>
        </w:rPr>
      </w:pPr>
    </w:p>
    <w:p>
      <w:pPr>
        <w:ind w:left="20" w:right="60"/>
        <w:spacing w:after="0" w:line="27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4"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60"/>
        </w:trPr>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2"/>
                <w:szCs w:val="22"/>
                <w:color w:val="auto"/>
              </w:rPr>
            </w:pPr>
          </w:p>
        </w:tc>
      </w:tr>
      <w:tr>
        <w:trPr>
          <w:trHeight w:val="237"/>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423"/>
        </w:trPr>
        <w:tc>
          <w:tcPr>
            <w:tcW w:w="1500" w:type="dxa"/>
            <w:vAlign w:val="bottom"/>
          </w:tcPr>
          <w:p>
            <w:pPr>
              <w:jc w:val="right"/>
              <w:spacing w:after="0"/>
              <w:rPr>
                <w:sz w:val="20"/>
                <w:szCs w:val="20"/>
                <w:color w:val="auto"/>
              </w:rPr>
            </w:pPr>
            <w:r>
              <w:rPr>
                <w:rFonts w:ascii="Arial" w:cs="Arial" w:eastAsia="Arial" w:hAnsi="Arial"/>
                <w:sz w:val="16"/>
                <w:szCs w:val="16"/>
                <w:color w:val="auto"/>
              </w:rPr>
              <w:t>213,491,634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208,329,469</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212,276,908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207,748,037</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265,681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246,238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266,453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121,115</w:t>
            </w:r>
          </w:p>
        </w:tc>
      </w:tr>
      <w:tr>
        <w:trPr>
          <w:trHeight w:val="446"/>
        </w:trPr>
        <w:tc>
          <w:tcPr>
            <w:tcW w:w="1500" w:type="dxa"/>
            <w:vAlign w:val="bottom"/>
          </w:tcPr>
          <w:p>
            <w:pPr>
              <w:jc w:val="right"/>
              <w:spacing w:after="0"/>
              <w:rPr>
                <w:sz w:val="20"/>
                <w:szCs w:val="20"/>
                <w:color w:val="auto"/>
              </w:rPr>
            </w:pPr>
            <w:r>
              <w:rPr>
                <w:rFonts w:ascii="Arial" w:cs="Arial" w:eastAsia="Arial" w:hAnsi="Arial"/>
                <w:sz w:val="16"/>
                <w:szCs w:val="16"/>
                <w:color w:val="auto"/>
              </w:rPr>
              <w:t>23,080,571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28,750,603</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24,179,583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29,667,383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-269875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-715645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4820" w:space="140"/>
            <w:col w:w="628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236,837,886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237,326,310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236,722,944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237,536,535</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130,794</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106,491</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383,578</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333,205</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or terminated employees that are entitled to non-</w:t>
      </w:r>
    </w:p>
    <w:p>
      <w:pPr>
        <w:spacing w:after="0" w:line="6" w:lineRule="exact"/>
        <w:rPr>
          <w:sz w:val="20"/>
          <w:szCs w:val="20"/>
          <w:color w:val="auto"/>
        </w:rPr>
      </w:pPr>
    </w:p>
    <w:p>
      <w:pPr>
        <w:ind w:left="440" w:right="40" w:hanging="414"/>
        <w:spacing w:after="0" w:line="284"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forfeitable dividend equivalent rights and are considered participating securities prior to being issued and outstanding shares of common stock in accordance with the two-class method used for purposes of calculating earnings per share.</w:t>
      </w:r>
    </w:p>
    <w:p>
      <w:pPr>
        <w:spacing w:after="0" w:line="37" w:lineRule="exact"/>
        <w:rPr>
          <w:rFonts w:ascii="Arial" w:cs="Arial" w:eastAsia="Arial" w:hAnsi="Arial"/>
          <w:sz w:val="12"/>
          <w:szCs w:val="12"/>
          <w:color w:val="auto"/>
        </w:rPr>
      </w:pPr>
    </w:p>
    <w:p>
      <w:pPr>
        <w:ind w:left="440" w:right="260" w:hanging="414"/>
        <w:spacing w:after="0" w:line="182" w:lineRule="auto"/>
        <w:tabs>
          <w:tab w:leader="none" w:pos="440" w:val="left"/>
        </w:tabs>
        <w:numPr>
          <w:ilvl w:val="0"/>
          <w:numId w:val="11"/>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25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58"/>
        </w:trPr>
        <w:tc>
          <w:tcPr>
            <w:tcW w:w="4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2"/>
                <w:szCs w:val="22"/>
                <w:color w:val="auto"/>
              </w:rPr>
            </w:pPr>
          </w:p>
        </w:tc>
      </w:tr>
      <w:tr>
        <w:trPr>
          <w:trHeight w:val="239"/>
        </w:trPr>
        <w:tc>
          <w:tcPr>
            <w:tcW w:w="50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36"/>
        </w:trPr>
        <w:tc>
          <w:tcPr>
            <w:tcW w:w="4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203,619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184,305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604,580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574,720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(6,411)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(31,971)</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(31,558)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(95,217)</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(95,088)</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(13,839)</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4,242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6,306</w:t>
            </w:r>
          </w:p>
        </w:tc>
      </w:tr>
      <w:tr>
        <w:trPr>
          <w:trHeight w:val="236"/>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172,585</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154,001</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505,234</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472,059</w:t>
            </w:r>
          </w:p>
        </w:tc>
      </w:tr>
      <w:tr>
        <w:trPr>
          <w:trHeight w:val="21"/>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right="240" w:hanging="414"/>
        <w:spacing w:after="0" w:line="190" w:lineRule="auto"/>
        <w:tabs>
          <w:tab w:leader="none" w:pos="440" w:val="left"/>
        </w:tabs>
        <w:numPr>
          <w:ilvl w:val="0"/>
          <w:numId w:val="12"/>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ind w:left="440" w:right="360" w:hanging="414"/>
        <w:spacing w:after="0" w:line="284"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40" w:hanging="414"/>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37" w:lineRule="exact"/>
        <w:rPr>
          <w:rFonts w:ascii="Arial" w:cs="Arial" w:eastAsia="Arial" w:hAnsi="Arial"/>
          <w:sz w:val="12"/>
          <w:szCs w:val="12"/>
          <w:color w:val="auto"/>
        </w:rPr>
      </w:pPr>
    </w:p>
    <w:p>
      <w:pPr>
        <w:ind w:left="440" w:right="400"/>
        <w:spacing w:after="0" w:line="284" w:lineRule="auto"/>
        <w:rPr>
          <w:rFonts w:ascii="Arial" w:cs="Arial" w:eastAsia="Arial" w:hAnsi="Arial"/>
          <w:sz w:val="12"/>
          <w:szCs w:val="12"/>
          <w:color w:val="auto"/>
        </w:rPr>
      </w:pPr>
      <w:r>
        <w:rPr>
          <w:rFonts w:ascii="Arial" w:cs="Arial" w:eastAsia="Arial" w:hAnsi="Arial"/>
          <w:sz w:val="12"/>
          <w:szCs w:val="12"/>
          <w:color w:val="auto"/>
        </w:rPr>
        <w:t>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10" w:lineRule="exact"/>
        <w:rPr>
          <w:rFonts w:ascii="Arial" w:cs="Arial" w:eastAsia="Arial" w:hAnsi="Arial"/>
          <w:sz w:val="12"/>
          <w:szCs w:val="12"/>
          <w:color w:val="auto"/>
        </w:rPr>
      </w:pPr>
    </w:p>
    <w:p>
      <w:pPr>
        <w:ind w:left="440" w:right="140" w:hanging="414"/>
        <w:spacing w:after="0" w:line="284"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940"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Trailing Twelve Months Ended</w:t>
            </w:r>
          </w:p>
        </w:tc>
        <w:tc>
          <w:tcPr>
            <w:tcW w:w="0" w:type="dxa"/>
            <w:vAlign w:val="bottom"/>
          </w:tcPr>
          <w:p>
            <w:pPr>
              <w:spacing w:after="0"/>
              <w:rPr>
                <w:sz w:val="1"/>
                <w:szCs w:val="1"/>
                <w:color w:val="auto"/>
              </w:rPr>
            </w:pPr>
          </w:p>
        </w:tc>
      </w:tr>
      <w:tr>
        <w:trPr>
          <w:trHeight w:val="227"/>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8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6"/>
        </w:trPr>
        <w:tc>
          <w:tcPr>
            <w:tcW w:w="8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709,328</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616,473</w:t>
            </w:r>
          </w:p>
        </w:tc>
        <w:tc>
          <w:tcPr>
            <w:tcW w:w="0" w:type="dxa"/>
            <w:vAlign w:val="bottom"/>
          </w:tcPr>
          <w:p>
            <w:pPr>
              <w:spacing w:after="0"/>
              <w:rPr>
                <w:sz w:val="1"/>
                <w:szCs w:val="1"/>
                <w:color w:val="auto"/>
              </w:rPr>
            </w:pPr>
          </w:p>
        </w:tc>
      </w:tr>
      <w:tr>
        <w:trPr>
          <w:trHeight w:val="23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(41,517)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(36,127)</w:t>
            </w:r>
          </w:p>
        </w:tc>
        <w:tc>
          <w:tcPr>
            <w:tcW w:w="0" w:type="dxa"/>
            <w:vAlign w:val="bottom"/>
          </w:tcPr>
          <w:p>
            <w:pPr>
              <w:spacing w:after="0"/>
              <w:rPr>
                <w:sz w:val="1"/>
                <w:szCs w:val="1"/>
                <w:color w:val="auto"/>
              </w:rPr>
            </w:pPr>
          </w:p>
        </w:tc>
      </w:tr>
      <w:tr>
        <w:trPr>
          <w:trHeight w:val="246"/>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(22,722)</w:t>
            </w:r>
          </w:p>
        </w:tc>
        <w:tc>
          <w:tcPr>
            <w:tcW w:w="80" w:type="dxa"/>
            <w:vAlign w:val="bottom"/>
            <w:shd w:val="clear" w:color="auto" w:fill="D5DCE4"/>
          </w:tcPr>
          <w:p>
            <w:pPr>
              <w:spacing w:after="0"/>
              <w:rPr>
                <w:sz w:val="21"/>
                <w:szCs w:val="21"/>
                <w:color w:val="auto"/>
              </w:rPr>
            </w:pPr>
          </w:p>
        </w:tc>
        <w:tc>
          <w:tcPr>
            <w:tcW w:w="56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(25,123)</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645,089</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555,223</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320" w:type="dxa"/>
            <w:vAlign w:val="bottom"/>
          </w:tcPr>
          <w:p>
            <w:pPr>
              <w:spacing w:after="0"/>
              <w:rPr>
                <w:sz w:val="20"/>
                <w:szCs w:val="20"/>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980" w:type="dxa"/>
            <w:vAlign w:val="bottom"/>
            <w:tcBorders>
              <w:top w:val="single" w:sz="8" w:color="auto"/>
            </w:tcBorders>
            <w:gridSpan w:val="9"/>
          </w:tcPr>
          <w:p>
            <w:pPr>
              <w:jc w:val="right"/>
              <w:ind w:right="59"/>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98,614</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69,083</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275,552</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220,392</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D5DCE4"/>
          </w:tcPr>
          <w:p>
            <w:pPr>
              <w:spacing w:after="0"/>
              <w:rPr>
                <w:sz w:val="20"/>
                <w:szCs w:val="20"/>
                <w:color w:val="auto"/>
              </w:rPr>
            </w:pPr>
          </w:p>
        </w:tc>
        <w:tc>
          <w:tcPr>
            <w:tcW w:w="4940" w:type="dxa"/>
            <w:vAlign w:val="bottom"/>
            <w:gridSpan w:val="4"/>
            <w:shd w:val="clear" w:color="auto" w:fill="D5DCE4"/>
          </w:tcPr>
          <w:p>
            <w:pPr>
              <w:spacing w:after="0" w:line="240" w:lineRule="exact"/>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(348)</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98,490</w:t>
            </w:r>
          </w:p>
        </w:tc>
        <w:tc>
          <w:tcPr>
            <w:tcW w:w="80" w:type="dxa"/>
            <w:vAlign w:val="bottom"/>
          </w:tcPr>
          <w:p>
            <w:pPr>
              <w:spacing w:after="0"/>
              <w:rPr>
                <w:sz w:val="16"/>
                <w:szCs w:val="16"/>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69,001</w:t>
            </w:r>
          </w:p>
        </w:tc>
        <w:tc>
          <w:tcPr>
            <w:tcW w:w="80" w:type="dxa"/>
            <w:vAlign w:val="bottom"/>
          </w:tcPr>
          <w:p>
            <w:pPr>
              <w:spacing w:after="0"/>
              <w:rPr>
                <w:sz w:val="16"/>
                <w:szCs w:val="16"/>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275,204</w:t>
            </w:r>
          </w:p>
        </w:tc>
        <w:tc>
          <w:tcPr>
            <w:tcW w:w="80" w:type="dxa"/>
            <w:vAlign w:val="bottom"/>
          </w:tcPr>
          <w:p>
            <w:pPr>
              <w:spacing w:after="0"/>
              <w:rPr>
                <w:sz w:val="16"/>
                <w:szCs w:val="16"/>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220,281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5"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211,618,475</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205,721,162</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210,444,082</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204,767,261</w:t>
            </w:r>
          </w:p>
        </w:tc>
        <w:tc>
          <w:tcPr>
            <w:tcW w:w="0" w:type="dxa"/>
            <w:vAlign w:val="bottom"/>
          </w:tcPr>
          <w:p>
            <w:pPr>
              <w:spacing w:after="0"/>
              <w:rPr>
                <w:sz w:val="1"/>
                <w:szCs w:val="1"/>
                <w:color w:val="auto"/>
              </w:rPr>
            </w:pPr>
          </w:p>
        </w:tc>
      </w:tr>
      <w:tr>
        <w:trPr>
          <w:trHeight w:val="213"/>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504,945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746,043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380,740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796,090</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1,110,175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1,661,705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1,240,923</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1,940,970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258,039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200,559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211,163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243,716</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320" w:type="dxa"/>
            <w:vAlign w:val="bottom"/>
            <w:shd w:val="clear" w:color="auto" w:fill="D5DCE4"/>
          </w:tcPr>
          <w:p>
            <w:pPr>
              <w:spacing w:after="0"/>
              <w:rPr>
                <w:sz w:val="21"/>
                <w:szCs w:val="21"/>
                <w:color w:val="auto"/>
              </w:rPr>
            </w:pPr>
          </w:p>
        </w:tc>
        <w:tc>
          <w:tcPr>
            <w:tcW w:w="12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D5DCE4"/>
          </w:tcPr>
          <w:p>
            <w:pPr>
              <w:spacing w:after="0"/>
              <w:rPr>
                <w:sz w:val="21"/>
                <w:szCs w:val="21"/>
                <w:color w:val="auto"/>
              </w:rPr>
            </w:pPr>
          </w:p>
        </w:tc>
        <w:tc>
          <w:tcPr>
            <w:tcW w:w="10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26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40" w:type="dxa"/>
            <w:vAlign w:val="bottom"/>
            <w:gridSpan w:val="4"/>
          </w:tcPr>
          <w:p>
            <w:pPr>
              <w:spacing w:after="0" w:line="145"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213,491,634</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8"/>
              </w:rPr>
              <w:t>208,329,469</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212,276,908</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8"/>
              </w:rPr>
              <w:t>207,748,037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During the three months ended September 30, 2023 and 2022, there was a total of 265,681 and 246,238, respectively, and during the nine months ended September 30, 2023 and 2022, there was a</w:t>
      </w:r>
    </w:p>
    <w:p>
      <w:pPr>
        <w:spacing w:after="0" w:line="5" w:lineRule="exact"/>
        <w:rPr>
          <w:sz w:val="20"/>
          <w:szCs w:val="20"/>
          <w:color w:val="auto"/>
        </w:rPr>
      </w:pPr>
    </w:p>
    <w:p>
      <w:pPr>
        <w:ind w:left="440" w:right="120" w:hanging="414"/>
        <w:spacing w:after="0" w:line="270"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total of 266,453 and 121,115, respectively, weighted average unvested RSUs and unsettled vested PRSUs that were considered a participating security for purposes of calculating earnings per share in accordance with the two-class method.</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82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9"/>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6"/>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2023</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160" w:type="dxa"/>
            <w:vAlign w:val="bottom"/>
            <w:gridSpan w:val="3"/>
          </w:tcPr>
          <w:p>
            <w:pPr>
              <w:ind w:left="2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Fixed</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40" w:type="dxa"/>
            <w:vAlign w:val="bottom"/>
          </w:tcPr>
          <w:p>
            <w:pPr>
              <w:spacing w:after="0"/>
              <w:rPr>
                <w:sz w:val="20"/>
                <w:szCs w:val="20"/>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Fixed</w:t>
            </w:r>
          </w:p>
        </w:tc>
        <w:tc>
          <w:tcPr>
            <w:tcW w:w="40" w:type="dxa"/>
            <w:vAlign w:val="bottom"/>
          </w:tcPr>
          <w:p>
            <w:pPr>
              <w:spacing w:after="0"/>
              <w:rPr>
                <w:sz w:val="20"/>
                <w:szCs w:val="20"/>
                <w:color w:val="auto"/>
              </w:rPr>
            </w:pPr>
          </w:p>
        </w:tc>
        <w:tc>
          <w:tcPr>
            <w:tcW w:w="11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Variable</w:t>
            </w: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37"/>
        </w:trPr>
        <w:tc>
          <w:tcPr>
            <w:tcW w:w="1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47"/>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20" w:type="dxa"/>
            <w:vAlign w:val="bottom"/>
            <w:shd w:val="clear" w:color="auto" w:fill="D5DCE4"/>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114,128</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58,704</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93,673</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54,494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20,455</w:t>
            </w:r>
          </w:p>
        </w:tc>
        <w:tc>
          <w:tcPr>
            <w:tcW w:w="80" w:type="dxa"/>
            <w:vAlign w:val="bottom"/>
            <w:shd w:val="clear" w:color="auto" w:fill="D5DCE4"/>
          </w:tcPr>
          <w:p>
            <w:pPr>
              <w:spacing w:after="0"/>
              <w:rPr>
                <w:sz w:val="21"/>
                <w:szCs w:val="21"/>
                <w:color w:val="auto"/>
              </w:rPr>
            </w:pPr>
          </w:p>
        </w:tc>
        <w:tc>
          <w:tcPr>
            <w:tcW w:w="18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4,210</w:t>
            </w:r>
          </w:p>
        </w:tc>
        <w:tc>
          <w:tcPr>
            <w:tcW w:w="16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21.8 %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7.7 %</w:t>
            </w:r>
          </w:p>
        </w:tc>
      </w:tr>
      <w:tr>
        <w:trPr>
          <w:trHeight w:val="233"/>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82,484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7,578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71,724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6,377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1,201</w:t>
            </w:r>
          </w:p>
        </w:tc>
        <w:tc>
          <w:tcPr>
            <w:tcW w:w="160" w:type="dxa"/>
            <w:vAlign w:val="bottom"/>
          </w:tcPr>
          <w:p>
            <w:pPr>
              <w:spacing w:after="0"/>
              <w:rPr>
                <w:sz w:val="20"/>
                <w:szCs w:val="20"/>
                <w:color w:val="auto"/>
              </w:rPr>
            </w:pPr>
          </w:p>
        </w:tc>
        <w:tc>
          <w:tcPr>
            <w:tcW w:w="1220" w:type="dxa"/>
            <w:vAlign w:val="bottom"/>
            <w:gridSpan w:val="4"/>
          </w:tcPr>
          <w:p>
            <w:pPr>
              <w:jc w:val="right"/>
              <w:ind w:right="19"/>
              <w:spacing w:after="0"/>
              <w:rPr>
                <w:sz w:val="20"/>
                <w:szCs w:val="20"/>
                <w:color w:val="auto"/>
              </w:rPr>
            </w:pPr>
            <w:r>
              <w:rPr>
                <w:rFonts w:ascii="Arial" w:cs="Arial" w:eastAsia="Arial" w:hAnsi="Arial"/>
                <w:sz w:val="16"/>
                <w:szCs w:val="16"/>
                <w:color w:val="auto"/>
              </w:rPr>
              <w:t>15.0 %</w:t>
            </w:r>
          </w:p>
        </w:tc>
        <w:tc>
          <w:tcPr>
            <w:tcW w:w="1040" w:type="dxa"/>
            <w:vAlign w:val="bottom"/>
          </w:tcPr>
          <w:p>
            <w:pPr>
              <w:jc w:val="right"/>
              <w:spacing w:after="0"/>
              <w:rPr>
                <w:sz w:val="20"/>
                <w:szCs w:val="20"/>
                <w:color w:val="auto"/>
              </w:rPr>
            </w:pPr>
            <w:r>
              <w:rPr>
                <w:rFonts w:ascii="Arial" w:cs="Arial" w:eastAsia="Arial" w:hAnsi="Arial"/>
                <w:sz w:val="16"/>
                <w:szCs w:val="16"/>
                <w:color w:val="auto"/>
              </w:rPr>
              <w:t>18.8 %</w:t>
            </w:r>
          </w:p>
        </w:tc>
      </w:tr>
      <w:tr>
        <w:trPr>
          <w:trHeight w:val="25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18,567</w:t>
            </w: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2,323</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18,969</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2,308</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D5DCE4"/>
          </w:tcPr>
          <w:p>
            <w:pPr>
              <w:spacing w:after="0"/>
              <w:rPr>
                <w:sz w:val="21"/>
                <w:szCs w:val="21"/>
                <w:color w:val="auto"/>
              </w:rPr>
            </w:pP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(2.1)%</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0.6 %</w:t>
            </w:r>
          </w:p>
        </w:tc>
      </w:tr>
      <w:tr>
        <w:trPr>
          <w:trHeight w:val="233"/>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Money Markets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4,462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20"/>
                <w:szCs w:val="20"/>
                <w:color w:val="auto"/>
              </w:rPr>
            </w:pPr>
          </w:p>
        </w:tc>
        <w:tc>
          <w:tcPr>
            <w:tcW w:w="1220" w:type="dxa"/>
            <w:vAlign w:val="bottom"/>
            <w:gridSpan w:val="4"/>
          </w:tcPr>
          <w:p>
            <w:pPr>
              <w:jc w:val="right"/>
              <w:ind w:right="19"/>
              <w:spacing w:after="0"/>
              <w:rPr>
                <w:sz w:val="20"/>
                <w:szCs w:val="20"/>
                <w:color w:val="auto"/>
              </w:rPr>
            </w:pPr>
            <w:r>
              <w:rPr>
                <w:rFonts w:ascii="Arial" w:cs="Arial" w:eastAsia="Arial" w:hAnsi="Arial"/>
                <w:sz w:val="16"/>
                <w:szCs w:val="16"/>
                <w:color w:val="auto"/>
              </w:rPr>
              <w:t>34.4 %</w:t>
            </w: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22,841</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04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21,222</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D5DCE4"/>
          </w:tcPr>
          <w:p>
            <w:pPr>
              <w:spacing w:after="0"/>
              <w:rPr>
                <w:sz w:val="21"/>
                <w:szCs w:val="21"/>
                <w:color w:val="auto"/>
              </w:rPr>
            </w:pP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1,619</w:t>
            </w:r>
          </w:p>
        </w:tc>
        <w:tc>
          <w:tcPr>
            <w:tcW w:w="16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N/M</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7.6 %</w:t>
            </w:r>
          </w:p>
        </w:tc>
      </w:tr>
      <w:tr>
        <w:trPr>
          <w:trHeight w:val="237"/>
        </w:trPr>
        <w:tc>
          <w:tcPr>
            <w:tcW w:w="214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w:t>
            </w:r>
          </w:p>
        </w:tc>
        <w:tc>
          <w:tcPr>
            <w:tcW w:w="14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5,379</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Borders>
              <w:bottom w:val="single" w:sz="8" w:color="D5DCE4"/>
            </w:tcBorders>
          </w:tcPr>
          <w:p>
            <w:pPr>
              <w:spacing w:after="0"/>
              <w:rPr>
                <w:sz w:val="20"/>
                <w:szCs w:val="20"/>
                <w:color w:val="auto"/>
              </w:rPr>
            </w:pPr>
          </w:p>
        </w:tc>
        <w:tc>
          <w:tcPr>
            <w:tcW w:w="40" w:type="dxa"/>
            <w:vAlign w:val="bottom"/>
            <w:tcBorders>
              <w:bottom w:val="single" w:sz="8" w:color="D5DCE4"/>
            </w:tcBorders>
          </w:tcPr>
          <w:p>
            <w:pPr>
              <w:spacing w:after="0"/>
              <w:rPr>
                <w:sz w:val="20"/>
                <w:szCs w:val="20"/>
                <w:color w:val="auto"/>
              </w:rPr>
            </w:pPr>
          </w:p>
        </w:tc>
        <w:tc>
          <w:tcPr>
            <w:tcW w:w="52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580" w:type="dxa"/>
            <w:vAlign w:val="bottom"/>
            <w:tcBorders>
              <w:bottom w:val="single" w:sz="8" w:color="D5DCE4"/>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8.8 %</w:t>
            </w:r>
          </w:p>
        </w:tc>
      </w:tr>
      <w:tr>
        <w:trPr>
          <w:trHeight w:val="26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D5DCE4"/>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226,727</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101,630</w:t>
            </w:r>
          </w:p>
        </w:tc>
        <w:tc>
          <w:tcPr>
            <w:tcW w:w="140" w:type="dxa"/>
            <w:vAlign w:val="bottom"/>
            <w:shd w:val="clear" w:color="auto" w:fill="D5DCE4"/>
          </w:tcPr>
          <w:p>
            <w:pPr>
              <w:spacing w:after="0"/>
              <w:rPr>
                <w:sz w:val="22"/>
                <w:szCs w:val="22"/>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192,873</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94,242</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33,854</w:t>
            </w:r>
          </w:p>
        </w:tc>
        <w:tc>
          <w:tcPr>
            <w:tcW w:w="80" w:type="dxa"/>
            <w:vAlign w:val="bottom"/>
            <w:shd w:val="clear" w:color="auto" w:fill="D5DCE4"/>
          </w:tcPr>
          <w:p>
            <w:pPr>
              <w:spacing w:after="0"/>
              <w:rPr>
                <w:sz w:val="22"/>
                <w:szCs w:val="22"/>
                <w:color w:val="auto"/>
              </w:rPr>
            </w:pPr>
          </w:p>
        </w:tc>
        <w:tc>
          <w:tcPr>
            <w:tcW w:w="18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7,388</w:t>
            </w:r>
          </w:p>
        </w:tc>
        <w:tc>
          <w:tcPr>
            <w:tcW w:w="160" w:type="dxa"/>
            <w:vAlign w:val="bottom"/>
            <w:shd w:val="clear" w:color="auto" w:fill="D5DCE4"/>
          </w:tcPr>
          <w:p>
            <w:pPr>
              <w:spacing w:after="0"/>
              <w:rPr>
                <w:sz w:val="22"/>
                <w:szCs w:val="22"/>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17.6 %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7.8 %</w:t>
            </w:r>
          </w:p>
        </w:tc>
      </w:tr>
      <w:tr>
        <w:trPr>
          <w:trHeight w:val="20"/>
        </w:trPr>
        <w:tc>
          <w:tcPr>
            <w:tcW w:w="196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4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80" w:type="dxa"/>
            <w:vAlign w:val="bottom"/>
            <w:tcBorders>
              <w:top w:val="single" w:sz="8" w:color="D5DCE4"/>
            </w:tcBorders>
          </w:tcPr>
          <w:p>
            <w:pPr>
              <w:spacing w:after="0" w:line="20" w:lineRule="exact"/>
              <w:rPr>
                <w:sz w:val="1"/>
                <w:szCs w:val="1"/>
                <w:color w:val="auto"/>
              </w:rPr>
            </w:pPr>
          </w:p>
        </w:tc>
        <w:tc>
          <w:tcPr>
            <w:tcW w:w="1040" w:type="dxa"/>
            <w:vAlign w:val="bottom"/>
            <w:tcBorders>
              <w:top w:val="single" w:sz="8" w:color="D5DCE4"/>
            </w:tcBorders>
          </w:tcPr>
          <w:p>
            <w:pPr>
              <w:spacing w:after="0" w:line="20" w:lineRule="exact"/>
              <w:rPr>
                <w:sz w:val="1"/>
                <w:szCs w:val="1"/>
                <w:color w:val="auto"/>
              </w:rPr>
            </w:pPr>
          </w:p>
        </w:tc>
      </w:tr>
      <w:tr>
        <w:trPr>
          <w:trHeight w:val="421"/>
        </w:trPr>
        <w:tc>
          <w:tcPr>
            <w:tcW w:w="2160" w:type="dxa"/>
            <w:vAlign w:val="bottom"/>
            <w:gridSpan w:val="3"/>
          </w:tcPr>
          <w:p>
            <w:pPr>
              <w:spacing w:after="0"/>
              <w:rPr>
                <w:sz w:val="20"/>
                <w:szCs w:val="20"/>
                <w:color w:val="auto"/>
              </w:rPr>
            </w:pPr>
            <w:r>
              <w:rPr>
                <w:rFonts w:ascii="Arial" w:cs="Arial" w:eastAsia="Arial" w:hAnsi="Arial"/>
                <w:sz w:val="14"/>
                <w:szCs w:val="14"/>
                <w:color w:val="auto"/>
              </w:rPr>
              <w:t>N/M = not meaningful</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2160" w:type="dxa"/>
            <w:vAlign w:val="bottom"/>
            <w:gridSpan w:val="3"/>
          </w:tcPr>
          <w:p>
            <w:pPr>
              <w:spacing w:after="0"/>
              <w:rPr>
                <w:sz w:val="20"/>
                <w:szCs w:val="20"/>
                <w:color w:val="auto"/>
              </w:rPr>
            </w:pPr>
            <w:r>
              <w:rPr>
                <w:rFonts w:ascii="Arial" w:cs="Arial" w:eastAsia="Arial" w:hAnsi="Arial"/>
                <w:sz w:val="16"/>
                <w:szCs w:val="16"/>
                <w:b w:val="1"/>
                <w:bCs w:val="1"/>
                <w:color w:val="083566"/>
              </w:rPr>
              <w:t>TRADEWEB MARKETS INC.</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7"/>
        </w:trPr>
        <w:tc>
          <w:tcPr>
            <w:tcW w:w="6820" w:type="dxa"/>
            <w:vAlign w:val="bottom"/>
            <w:gridSpan w:val="17"/>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00"/>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4"/>
        </w:trPr>
        <w:tc>
          <w:tcPr>
            <w:tcW w:w="1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196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 w:type="dxa"/>
            <w:vAlign w:val="bottom"/>
            <w:tcBorders>
              <w:bottom w:val="single" w:sz="8" w:color="D5DCE4"/>
            </w:tcBorders>
          </w:tcPr>
          <w:p>
            <w:pPr>
              <w:spacing w:after="0"/>
              <w:rPr>
                <w:sz w:val="20"/>
                <w:szCs w:val="20"/>
                <w:color w:val="auto"/>
              </w:rPr>
            </w:pPr>
          </w:p>
        </w:tc>
        <w:tc>
          <w:tcPr>
            <w:tcW w:w="120" w:type="dxa"/>
            <w:vAlign w:val="bottom"/>
            <w:tcBorders>
              <w:bottom w:val="single" w:sz="8" w:color="D5DCE4"/>
            </w:tcBorders>
          </w:tcPr>
          <w:p>
            <w:pPr>
              <w:spacing w:after="0"/>
              <w:rPr>
                <w:sz w:val="20"/>
                <w:szCs w:val="20"/>
                <w:color w:val="auto"/>
              </w:rPr>
            </w:pPr>
          </w:p>
        </w:tc>
        <w:tc>
          <w:tcPr>
            <w:tcW w:w="800" w:type="dxa"/>
            <w:vAlign w:val="bottom"/>
            <w:tcBorders>
              <w:bottom w:val="single" w:sz="8" w:color="D5DCE4"/>
            </w:tcBorders>
          </w:tcPr>
          <w:p>
            <w:pPr>
              <w:spacing w:after="0"/>
              <w:rPr>
                <w:sz w:val="20"/>
                <w:szCs w:val="20"/>
                <w:color w:val="auto"/>
              </w:rPr>
            </w:pPr>
          </w:p>
        </w:tc>
        <w:tc>
          <w:tcPr>
            <w:tcW w:w="6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80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60" w:type="dxa"/>
            <w:vAlign w:val="bottom"/>
            <w:tcBorders>
              <w:bottom w:val="single" w:sz="8" w:color="D5DCE4"/>
            </w:tcBorders>
          </w:tcPr>
          <w:p>
            <w:pPr>
              <w:spacing w:after="0"/>
              <w:rPr>
                <w:sz w:val="20"/>
                <w:szCs w:val="20"/>
                <w:color w:val="auto"/>
              </w:rPr>
            </w:pPr>
          </w:p>
        </w:tc>
        <w:tc>
          <w:tcPr>
            <w:tcW w:w="84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66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20" w:type="dxa"/>
            <w:vAlign w:val="bottom"/>
            <w:shd w:val="clear" w:color="auto" w:fill="D5DCE4"/>
          </w:tcPr>
          <w:p>
            <w:pPr>
              <w:spacing w:after="0"/>
              <w:rPr>
                <w:sz w:val="20"/>
                <w:szCs w:val="20"/>
                <w:color w:val="auto"/>
              </w:rPr>
            </w:pPr>
          </w:p>
        </w:tc>
        <w:tc>
          <w:tcPr>
            <w:tcW w:w="800" w:type="dxa"/>
            <w:vAlign w:val="bottom"/>
            <w:shd w:val="clear" w:color="auto" w:fill="D5DCE4"/>
          </w:tcPr>
          <w:p>
            <w:pPr>
              <w:spacing w:after="0"/>
              <w:rPr>
                <w:sz w:val="20"/>
                <w:szCs w:val="20"/>
                <w:color w:val="auto"/>
              </w:rPr>
            </w:pPr>
          </w:p>
        </w:tc>
        <w:tc>
          <w:tcPr>
            <w:tcW w:w="6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8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60" w:type="dxa"/>
            <w:vAlign w:val="bottom"/>
            <w:shd w:val="clear" w:color="auto" w:fill="D5DCE4"/>
          </w:tcPr>
          <w:p>
            <w:pPr>
              <w:spacing w:after="0"/>
              <w:rPr>
                <w:sz w:val="20"/>
                <w:szCs w:val="20"/>
                <w:color w:val="auto"/>
              </w:rPr>
            </w:pPr>
          </w:p>
        </w:tc>
        <w:tc>
          <w:tcPr>
            <w:tcW w:w="84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2.10</w:t>
            </w:r>
          </w:p>
        </w:tc>
        <w:tc>
          <w:tcPr>
            <w:tcW w:w="80" w:type="dxa"/>
            <w:vAlign w:val="bottom"/>
            <w:shd w:val="clear" w:color="auto" w:fill="D5DCE4"/>
          </w:tcPr>
          <w:p>
            <w:pPr>
              <w:spacing w:after="0"/>
              <w:rPr>
                <w:sz w:val="20"/>
                <w:szCs w:val="20"/>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0"/>
                <w:szCs w:val="20"/>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shd w:val="clear" w:color="auto" w:fill="D5DCE4"/>
          </w:tcPr>
          <w:p>
            <w:pPr>
              <w:spacing w:after="0"/>
              <w:rPr>
                <w:sz w:val="20"/>
                <w:szCs w:val="20"/>
                <w:color w:val="auto"/>
              </w:rPr>
            </w:pPr>
          </w:p>
        </w:tc>
        <w:tc>
          <w:tcPr>
            <w:tcW w:w="58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(5.7)%</w:t>
            </w:r>
          </w:p>
        </w:tc>
      </w:tr>
      <w:tr>
        <w:trPr>
          <w:trHeight w:val="233"/>
        </w:trPr>
        <w:tc>
          <w:tcPr>
            <w:tcW w:w="2160" w:type="dxa"/>
            <w:vAlign w:val="bottom"/>
            <w:gridSpan w:val="3"/>
          </w:tcPr>
          <w:p>
            <w:pPr>
              <w:ind w:left="140"/>
              <w:spacing w:after="0"/>
              <w:rPr>
                <w:sz w:val="20"/>
                <w:szCs w:val="20"/>
                <w:color w:val="auto"/>
              </w:rPr>
            </w:pPr>
            <w:r>
              <w:rPr>
                <w:rFonts w:ascii="Arial" w:cs="Arial" w:eastAsia="Arial" w:hAnsi="Arial"/>
                <w:sz w:val="16"/>
                <w:szCs w:val="16"/>
                <w:color w:val="auto"/>
              </w:rPr>
              <w:t>Rates Cash</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53"/>
        </w:trPr>
        <w:tc>
          <w:tcPr>
            <w:tcW w:w="2160" w:type="dxa"/>
            <w:vAlign w:val="bottom"/>
            <w:gridSpan w:val="3"/>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(16.4)%</w:t>
            </w:r>
          </w:p>
        </w:tc>
      </w:tr>
      <w:tr>
        <w:trPr>
          <w:trHeight w:val="233"/>
        </w:trPr>
        <w:tc>
          <w:tcPr>
            <w:tcW w:w="3080" w:type="dxa"/>
            <w:vAlign w:val="bottom"/>
            <w:gridSpan w:val="5"/>
          </w:tcPr>
          <w:p>
            <w:pPr>
              <w:ind w:left="240"/>
              <w:spacing w:after="0"/>
              <w:rPr>
                <w:sz w:val="20"/>
                <w:szCs w:val="20"/>
                <w:color w:val="auto"/>
              </w:rPr>
            </w:pPr>
            <w:r>
              <w:rPr>
                <w:rFonts w:ascii="Arial" w:cs="Arial" w:eastAsia="Arial" w:hAnsi="Arial"/>
                <w:sz w:val="16"/>
                <w:szCs w:val="16"/>
                <w:color w:val="auto"/>
              </w:rPr>
              <w:t>Rates Derivatives (greater than 1 year)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53"/>
        </w:trPr>
        <w:tc>
          <w:tcPr>
            <w:tcW w:w="2160" w:type="dxa"/>
            <w:vAlign w:val="bottom"/>
            <w:gridSpan w:val="3"/>
            <w:shd w:val="clear" w:color="auto" w:fill="D5DCE4"/>
          </w:tcPr>
          <w:p>
            <w:pPr>
              <w:ind w:left="240"/>
              <w:spacing w:after="0"/>
              <w:rPr>
                <w:sz w:val="20"/>
                <w:szCs w:val="20"/>
                <w:color w:val="auto"/>
              </w:rPr>
            </w:pPr>
            <w:r>
              <w:rPr>
                <w:rFonts w:ascii="Arial" w:cs="Arial" w:eastAsia="Arial" w:hAnsi="Arial"/>
                <w:sz w:val="16"/>
                <w:szCs w:val="16"/>
                <w:color w:val="auto"/>
                <w:w w:val="99"/>
              </w:rPr>
              <w:t xml:space="preserve">Other Rates Derivatives </w:t>
            </w:r>
            <w:r>
              <w:rPr>
                <w:rFonts w:ascii="Arial" w:cs="Arial" w:eastAsia="Arial" w:hAnsi="Arial"/>
                <w:sz w:val="21"/>
                <w:szCs w:val="21"/>
                <w:color w:val="auto"/>
                <w:w w:val="99"/>
                <w:vertAlign w:val="superscript"/>
              </w:rPr>
              <w:t>(1)</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(19.1)%</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43.26</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38.03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13.7 %</w:t>
            </w:r>
          </w:p>
        </w:tc>
      </w:tr>
      <w:tr>
        <w:trPr>
          <w:trHeight w:val="243"/>
        </w:trPr>
        <w:tc>
          <w:tcPr>
            <w:tcW w:w="2160" w:type="dxa"/>
            <w:vAlign w:val="bottom"/>
            <w:gridSpan w:val="3"/>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162.20</w:t>
            </w:r>
          </w:p>
        </w:tc>
        <w:tc>
          <w:tcPr>
            <w:tcW w:w="80" w:type="dxa"/>
            <w:vAlign w:val="bottom"/>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3"/>
              </w:rPr>
              <w:t>168.74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4460" w:type="dxa"/>
            <w:vAlign w:val="bottom"/>
            <w:gridSpan w:val="10"/>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7.12</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15.50</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18.69</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(17.1)%</w:t>
            </w:r>
          </w:p>
        </w:tc>
      </w:tr>
      <w:tr>
        <w:trPr>
          <w:trHeight w:val="233"/>
        </w:trPr>
        <w:tc>
          <w:tcPr>
            <w:tcW w:w="2160" w:type="dxa"/>
            <w:vAlign w:val="bottom"/>
            <w:gridSpan w:val="3"/>
          </w:tcPr>
          <w:p>
            <w:pPr>
              <w:ind w:left="140"/>
              <w:spacing w:after="0"/>
              <w:rPr>
                <w:sz w:val="20"/>
                <w:szCs w:val="20"/>
                <w:color w:val="auto"/>
              </w:rPr>
            </w:pPr>
            <w:r>
              <w:rPr>
                <w:rFonts w:ascii="Arial" w:cs="Arial" w:eastAsia="Arial" w:hAnsi="Arial"/>
                <w:sz w:val="16"/>
                <w:szCs w:val="16"/>
                <w:color w:val="auto"/>
              </w:rPr>
              <w:t>Equities Cash</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25.42</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29.33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53"/>
        </w:trPr>
        <w:tc>
          <w:tcPr>
            <w:tcW w:w="2160" w:type="dxa"/>
            <w:vAlign w:val="bottom"/>
            <w:gridSpan w:val="3"/>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5.50</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4.1 %</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0.35</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0.33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4.8 %</w:t>
            </w:r>
          </w:p>
        </w:tc>
      </w:tr>
      <w:tr>
        <w:trPr>
          <w:trHeight w:val="216"/>
        </w:trPr>
        <w:tc>
          <w:tcPr>
            <w:tcW w:w="21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2.51</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2.73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(8.2)%</w:t>
            </w:r>
          </w:p>
        </w:tc>
      </w:tr>
      <w:tr>
        <w:trPr>
          <w:trHeight w:val="289"/>
        </w:trPr>
        <w:tc>
          <w:tcPr>
            <w:tcW w:w="3520" w:type="dxa"/>
            <w:vAlign w:val="bottom"/>
            <w:gridSpan w:val="8"/>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b w:val="1"/>
                <w:bCs w:val="1"/>
                <w:color w:val="auto"/>
              </w:rPr>
              <w:t>2.81</w:t>
            </w:r>
          </w:p>
        </w:tc>
        <w:tc>
          <w:tcPr>
            <w:tcW w:w="80" w:type="dxa"/>
            <w:vAlign w:val="bottom"/>
          </w:tcPr>
          <w:p>
            <w:pPr>
              <w:spacing w:after="0"/>
              <w:rPr>
                <w:sz w:val="24"/>
                <w:szCs w:val="24"/>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3.05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4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7" w:lineRule="exact"/>
        <w:rPr>
          <w:sz w:val="20"/>
          <w:szCs w:val="20"/>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TRADEWEB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2023 Q3</w:t>
            </w:r>
          </w:p>
        </w:tc>
        <w:tc>
          <w:tcPr>
            <w:tcW w:w="320" w:type="dxa"/>
            <w:vAlign w:val="bottom"/>
          </w:tcPr>
          <w:p>
            <w:pPr>
              <w:spacing w:after="0"/>
              <w:rPr>
                <w:sz w:val="19"/>
                <w:szCs w:val="19"/>
                <w:color w:val="auto"/>
              </w:rPr>
            </w:pPr>
          </w:p>
        </w:tc>
        <w:tc>
          <w:tcPr>
            <w:tcW w:w="256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rPr>
              <w:t>2022 Q3</w:t>
            </w:r>
          </w:p>
        </w:tc>
        <w:tc>
          <w:tcPr>
            <w:tcW w:w="1220" w:type="dxa"/>
            <w:vAlign w:val="bottom"/>
          </w:tcPr>
          <w:p>
            <w:pPr>
              <w:ind w:left="44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27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7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ADV (USD mm) Volume (USD mm)</w:t>
            </w:r>
          </w:p>
        </w:tc>
        <w:tc>
          <w:tcPr>
            <w:tcW w:w="12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361,432</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22,842,103</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324,168</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20,774,062</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11.50 %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142,641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8,986,371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123,736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7,919,082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37,251</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2,421,306</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33,347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2,167,535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174,436</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10,989,473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162,542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10,402,677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7,104</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444,954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4,544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284,767</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56.36 %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491,883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31,422,422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328,636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21,158,388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49.67 %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326,175</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20,799,345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203,038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13,066,309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163,393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10,476,689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123,817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7,978,143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2,316</w:t>
            </w:r>
          </w:p>
        </w:tc>
        <w:tc>
          <w:tcPr>
            <w:tcW w:w="1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146,388</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1,780</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113,936</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30.10 %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853,316</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54,264,525</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652,804</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41,932,450</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12,981</w:t>
            </w:r>
          </w:p>
        </w:tc>
        <w:tc>
          <w:tcPr>
            <w:tcW w:w="1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824,984</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9,300</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597,520</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39.58 %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4,225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266,163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210,757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28.29 %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324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2,339</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147,359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2,475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158,411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29,622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80" w:type="dxa"/>
            <w:vAlign w:val="bottom"/>
            <w:shd w:val="clear" w:color="auto" w:fill="D5DCE4"/>
          </w:tcPr>
          <w:p>
            <w:pPr>
              <w:spacing w:after="0"/>
              <w:rPr>
                <w:sz w:val="18"/>
                <w:szCs w:val="18"/>
                <w:color w:val="auto"/>
              </w:rPr>
            </w:pPr>
          </w:p>
        </w:tc>
        <w:tc>
          <w:tcPr>
            <w:tcW w:w="220" w:type="dxa"/>
            <w:vAlign w:val="bottom"/>
            <w:tcBorders>
              <w:right w:val="single" w:sz="8" w:color="D5DCE4"/>
            </w:tcBorders>
            <w:shd w:val="clear" w:color="auto" w:fill="D5DCE4"/>
          </w:tcPr>
          <w:p>
            <w:pPr>
              <w:spacing w:after="0"/>
              <w:rPr>
                <w:sz w:val="18"/>
                <w:szCs w:val="18"/>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w:t>
            </w: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D5DCE4"/>
          </w:tcPr>
          <w:p>
            <w:pPr>
              <w:spacing w:after="0"/>
              <w:rPr>
                <w:sz w:val="18"/>
                <w:szCs w:val="18"/>
                <w:color w:val="auto"/>
              </w:rPr>
            </w:pPr>
          </w:p>
        </w:tc>
        <w:tc>
          <w:tcPr>
            <w:tcW w:w="12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tcBorders>
              <w:right w:val="single" w:sz="8" w:color="D5DCE4"/>
            </w:tcBorders>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351</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22,482</w:t>
            </w:r>
          </w:p>
        </w:tc>
        <w:tc>
          <w:tcPr>
            <w:tcW w:w="120" w:type="dxa"/>
            <w:vAlign w:val="bottom"/>
            <w:tcBorders>
              <w:right w:val="single" w:sz="8" w:color="D5DCE4"/>
            </w:tcBorders>
            <w:shd w:val="clear" w:color="auto" w:fill="D5DCE4"/>
          </w:tcPr>
          <w:p>
            <w:pPr>
              <w:spacing w:after="0"/>
              <w:rPr>
                <w:sz w:val="18"/>
                <w:szCs w:val="18"/>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980" w:type="dxa"/>
            <w:vAlign w:val="bottom"/>
            <w:shd w:val="clear" w:color="auto" w:fill="D5DCE4"/>
          </w:tcPr>
          <w:p>
            <w:pPr>
              <w:spacing w:after="0"/>
              <w:rPr>
                <w:sz w:val="10"/>
                <w:szCs w:val="10"/>
                <w:color w:val="auto"/>
              </w:rPr>
            </w:pPr>
          </w:p>
        </w:tc>
        <w:tc>
          <w:tcPr>
            <w:tcW w:w="220" w:type="dxa"/>
            <w:vAlign w:val="bottom"/>
            <w:tcBorders>
              <w:right w:val="single" w:sz="8" w:color="D5DCE4"/>
            </w:tcBorders>
            <w:shd w:val="clear" w:color="auto" w:fill="D5DCE4"/>
          </w:tcPr>
          <w:p>
            <w:pPr>
              <w:spacing w:after="0"/>
              <w:rPr>
                <w:sz w:val="10"/>
                <w:szCs w:val="10"/>
                <w:color w:val="auto"/>
              </w:rPr>
            </w:pPr>
          </w:p>
        </w:tc>
        <w:tc>
          <w:tcPr>
            <w:tcW w:w="3020" w:type="dxa"/>
            <w:vAlign w:val="bottom"/>
            <w:tcBorders>
              <w:right w:val="single" w:sz="8" w:color="D5DCE4"/>
            </w:tcBorders>
            <w:gridSpan w:val="2"/>
            <w:vMerge w:val="restart"/>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Processed</w:t>
            </w: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40" w:type="dxa"/>
            <w:vAlign w:val="bottom"/>
            <w:shd w:val="clear" w:color="auto" w:fill="D5DCE4"/>
          </w:tcPr>
          <w:p>
            <w:pPr>
              <w:spacing w:after="0"/>
              <w:rPr>
                <w:sz w:val="10"/>
                <w:szCs w:val="10"/>
                <w:color w:val="auto"/>
              </w:rPr>
            </w:pPr>
          </w:p>
        </w:tc>
        <w:tc>
          <w:tcPr>
            <w:tcW w:w="128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20" w:type="dxa"/>
            <w:vAlign w:val="bottom"/>
            <w:tcBorders>
              <w:right w:val="single" w:sz="8" w:color="D5DCE4"/>
            </w:tcBorders>
            <w:shd w:val="clear" w:color="auto" w:fill="D5DCE4"/>
          </w:tcPr>
          <w:p>
            <w:pPr>
              <w:spacing w:after="0"/>
              <w:rPr>
                <w:sz w:val="10"/>
                <w:szCs w:val="10"/>
                <w:color w:val="auto"/>
              </w:rPr>
            </w:pPr>
          </w:p>
        </w:tc>
        <w:tc>
          <w:tcPr>
            <w:tcW w:w="122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tcBorders>
              <w:bottom w:val="single" w:sz="8" w:color="D5DCE4"/>
            </w:tcBorders>
            <w:shd w:val="clear" w:color="auto" w:fill="D5DCE4"/>
          </w:tcPr>
          <w:p>
            <w:pPr>
              <w:spacing w:after="0"/>
              <w:rPr>
                <w:sz w:val="9"/>
                <w:szCs w:val="9"/>
                <w:color w:val="auto"/>
              </w:rPr>
            </w:pPr>
          </w:p>
        </w:tc>
        <w:tc>
          <w:tcPr>
            <w:tcW w:w="220" w:type="dxa"/>
            <w:vAlign w:val="bottom"/>
            <w:tcBorders>
              <w:bottom w:val="single" w:sz="8" w:color="D5DCE4"/>
              <w:right w:val="single" w:sz="8" w:color="D5DCE4"/>
            </w:tcBorders>
            <w:shd w:val="clear" w:color="auto" w:fill="D5DCE4"/>
          </w:tcPr>
          <w:p>
            <w:pPr>
              <w:spacing w:after="0"/>
              <w:rPr>
                <w:sz w:val="9"/>
                <w:szCs w:val="9"/>
                <w:color w:val="auto"/>
              </w:rPr>
            </w:pPr>
          </w:p>
        </w:tc>
        <w:tc>
          <w:tcPr>
            <w:tcW w:w="302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40" w:type="dxa"/>
            <w:vAlign w:val="bottom"/>
            <w:tcBorders>
              <w:bottom w:val="single" w:sz="8" w:color="D5DCE4"/>
            </w:tcBorders>
            <w:shd w:val="clear" w:color="auto" w:fill="D5DCE4"/>
          </w:tcPr>
          <w:p>
            <w:pPr>
              <w:spacing w:after="0"/>
              <w:rPr>
                <w:sz w:val="9"/>
                <w:szCs w:val="9"/>
                <w:color w:val="auto"/>
              </w:rPr>
            </w:pPr>
          </w:p>
        </w:tc>
        <w:tc>
          <w:tcPr>
            <w:tcW w:w="128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20" w:type="dxa"/>
            <w:vAlign w:val="bottom"/>
            <w:tcBorders>
              <w:bottom w:val="single" w:sz="8" w:color="D5DCE4"/>
              <w:right w:val="single" w:sz="8" w:color="D5DCE4"/>
            </w:tcBorders>
            <w:shd w:val="clear" w:color="auto" w:fill="D5DCE4"/>
          </w:tcPr>
          <w:p>
            <w:pPr>
              <w:spacing w:after="0"/>
              <w:rPr>
                <w:sz w:val="9"/>
                <w:szCs w:val="9"/>
                <w:color w:val="auto"/>
              </w:rPr>
            </w:pPr>
          </w:p>
        </w:tc>
        <w:tc>
          <w:tcPr>
            <w:tcW w:w="1220" w:type="dxa"/>
            <w:vAlign w:val="bottom"/>
            <w:tcBorders>
              <w:bottom w:val="single" w:sz="8" w:color="D5DCE4"/>
            </w:tcBorders>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1,869</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121,475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90,371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34.42 %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334</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21,054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22,673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206,794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56,068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10,017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7,135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40.98 %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16,955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1,081,813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20,020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1,289,959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16,955</w:t>
            </w:r>
          </w:p>
        </w:tc>
        <w:tc>
          <w:tcPr>
            <w:tcW w:w="1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1,081,813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20,020</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1,289,959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29,936</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1,906,796</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29,320</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1,887,479</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9,479</w:t>
            </w:r>
          </w:p>
        </w:tc>
        <w:tc>
          <w:tcPr>
            <w:tcW w:w="1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601,332</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8,804</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565,934</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7,402</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466,323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403,162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2,077</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135,009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2,504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162,772</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9,451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596,615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7,009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449,209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34.83 %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6,285</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396,969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4,384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281,007</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43.35 %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199,646</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168,202</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18,930</w:t>
            </w:r>
          </w:p>
        </w:tc>
        <w:tc>
          <w:tcPr>
            <w:tcW w:w="1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1,197,947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15,813</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1,015,143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19.71 %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98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Money</w:t>
            </w:r>
          </w:p>
        </w:tc>
        <w:tc>
          <w:tcPr>
            <w:tcW w:w="220" w:type="dxa"/>
            <w:vAlign w:val="bottom"/>
          </w:tcPr>
          <w:p>
            <w:pPr>
              <w:spacing w:after="0"/>
              <w:rPr>
                <w:sz w:val="15"/>
                <w:szCs w:val="15"/>
                <w:color w:val="auto"/>
              </w:rPr>
            </w:pPr>
          </w:p>
        </w:tc>
        <w:tc>
          <w:tcPr>
            <w:tcW w:w="3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522,075</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33,065,896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400,726</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25,721,492</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2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505,191</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32,000,195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382,040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24,525,135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32.24 %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16,884</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1,065,702</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18,686</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1,196,357</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80" w:type="dxa"/>
            <w:vAlign w:val="bottom"/>
            <w:shd w:val="clear" w:color="auto" w:fill="D5DCE4"/>
          </w:tcPr>
          <w:p>
            <w:pPr>
              <w:spacing w:after="0"/>
              <w:rPr>
                <w:sz w:val="20"/>
                <w:szCs w:val="20"/>
                <w:color w:val="auto"/>
              </w:rPr>
            </w:pP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522,075</w:t>
            </w:r>
          </w:p>
        </w:tc>
        <w:tc>
          <w:tcPr>
            <w:tcW w:w="1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33,065,896</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400,726</w:t>
            </w:r>
          </w:p>
        </w:tc>
        <w:tc>
          <w:tcPr>
            <w:tcW w:w="160" w:type="dxa"/>
            <w:vAlign w:val="bottom"/>
            <w:tcBorders>
              <w:bottom w:val="single" w:sz="8" w:color="auto"/>
            </w:tcBorders>
            <w:shd w:val="clear" w:color="auto" w:fill="D5DCE4"/>
          </w:tcPr>
          <w:p>
            <w:pPr>
              <w:spacing w:after="0"/>
              <w:rPr>
                <w:sz w:val="20"/>
                <w:szCs w:val="20"/>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25,721,492</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30.28 %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80" w:type="dxa"/>
            <w:vAlign w:val="bottom"/>
            <w:tcBorders>
              <w:bottom w:val="single" w:sz="8" w:color="D5DCE4"/>
            </w:tcBorders>
          </w:tcPr>
          <w:p>
            <w:pPr>
              <w:spacing w:after="0"/>
              <w:rPr>
                <w:sz w:val="17"/>
                <w:szCs w:val="17"/>
                <w:color w:val="auto"/>
              </w:rPr>
            </w:pPr>
          </w:p>
        </w:tc>
        <w:tc>
          <w:tcPr>
            <w:tcW w:w="220" w:type="dxa"/>
            <w:vAlign w:val="bottom"/>
            <w:tcBorders>
              <w:bottom w:val="single" w:sz="8" w:color="D5DCE4"/>
            </w:tcBorders>
          </w:tcPr>
          <w:p>
            <w:pPr>
              <w:spacing w:after="0"/>
              <w:rPr>
                <w:sz w:val="17"/>
                <w:szCs w:val="17"/>
                <w:color w:val="auto"/>
              </w:rPr>
            </w:pPr>
          </w:p>
        </w:tc>
        <w:tc>
          <w:tcPr>
            <w:tcW w:w="292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80" w:type="dxa"/>
            <w:vAlign w:val="bottom"/>
            <w:shd w:val="clear" w:color="auto" w:fill="D5DCE4"/>
          </w:tcPr>
          <w:p>
            <w:pPr>
              <w:spacing w:after="0"/>
              <w:rPr>
                <w:sz w:val="16"/>
                <w:szCs w:val="16"/>
                <w:color w:val="auto"/>
              </w:rPr>
            </w:pPr>
          </w:p>
        </w:tc>
        <w:tc>
          <w:tcPr>
            <w:tcW w:w="220" w:type="dxa"/>
            <w:vAlign w:val="bottom"/>
            <w:tcBorders>
              <w:right w:val="single" w:sz="8" w:color="D5DCE4"/>
            </w:tcBorders>
            <w:shd w:val="clear" w:color="auto" w:fill="D5DCE4"/>
          </w:tcPr>
          <w:p>
            <w:pPr>
              <w:spacing w:after="0"/>
              <w:rPr>
                <w:sz w:val="16"/>
                <w:szCs w:val="16"/>
                <w:color w:val="auto"/>
              </w:rPr>
            </w:pPr>
          </w:p>
        </w:tc>
        <w:tc>
          <w:tcPr>
            <w:tcW w:w="292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140" w:type="dxa"/>
            <w:vAlign w:val="bottom"/>
            <w:shd w:val="clear" w:color="auto" w:fill="D5DCE4"/>
          </w:tcPr>
          <w:p>
            <w:pPr>
              <w:spacing w:after="0"/>
              <w:rPr>
                <w:sz w:val="16"/>
                <w:szCs w:val="16"/>
                <w:color w:val="auto"/>
              </w:rPr>
            </w:pPr>
          </w:p>
        </w:tc>
        <w:tc>
          <w:tcPr>
            <w:tcW w:w="1380" w:type="dxa"/>
            <w:vAlign w:val="bottom"/>
            <w:tcBorders>
              <w:right w:val="single" w:sz="8" w:color="auto"/>
            </w:tcBorders>
            <w:gridSpan w:val="2"/>
            <w:shd w:val="clear" w:color="auto" w:fill="D5DCE4"/>
          </w:tcPr>
          <w:p>
            <w:pPr>
              <w:jc w:val="center"/>
              <w:ind w:right="240"/>
              <w:spacing w:after="0"/>
              <w:rPr>
                <w:sz w:val="20"/>
                <w:szCs w:val="20"/>
                <w:color w:val="auto"/>
              </w:rPr>
            </w:pPr>
            <w:r>
              <w:rPr>
                <w:rFonts w:ascii="Arial" w:cs="Arial" w:eastAsia="Arial" w:hAnsi="Arial"/>
                <w:sz w:val="16"/>
                <w:szCs w:val="16"/>
                <w:b w:val="1"/>
                <w:bCs w:val="1"/>
                <w:color w:val="auto"/>
              </w:rPr>
              <w:t>Volume (USD</w:t>
            </w: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80" w:type="dxa"/>
            <w:vAlign w:val="bottom"/>
            <w:tcBorders>
              <w:right w:val="single" w:sz="8" w:color="auto"/>
            </w:tcBorders>
            <w:gridSpan w:val="2"/>
            <w:shd w:val="clear" w:color="auto" w:fill="D5DCE4"/>
          </w:tcPr>
          <w:p>
            <w:pPr>
              <w:jc w:val="center"/>
              <w:ind w:right="280"/>
              <w:spacing w:after="0"/>
              <w:rPr>
                <w:sz w:val="20"/>
                <w:szCs w:val="20"/>
                <w:color w:val="auto"/>
              </w:rPr>
            </w:pPr>
            <w:r>
              <w:rPr>
                <w:rFonts w:ascii="Arial" w:cs="Arial" w:eastAsia="Arial" w:hAnsi="Arial"/>
                <w:sz w:val="16"/>
                <w:szCs w:val="16"/>
                <w:b w:val="1"/>
                <w:bCs w:val="1"/>
                <w:color w:val="auto"/>
              </w:rPr>
              <w:t>Volume (USD</w:t>
            </w:r>
          </w:p>
        </w:tc>
        <w:tc>
          <w:tcPr>
            <w:tcW w:w="1220" w:type="dxa"/>
            <w:vAlign w:val="bottom"/>
            <w:shd w:val="clear" w:color="auto" w:fill="D5DCE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8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20" w:type="dxa"/>
            <w:vAlign w:val="bottom"/>
            <w:shd w:val="clear" w:color="auto" w:fill="D5DCE4"/>
          </w:tcPr>
          <w:p>
            <w:pPr>
              <w:spacing w:after="0"/>
              <w:rPr>
                <w:sz w:val="21"/>
                <w:szCs w:val="21"/>
                <w:color w:val="auto"/>
              </w:rPr>
            </w:pPr>
          </w:p>
        </w:tc>
        <w:tc>
          <w:tcPr>
            <w:tcW w:w="100" w:type="dxa"/>
            <w:vAlign w:val="bottom"/>
            <w:tcBorders>
              <w:right w:val="single" w:sz="8" w:color="auto"/>
            </w:tcBorders>
            <w:shd w:val="clear" w:color="auto" w:fill="D5DCE4"/>
          </w:tcPr>
          <w:p>
            <w:pPr>
              <w:spacing w:after="0"/>
              <w:rPr>
                <w:sz w:val="21"/>
                <w:szCs w:val="21"/>
                <w:color w:val="auto"/>
              </w:rPr>
            </w:pPr>
          </w:p>
        </w:tc>
        <w:tc>
          <w:tcPr>
            <w:tcW w:w="1340" w:type="dxa"/>
            <w:vAlign w:val="bottom"/>
            <w:tcBorders>
              <w:right w:val="single" w:sz="8" w:color="auto"/>
            </w:tcBorders>
            <w:gridSpan w:val="2"/>
            <w:shd w:val="clear" w:color="auto" w:fill="D5DCE4"/>
          </w:tcPr>
          <w:p>
            <w:pPr>
              <w:ind w:left="80"/>
              <w:spacing w:after="0"/>
              <w:rPr>
                <w:sz w:val="20"/>
                <w:szCs w:val="20"/>
                <w:color w:val="auto"/>
              </w:rPr>
            </w:pPr>
            <w:r>
              <w:rPr>
                <w:rFonts w:ascii="Arial" w:cs="Arial" w:eastAsia="Arial" w:hAnsi="Arial"/>
                <w:sz w:val="16"/>
                <w:szCs w:val="16"/>
                <w:b w:val="1"/>
                <w:bCs w:val="1"/>
                <w:color w:val="auto"/>
              </w:rPr>
              <w:t>ADV (USD mm)</w:t>
            </w:r>
          </w:p>
        </w:tc>
        <w:tc>
          <w:tcPr>
            <w:tcW w:w="140" w:type="dxa"/>
            <w:vAlign w:val="bottom"/>
            <w:shd w:val="clear" w:color="auto" w:fill="D5DCE4"/>
          </w:tcPr>
          <w:p>
            <w:pPr>
              <w:spacing w:after="0"/>
              <w:rPr>
                <w:sz w:val="21"/>
                <w:szCs w:val="21"/>
                <w:color w:val="auto"/>
              </w:rPr>
            </w:pPr>
          </w:p>
        </w:tc>
        <w:tc>
          <w:tcPr>
            <w:tcW w:w="1380" w:type="dxa"/>
            <w:vAlign w:val="bottom"/>
            <w:tcBorders>
              <w:right w:val="single" w:sz="8" w:color="auto"/>
            </w:tcBorders>
            <w:gridSpan w:val="2"/>
            <w:shd w:val="clear" w:color="auto" w:fill="D5DCE4"/>
          </w:tcPr>
          <w:p>
            <w:pPr>
              <w:jc w:val="center"/>
              <w:ind w:right="240"/>
              <w:spacing w:after="0"/>
              <w:rPr>
                <w:sz w:val="20"/>
                <w:szCs w:val="20"/>
                <w:color w:val="auto"/>
              </w:rPr>
            </w:pPr>
            <w:r>
              <w:rPr>
                <w:rFonts w:ascii="Arial" w:cs="Arial" w:eastAsia="Arial" w:hAnsi="Arial"/>
                <w:sz w:val="16"/>
                <w:szCs w:val="16"/>
                <w:b w:val="1"/>
                <w:bCs w:val="1"/>
                <w:color w:val="auto"/>
              </w:rPr>
              <w:t>mm)</w:t>
            </w:r>
          </w:p>
        </w:tc>
        <w:tc>
          <w:tcPr>
            <w:tcW w:w="1340" w:type="dxa"/>
            <w:vAlign w:val="bottom"/>
            <w:tcBorders>
              <w:right w:val="single" w:sz="8" w:color="auto"/>
            </w:tcBorders>
            <w:gridSpan w:val="2"/>
            <w:shd w:val="clear" w:color="auto" w:fill="D5DCE4"/>
          </w:tcPr>
          <w:p>
            <w:pPr>
              <w:ind w:left="80"/>
              <w:spacing w:after="0"/>
              <w:rPr>
                <w:sz w:val="20"/>
                <w:szCs w:val="20"/>
                <w:color w:val="auto"/>
              </w:rPr>
            </w:pPr>
            <w:r>
              <w:rPr>
                <w:rFonts w:ascii="Arial" w:cs="Arial" w:eastAsia="Arial" w:hAnsi="Arial"/>
                <w:sz w:val="16"/>
                <w:szCs w:val="16"/>
                <w:b w:val="1"/>
                <w:bCs w:val="1"/>
                <w:color w:val="auto"/>
              </w:rPr>
              <w:t>ADV (USD mm)</w:t>
            </w:r>
          </w:p>
        </w:tc>
        <w:tc>
          <w:tcPr>
            <w:tcW w:w="160" w:type="dxa"/>
            <w:vAlign w:val="bottom"/>
            <w:shd w:val="clear" w:color="auto" w:fill="D5DCE4"/>
          </w:tcPr>
          <w:p>
            <w:pPr>
              <w:spacing w:after="0"/>
              <w:rPr>
                <w:sz w:val="21"/>
                <w:szCs w:val="21"/>
                <w:color w:val="auto"/>
              </w:rPr>
            </w:pPr>
          </w:p>
        </w:tc>
        <w:tc>
          <w:tcPr>
            <w:tcW w:w="1380" w:type="dxa"/>
            <w:vAlign w:val="bottom"/>
            <w:tcBorders>
              <w:right w:val="single" w:sz="8" w:color="auto"/>
            </w:tcBorders>
            <w:gridSpan w:val="2"/>
            <w:shd w:val="clear" w:color="auto" w:fill="D5DCE4"/>
          </w:tcPr>
          <w:p>
            <w:pPr>
              <w:jc w:val="center"/>
              <w:ind w:right="280"/>
              <w:spacing w:after="0"/>
              <w:rPr>
                <w:sz w:val="20"/>
                <w:szCs w:val="20"/>
                <w:color w:val="auto"/>
              </w:rPr>
            </w:pPr>
            <w:r>
              <w:rPr>
                <w:rFonts w:ascii="Arial" w:cs="Arial" w:eastAsia="Arial" w:hAnsi="Arial"/>
                <w:sz w:val="16"/>
                <w:szCs w:val="16"/>
                <w:b w:val="1"/>
                <w:bCs w:val="1"/>
                <w:color w:val="auto"/>
              </w:rPr>
              <w:t>mm)</w:t>
            </w:r>
          </w:p>
        </w:tc>
        <w:tc>
          <w:tcPr>
            <w:tcW w:w="1220" w:type="dxa"/>
            <w:vAlign w:val="bottom"/>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0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1,424,256</w:t>
            </w: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90,435,165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1,098,663</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70,556,565</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29.60 %</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40" w:right="20" w:hanging="414"/>
        <w:spacing w:after="0" w:line="284"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Total volume across Rates (Cash and Derivatives), Credit and Money Markets include Australia and New Zealand estimated volumes from the Yieldbroker business that Tradeweb acquired on August 31, 2023.</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BASIS OF PRESENTATION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99"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84"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43" w:lineRule="exact"/>
        <w:rPr>
          <w:sz w:val="20"/>
          <w:szCs w:val="20"/>
          <w:color w:val="auto"/>
        </w:rPr>
      </w:pPr>
    </w:p>
    <w:p>
      <w:pPr>
        <w:ind w:right="520"/>
        <w:spacing w:after="0" w:line="276" w:lineRule="auto"/>
        <w:rPr>
          <w:sz w:val="20"/>
          <w:szCs w:val="20"/>
          <w:color w:val="auto"/>
        </w:rPr>
      </w:pPr>
      <w:r>
        <w:rPr>
          <w:rFonts w:ascii="Arial" w:cs="Arial" w:eastAsia="Arial" w:hAnsi="Arial"/>
          <w:sz w:val="16"/>
          <w:szCs w:val="16"/>
          <w:color w:val="auto"/>
        </w:rPr>
        <w:t>The interim financial results presented herein for the three and nine months ended September 30, 2023 and 2022 are unaudited. Operating results for interim periods are not necessarily indicative of the results that may be expected for the full year.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43"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2023 guidance, future performance, the industry and markets in which we operate, our expectations, beliefs, plans, strategies, objectives, prospects and assumptions and future events are forward-looking statements.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7"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96"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4" w:name="page15"/>
    <w:bookmarkEnd w:id="14"/>
    <w:p>
      <w:pPr>
        <w:ind w:right="160"/>
        <w:spacing w:after="0" w:line="27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87"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p>
      <w:pPr>
        <w:sectPr>
          <w:pgSz w:w="11900" w:h="16838" w:orient="portrait"/>
          <w:cols w:equalWidth="0" w:num="1">
            <w:col w:w="11240"/>
          </w:cols>
          <w:pgMar w:left="320" w:top="993"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5771515</wp:posOffset>
            </wp:positionH>
            <wp:positionV relativeFrom="page">
              <wp:posOffset>88900</wp:posOffset>
            </wp:positionV>
            <wp:extent cx="156845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80060"/>
                    </a:xfrm>
                    <a:prstGeom prst="rect">
                      <a:avLst/>
                    </a:prstGeom>
                    <a:noFill/>
                  </pic:spPr>
                </pic:pic>
              </a:graphicData>
            </a:graphic>
          </wp:anchor>
        </w:drawing>
        <w:t>NEWS RELEASE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jc w:val="center"/>
        <w:ind w:right="-39"/>
        <w:spacing w:after="0" w:line="236" w:lineRule="auto"/>
        <w:rPr>
          <w:sz w:val="20"/>
          <w:szCs w:val="20"/>
          <w:color w:val="auto"/>
        </w:rPr>
      </w:pPr>
      <w:r>
        <w:rPr>
          <w:rFonts w:ascii="Arial" w:cs="Arial" w:eastAsia="Arial" w:hAnsi="Arial"/>
          <w:sz w:val="25"/>
          <w:szCs w:val="25"/>
          <w:b w:val="1"/>
          <w:bCs w:val="1"/>
          <w:color w:val="auto"/>
        </w:rPr>
        <w:t>Tradeweb Announces New Market Data Licensing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Agreement with LSEG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 YORK – October 26, 2023 – Tradeweb Markets Inc. (Nasdaq: TW), a leading, global operator of electronic marketplaces for rates,</w:t>
      </w:r>
    </w:p>
    <w:p>
      <w:pPr>
        <w:spacing w:after="0" w:line="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credit, equities and money markets, today announced it has signed a new market data licensing agreement with LSEG Data &amp; Analytics (Refinitiv*) to distribute Tradeweb market data through LSEG’s Enterprise Data Solutions and Workspace.</w:t>
      </w:r>
    </w:p>
    <w:p>
      <w:pPr>
        <w:spacing w:after="0" w:line="2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new, two-year agreement advances Tradeweb’s objective to provide high quality data that helps facilitate more efficient markets. The agreement provides Tradeweb with increased revenue and flexibility in growing its market data offering. LSEG will continue to offer access to a defined list of Tradeweb fixed income data sets, including cash and derivatives in credit, rates and money markets, some of which will be distributed by LSEG on an exclusive basis.</w:t>
      </w:r>
    </w:p>
    <w:p>
      <w:pPr>
        <w:spacing w:after="0" w:line="2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Enrico Bruni, Managing Director and member of the Tradeweb executive committee, commented: “This new licensing agreement builds upon Tradeweb’s longstanding relationship with LSEG, enabling us to easily collaborate on new use cases and providing greater flexibility to further our growth strategy in market data. With markets becoming more and more electronic, clients increasingly turn to our composite data for its transparency and to help improve execution.”</w:t>
      </w:r>
    </w:p>
    <w:p>
      <w:pPr>
        <w:spacing w:after="0" w:line="215"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Stuart Brown, Group Head of Enterprise Data Solutions, LSEG, commented: “We are thrilled to continue pairing the strengths of LSEG’s distribution, reach and technology along with Tradeweb’s growing suite of valuable market data for our customers. This new agreement signals the continuation of a longstanding, strategic relationship that helps deliver quality data across the front, middle and back office.”</w:t>
      </w:r>
    </w:p>
    <w:p>
      <w:pPr>
        <w:spacing w:after="0" w:line="193"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Effective November 1, 2023, this new licensing agreement replaces an existing agreement that was initiated in 2010 and most recently renewed in 2018. LSEG will continue to distribute Tradeweb data directly to its customers, including through its flagship financial platforms,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LSEG Workspace, Datascope, LSEG Pricing Service and Tick History. Tradeweb currently offers a robust and growing universe of data, including benchmark closing prices. Most recently, Tradeweb began providing clients with Tradeweb FTSE Euro Government Bond Closing Prices, following Tradeweb’s well-established UK Benchmark Regulation closing prices for UK Gilts. Some of the sets that both LSEG and Tradeweb will distribute on a non-exclusive basis include Emerging Market Interest Rates Swaps, European Convertibles, Bond Benchmark Closing Prices, AiPrice data sets, Tradeweb’s iNav Premium data, and MIFID non-delayed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*LSEG recently announced that the Refinitiv brand will be retired in the coming months.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r>
        <w:rPr>
          <w:rFonts w:ascii="Arial" w:cs="Arial" w:eastAsia="Arial" w:hAnsi="Arial"/>
          <w:sz w:val="18"/>
          <w:szCs w:val="18"/>
          <w:color w:val="auto"/>
        </w:rPr>
        <w:t> </w:t>
      </w:r>
    </w:p>
    <w:p>
      <w:pPr>
        <w:spacing w:after="0" w:line="1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w:t>
      </w:r>
    </w:p>
    <w:p>
      <w:pPr>
        <w:spacing w:after="0" w:line="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 xml:space="preserve">Tradeweb serves more than 2,500 clients in more than 65 countries. On average, Tradeweb facilitated more than $1.2 trillion in notional value traded per day over the past four quarters. For more information, please go to </w:t>
      </w:r>
      <w:r>
        <w:rPr>
          <w:rFonts w:ascii="Arial" w:cs="Arial" w:eastAsia="Arial" w:hAnsi="Arial"/>
          <w:sz w:val="18"/>
          <w:szCs w:val="18"/>
          <w:u w:val="single" w:color="auto"/>
          <w:color w:val="3051F2"/>
        </w:rPr>
        <w:t>www.tradeweb.com</w:t>
      </w:r>
      <w:r>
        <w:rPr>
          <w:rFonts w:ascii="Arial" w:cs="Arial" w:eastAsia="Arial" w:hAnsi="Arial"/>
          <w:sz w:val="18"/>
          <w:szCs w:val="18"/>
          <w:color w:val="auto"/>
        </w:rPr>
        <w:t>.</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00"/>
          </w:cols>
          <w:pgMar w:left="320" w:top="1403"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5771515</wp:posOffset>
            </wp:positionH>
            <wp:positionV relativeFrom="page">
              <wp:posOffset>88900</wp:posOffset>
            </wp:positionV>
            <wp:extent cx="1568450"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80060"/>
                    </a:xfrm>
                    <a:prstGeom prst="rect">
                      <a:avLst/>
                    </a:prstGeom>
                    <a:noFill/>
                  </pic:spPr>
                </pic:pic>
              </a:graphicData>
            </a:graphic>
          </wp:anchor>
        </w:drawing>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Daniel Noonan, Tradeweb</w:t>
      </w:r>
    </w:p>
    <w:p>
      <w:pPr>
        <w:spacing w:after="0" w:line="234" w:lineRule="auto"/>
        <w:rPr>
          <w:sz w:val="20"/>
          <w:szCs w:val="20"/>
          <w:color w:val="auto"/>
        </w:rPr>
      </w:pPr>
      <w:r>
        <w:rPr>
          <w:rFonts w:ascii="Arial" w:cs="Arial" w:eastAsia="Arial" w:hAnsi="Arial"/>
          <w:sz w:val="18"/>
          <w:szCs w:val="18"/>
          <w:color w:val="auto"/>
        </w:rPr>
        <w:t>+1 646 767 4677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00FF"/>
        </w:rPr>
        <w:t>Daniel.Noonan@Tradeweb.com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Ashley Serrao, Tradeweb</w:t>
      </w:r>
    </w:p>
    <w:p>
      <w:pPr>
        <w:spacing w:after="0" w:line="219" w:lineRule="auto"/>
        <w:rPr>
          <w:sz w:val="20"/>
          <w:szCs w:val="20"/>
          <w:color w:val="auto"/>
        </w:rPr>
      </w:pPr>
      <w:r>
        <w:rPr>
          <w:rFonts w:ascii="Arial" w:cs="Arial" w:eastAsia="Arial" w:hAnsi="Arial"/>
          <w:sz w:val="18"/>
          <w:szCs w:val="18"/>
          <w:color w:val="auto"/>
        </w:rPr>
        <w:t>+1 646 430 6027</w:t>
      </w:r>
    </w:p>
    <w:p>
      <w:pPr>
        <w:spacing w:after="0"/>
        <w:rPr>
          <w:sz w:val="20"/>
          <w:szCs w:val="20"/>
          <w:color w:val="auto"/>
        </w:rPr>
      </w:pPr>
      <w:r>
        <w:rPr>
          <w:rFonts w:ascii="Arial" w:cs="Arial" w:eastAsia="Arial" w:hAnsi="Arial"/>
          <w:sz w:val="18"/>
          <w:szCs w:val="18"/>
          <w:color w:val="0000FF"/>
        </w:rPr>
        <w:t>Ashley.Serrao@Tradeweb.com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Sameer Murukutla, Tradeweb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+1 646 767 4864</w:t>
      </w:r>
    </w:p>
    <w:p>
      <w:pPr>
        <w:spacing w:after="0"/>
        <w:rPr>
          <w:sz w:val="20"/>
          <w:szCs w:val="20"/>
          <w:color w:val="auto"/>
        </w:rPr>
      </w:pPr>
      <w:r>
        <w:rPr>
          <w:rFonts w:ascii="Arial" w:cs="Arial" w:eastAsia="Arial" w:hAnsi="Arial"/>
          <w:sz w:val="18"/>
          <w:szCs w:val="18"/>
          <w:color w:val="0000FF"/>
        </w:rPr>
        <w:t>Sameer.Murukutla@Tradeweb.com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w:t>
      </w:r>
    </w:p>
    <w:p>
      <w:pPr>
        <w:spacing w:after="0" w:line="18"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   </w:t>
      </w:r>
    </w:p>
    <w:p>
      <w:pPr>
        <w:spacing w:after="0" w:line="189"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w:t>
      </w:r>
    </w:p>
    <w:p>
      <w:pPr>
        <w:spacing w:after="0" w:line="2" w:lineRule="exact"/>
        <w:rPr>
          <w:sz w:val="20"/>
          <w:szCs w:val="20"/>
          <w:color w:val="auto"/>
        </w:rPr>
      </w:pPr>
    </w:p>
    <w:p>
      <w:pPr>
        <w:jc w:val="both"/>
        <w:ind w:right="180"/>
        <w:spacing w:after="0" w:line="226" w:lineRule="auto"/>
        <w:rPr>
          <w:sz w:val="20"/>
          <w:szCs w:val="20"/>
          <w:color w:val="auto"/>
        </w:rPr>
      </w:pPr>
      <w:r>
        <w:rPr>
          <w:rFonts w:ascii="Arial" w:cs="Arial" w:eastAsia="Arial" w:hAnsi="Arial"/>
          <w:sz w:val="18"/>
          <w:szCs w:val="18"/>
          <w:color w:val="auto"/>
        </w:rPr>
        <w:t>those discussed under the heading “Risk Factors” in documents of Tradeweb Markets Inc. on file with or furnished to the SEC, may cause our actual results, performance or achievements to differ materially from those expressed or implied by these forward-looking statements.</w:t>
      </w:r>
    </w:p>
    <w:p>
      <w:pPr>
        <w:spacing w:after="0" w:line="236"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w:t>
      </w:r>
    </w:p>
    <w:p>
      <w:pPr>
        <w:spacing w:after="0" w:line="235" w:lineRule="auto"/>
        <w:rPr>
          <w:sz w:val="20"/>
          <w:szCs w:val="20"/>
          <w:color w:val="auto"/>
        </w:rPr>
      </w:pPr>
      <w:r>
        <w:rPr>
          <w:rFonts w:ascii="Arial" w:cs="Arial" w:eastAsia="Arial" w:hAnsi="Arial"/>
          <w:sz w:val="18"/>
          <w:szCs w:val="18"/>
          <w:color w:val="auto"/>
        </w:rPr>
        <w:t>statements contained in this release are not guarantees of future performance and our actual results of operations, financial condition or</w:t>
      </w:r>
    </w:p>
    <w:p>
      <w:pPr>
        <w:spacing w:after="0" w:line="235" w:lineRule="auto"/>
        <w:rPr>
          <w:sz w:val="20"/>
          <w:szCs w:val="20"/>
          <w:color w:val="auto"/>
        </w:rPr>
      </w:pPr>
      <w:r>
        <w:rPr>
          <w:rFonts w:ascii="Arial" w:cs="Arial" w:eastAsia="Arial" w:hAnsi="Arial"/>
          <w:sz w:val="18"/>
          <w:szCs w:val="18"/>
          <w:color w:val="auto"/>
        </w:rPr>
        <w:t>liquidity, and the development of the industry and markets in which we operate, may differ materially from the forward-looking statements</w:t>
      </w:r>
    </w:p>
    <w:p>
      <w:pPr>
        <w:spacing w:after="0" w:line="235" w:lineRule="auto"/>
        <w:rPr>
          <w:sz w:val="20"/>
          <w:szCs w:val="20"/>
          <w:color w:val="auto"/>
        </w:rPr>
      </w:pPr>
      <w:r>
        <w:rPr>
          <w:rFonts w:ascii="Arial" w:cs="Arial" w:eastAsia="Arial" w:hAnsi="Arial"/>
          <w:sz w:val="18"/>
          <w:szCs w:val="18"/>
          <w:color w:val="auto"/>
        </w:rPr>
        <w:t>contained in this release. In addition, even if our results of operations, financial condition or liquidity, and events in the industry and markets</w:t>
      </w:r>
    </w:p>
    <w:p>
      <w:pPr>
        <w:spacing w:after="0" w:line="234" w:lineRule="auto"/>
        <w:rPr>
          <w:sz w:val="20"/>
          <w:szCs w:val="20"/>
          <w:color w:val="auto"/>
        </w:rPr>
      </w:pPr>
      <w:r>
        <w:rPr>
          <w:rFonts w:ascii="Arial" w:cs="Arial" w:eastAsia="Arial" w:hAnsi="Arial"/>
          <w:sz w:val="18"/>
          <w:szCs w:val="18"/>
          <w:color w:val="auto"/>
        </w:rPr>
        <w:t>in which we operate, are consistent with the forward-looking statements contained in this release, they may not be predictive of results or</w:t>
      </w:r>
    </w:p>
    <w:p>
      <w:pPr>
        <w:spacing w:after="0" w:line="235" w:lineRule="auto"/>
        <w:rPr>
          <w:sz w:val="20"/>
          <w:szCs w:val="20"/>
          <w:color w:val="auto"/>
        </w:rPr>
      </w:pPr>
      <w:r>
        <w:rPr>
          <w:rFonts w:ascii="Arial" w:cs="Arial" w:eastAsia="Arial" w:hAnsi="Arial"/>
          <w:sz w:val="18"/>
          <w:szCs w:val="18"/>
          <w:color w:val="auto"/>
        </w:rPr>
        <w:t>developments in future periods. </w:t>
      </w:r>
    </w:p>
    <w:p>
      <w:pPr>
        <w:spacing w:after="0" w:line="235" w:lineRule="auto"/>
        <w:rPr>
          <w:sz w:val="20"/>
          <w:szCs w:val="20"/>
          <w:color w:val="auto"/>
        </w:rPr>
      </w:pPr>
      <w:r>
        <w:rPr>
          <w:rFonts w:ascii="Arial" w:cs="Arial" w:eastAsia="Arial" w:hAnsi="Arial"/>
          <w:sz w:val="18"/>
          <w:szCs w:val="18"/>
          <w:color w:val="auto"/>
        </w:rPr>
        <w:t> </w:t>
      </w:r>
    </w:p>
    <w:p>
      <w:pPr>
        <w:ind w:right="80"/>
        <w:spacing w:after="0"/>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sectPr>
      <w:pgSz w:w="11900" w:h="16838" w:orient="portrait"/>
      <w:cols w:equalWidth="0" w:num="1">
        <w:col w:w="11140"/>
      </w:cols>
      <w:pgMar w:left="320" w:top="13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jpeg"/><Relationship Id="rId13" Type="http://schemas.openxmlformats.org/officeDocument/2006/relationships/hyperlink" Target="https://www.sec.gov/ix?doc=/Archives/edgar/data/1758730/000119312523077849/d421214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2023-10-26T08:36:54Z</dcterms:created>
  <dcterms:modified xsi:type="dcterms:W3CDTF">2023-10-26T08:36:54Z</dcterms:modified>
</cp:coreProperties>
</file>