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950879.xml.htm"/>
      <w:bookmarkStart w:id="1" w:name="kswkform4_17739508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Friedman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09"/>
        <w:gridCol w:w="459"/>
        <w:gridCol w:w="839"/>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16,731</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16,732</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1,990 unvested RSUs in respect of Class A Common Stock that are scheduled to vest on March 15, 2027, (ii) 2,421 unvested RSUs in respect of Class A Common Stock that are scheduled to vest in equal installments on March 17, 2027 and March 17, 2028 and (iii) 6,510 unvested RSUs in respect of Class A Common Stock that are scheduled to vest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193"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4025</Characters>
  <CharactersWithSpaces>4720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