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200" w:right="1720" w:hanging="4174"/>
        <w:spacing w:after="0" w:line="399"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7"/>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0"/>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39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50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color w:val="auto"/>
              </w:rPr>
              <w:t>Shares Outstanding as of April 21, 2022</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107,565,764</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1,654,825</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28,320,533</w:t>
            </w:r>
          </w:p>
        </w:tc>
      </w:tr>
      <w:tr>
        <w:trPr>
          <w:trHeight w:val="174"/>
        </w:trPr>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1940" w:type="dxa"/>
            <w:vAlign w:val="bottom"/>
            <w:tcBorders>
              <w:bottom w:val="single" w:sz="8" w:color="3051F2"/>
            </w:tcBorders>
            <w:gridSpan w:val="9"/>
          </w:tcPr>
          <w:p>
            <w:pPr>
              <w:spacing w:after="0" w:line="189" w:lineRule="exact"/>
              <w:rPr>
                <w:rFonts w:ascii="Arial" w:cs="Arial" w:eastAsia="Arial" w:hAnsi="Arial"/>
                <w:sz w:val="18"/>
                <w:szCs w:val="18"/>
                <w:color w:val="3051F2"/>
                <w:w w:val="95"/>
              </w:rPr>
            </w:pPr>
            <w:hyperlink w:anchor="page2">
              <w:r>
                <w:rPr>
                  <w:rFonts w:ascii="Arial" w:cs="Arial" w:eastAsia="Arial" w:hAnsi="Arial"/>
                  <w:sz w:val="18"/>
                  <w:szCs w:val="18"/>
                  <w:color w:val="3051F2"/>
                  <w:w w:val="95"/>
                </w:rPr>
                <w:t>INTRODUCTORY NOTE</w:t>
              </w:r>
            </w:hyperlink>
          </w:p>
        </w:tc>
        <w:tc>
          <w:tcPr>
            <w:tcW w:w="8300" w:type="dxa"/>
            <w:vAlign w:val="bottom"/>
            <w:gridSpan w:val="19"/>
          </w:tcPr>
          <w:p>
            <w:pPr>
              <w:spacing w:after="0"/>
              <w:rPr>
                <w:sz w:val="16"/>
                <w:szCs w:val="16"/>
                <w:color w:val="auto"/>
              </w:rPr>
            </w:pPr>
          </w:p>
        </w:tc>
        <w:tc>
          <w:tcPr>
            <w:tcW w:w="980" w:type="dxa"/>
            <w:vAlign w:val="bottom"/>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1"/>
        </w:trPr>
        <w:tc>
          <w:tcPr>
            <w:tcW w:w="20" w:type="dxa"/>
            <w:vAlign w:val="bottom"/>
          </w:tcPr>
          <w:p>
            <w:pPr>
              <w:spacing w:after="0"/>
              <w:rPr>
                <w:sz w:val="24"/>
                <w:szCs w:val="24"/>
                <w:color w:val="auto"/>
              </w:rPr>
            </w:pPr>
          </w:p>
        </w:tc>
        <w:tc>
          <w:tcPr>
            <w:tcW w:w="10240" w:type="dxa"/>
            <w:vAlign w:val="bottom"/>
            <w:gridSpan w:val="28"/>
          </w:tcPr>
          <w:p>
            <w:pPr>
              <w:spacing w:after="0"/>
              <w:rPr>
                <w:rFonts w:ascii="Arial" w:cs="Arial" w:eastAsia="Arial" w:hAnsi="Arial"/>
                <w:sz w:val="18"/>
                <w:szCs w:val="18"/>
                <w:color w:val="3051F2"/>
              </w:rPr>
            </w:pPr>
            <w:hyperlink w:anchor="page4">
              <w:r>
                <w:rPr>
                  <w:rFonts w:ascii="Arial" w:cs="Arial" w:eastAsia="Arial" w:hAnsi="Arial"/>
                  <w:sz w:val="18"/>
                  <w:szCs w:val="18"/>
                  <w:color w:val="3051F2"/>
                </w:rPr>
                <w:t>USE OF NON-GAAP FINANCIAL MEASURES</w:t>
              </w:r>
            </w:hyperlink>
          </w:p>
        </w:tc>
        <w:tc>
          <w:tcPr>
            <w:tcW w:w="9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8"/>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CAUTIONARY NOTE REGARDING FORWARD-LOOKING STATEMENTS</w:t>
              </w:r>
            </w:hyperlink>
          </w:p>
        </w:tc>
        <w:tc>
          <w:tcPr>
            <w:tcW w:w="9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rFonts w:ascii="Arial" w:cs="Arial" w:eastAsia="Arial" w:hAnsi="Arial"/>
                <w:sz w:val="18"/>
                <w:szCs w:val="18"/>
                <w:color w:val="3051F2"/>
              </w:rPr>
            </w:pPr>
            <w:hyperlink w:anchor="page7">
              <w:r>
                <w:rPr>
                  <w:rFonts w:ascii="Arial" w:cs="Arial" w:eastAsia="Arial" w:hAnsi="Arial"/>
                  <w:sz w:val="18"/>
                  <w:szCs w:val="18"/>
                  <w:color w:val="3051F2"/>
                </w:rPr>
                <w:t>PART I — FINANCIAL INFORMATION</w:t>
              </w:r>
            </w:hyperlink>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rFonts w:ascii="Arial" w:cs="Arial" w:eastAsia="Arial" w:hAnsi="Arial"/>
                <w:sz w:val="18"/>
                <w:szCs w:val="18"/>
                <w:color w:val="3051F2"/>
                <w:w w:val="90"/>
              </w:rPr>
            </w:pPr>
            <w:hyperlink w:anchor="page8">
              <w:r>
                <w:rPr>
                  <w:rFonts w:ascii="Arial" w:cs="Arial" w:eastAsia="Arial" w:hAnsi="Arial"/>
                  <w:sz w:val="18"/>
                  <w:szCs w:val="18"/>
                  <w:color w:val="3051F2"/>
                  <w:w w:val="90"/>
                </w:rPr>
                <w:t>Item 1.</w:t>
              </w:r>
            </w:hyperlink>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1"/>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Financial Statements</w:t>
              </w:r>
            </w:hyperlink>
          </w:p>
        </w:tc>
        <w:tc>
          <w:tcPr>
            <w:tcW w:w="7180" w:type="dxa"/>
            <w:vAlign w:val="bottom"/>
            <w:gridSpan w:val="13"/>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 xml:space="preserve">Condensed Consolidated Statements of Financial Condition as of </w:t>
              </w:r>
            </w:hyperlink>
            <w:r>
              <w:rPr>
                <w:rFonts w:ascii="Arial" w:cs="Arial" w:eastAsia="Arial" w:hAnsi="Arial"/>
                <w:sz w:val="18"/>
                <w:szCs w:val="18"/>
                <w:color w:val="3051F2"/>
              </w:rPr>
              <w:t>March 31, 2022 and December 31, 2021</w:t>
            </w:r>
          </w:p>
        </w:tc>
        <w:tc>
          <w:tcPr>
            <w:tcW w:w="9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top w:val="single" w:sz="8" w:color="3051F2"/>
            </w:tcBorders>
            <w:gridSpan w:val="20"/>
          </w:tcPr>
          <w:p>
            <w:pPr>
              <w:spacing w:after="0"/>
              <w:rPr>
                <w:rFonts w:ascii="Arial" w:cs="Arial" w:eastAsia="Arial" w:hAnsi="Arial"/>
                <w:sz w:val="18"/>
                <w:szCs w:val="18"/>
                <w:color w:val="3051F2"/>
                <w:w w:val="93"/>
              </w:rPr>
            </w:pPr>
            <w:hyperlink w:anchor="page8">
              <w:r>
                <w:rPr>
                  <w:rFonts w:ascii="Arial" w:cs="Arial" w:eastAsia="Arial" w:hAnsi="Arial"/>
                  <w:sz w:val="18"/>
                  <w:szCs w:val="18"/>
                  <w:color w:val="3051F2"/>
                  <w:w w:val="93"/>
                </w:rPr>
                <w:t xml:space="preserve">Condensed Consolidated Statements of Income for the </w:t>
              </w:r>
            </w:hyperlink>
            <w:r>
              <w:rPr>
                <w:rFonts w:ascii="Arial" w:cs="Arial" w:eastAsia="Arial" w:hAnsi="Arial"/>
                <w:sz w:val="18"/>
                <w:szCs w:val="18"/>
                <w:color w:val="3051F2"/>
                <w:w w:val="93"/>
              </w:rPr>
              <w:t xml:space="preserve">three months ended March 31, 2022 </w:t>
            </w:r>
            <w:hyperlink w:anchor="page8">
              <w:r>
                <w:rPr>
                  <w:rFonts w:ascii="Arial" w:cs="Arial" w:eastAsia="Arial" w:hAnsi="Arial"/>
                  <w:sz w:val="18"/>
                  <w:szCs w:val="18"/>
                  <w:color w:val="3051F2"/>
                  <w:w w:val="93"/>
                </w:rPr>
                <w:t xml:space="preserve">and </w:t>
              </w:r>
            </w:hyperlink>
            <w:r>
              <w:rPr>
                <w:rFonts w:ascii="Arial" w:cs="Arial" w:eastAsia="Arial" w:hAnsi="Arial"/>
                <w:sz w:val="18"/>
                <w:szCs w:val="18"/>
                <w:color w:val="3051F2"/>
                <w:w w:val="93"/>
              </w:rPr>
              <w:t>2021</w:t>
            </w:r>
          </w:p>
        </w:tc>
        <w:tc>
          <w:tcPr>
            <w:tcW w:w="1420" w:type="dxa"/>
            <w:vAlign w:val="bottom"/>
            <w:gridSpan w:val="3"/>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3051F2"/>
            </w:tcBorders>
            <w:gridSpan w:val="22"/>
          </w:tcPr>
          <w:p>
            <w:pPr>
              <w:spacing w:after="0"/>
              <w:rPr>
                <w:rFonts w:ascii="Arial" w:cs="Arial" w:eastAsia="Arial" w:hAnsi="Arial"/>
                <w:sz w:val="18"/>
                <w:szCs w:val="18"/>
                <w:color w:val="3051F2"/>
                <w:w w:val="89"/>
              </w:rPr>
            </w:pPr>
            <w:hyperlink w:anchor="page9">
              <w:r>
                <w:rPr>
                  <w:rFonts w:ascii="Arial" w:cs="Arial" w:eastAsia="Arial" w:hAnsi="Arial"/>
                  <w:sz w:val="18"/>
                  <w:szCs w:val="18"/>
                  <w:color w:val="3051F2"/>
                  <w:w w:val="89"/>
                </w:rPr>
                <w:t xml:space="preserve">Condensed Consolidated Statements of Comprehensive Income for the </w:t>
              </w:r>
            </w:hyperlink>
            <w:r>
              <w:rPr>
                <w:rFonts w:ascii="Arial" w:cs="Arial" w:eastAsia="Arial" w:hAnsi="Arial"/>
                <w:sz w:val="18"/>
                <w:szCs w:val="18"/>
                <w:color w:val="3051F2"/>
                <w:w w:val="89"/>
              </w:rPr>
              <w:t>three months ended March 31, 2022 and 2021</w:t>
            </w:r>
          </w:p>
        </w:tc>
        <w:tc>
          <w:tcPr>
            <w:tcW w:w="60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Borders>
              <w:bottom w:val="single" w:sz="8" w:color="3051F2"/>
            </w:tcBorders>
            <w:gridSpan w:val="21"/>
          </w:tcPr>
          <w:p>
            <w:pPr>
              <w:spacing w:after="0"/>
              <w:rPr>
                <w:rFonts w:ascii="Arial" w:cs="Arial" w:eastAsia="Arial" w:hAnsi="Arial"/>
                <w:sz w:val="18"/>
                <w:szCs w:val="18"/>
                <w:color w:val="3051F2"/>
                <w:w w:val="89"/>
              </w:rPr>
            </w:pPr>
            <w:hyperlink w:anchor="page10">
              <w:r>
                <w:rPr>
                  <w:rFonts w:ascii="Arial" w:cs="Arial" w:eastAsia="Arial" w:hAnsi="Arial"/>
                  <w:sz w:val="18"/>
                  <w:szCs w:val="18"/>
                  <w:color w:val="3051F2"/>
                  <w:w w:val="89"/>
                </w:rPr>
                <w:t xml:space="preserve">Condensed Consolidated Statements of Changes in Equity for the </w:t>
              </w:r>
            </w:hyperlink>
            <w:r>
              <w:rPr>
                <w:rFonts w:ascii="Arial" w:cs="Arial" w:eastAsia="Arial" w:hAnsi="Arial"/>
                <w:sz w:val="18"/>
                <w:szCs w:val="18"/>
                <w:color w:val="3051F2"/>
                <w:w w:val="89"/>
              </w:rPr>
              <w:t>three months ended March 31, 2022 and 2021</w:t>
            </w:r>
          </w:p>
        </w:tc>
        <w:tc>
          <w:tcPr>
            <w:tcW w:w="980" w:type="dxa"/>
            <w:vAlign w:val="bottom"/>
            <w:gridSpan w:val="2"/>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rFonts w:ascii="Arial" w:cs="Arial" w:eastAsia="Arial" w:hAnsi="Arial"/>
                <w:sz w:val="18"/>
                <w:szCs w:val="18"/>
                <w:color w:val="3051F2"/>
              </w:rPr>
            </w:pPr>
            <w:hyperlink w:anchor="page12">
              <w:r>
                <w:rPr>
                  <w:rFonts w:ascii="Arial" w:cs="Arial" w:eastAsia="Arial" w:hAnsi="Arial"/>
                  <w:sz w:val="18"/>
                  <w:szCs w:val="18"/>
                  <w:color w:val="3051F2"/>
                </w:rPr>
                <w:t xml:space="preserve">Condensed Consolidated Statements of Cash Flows for the </w:t>
              </w:r>
            </w:hyperlink>
            <w:r>
              <w:rPr>
                <w:rFonts w:ascii="Arial" w:cs="Arial" w:eastAsia="Arial" w:hAnsi="Arial"/>
                <w:sz w:val="18"/>
                <w:szCs w:val="18"/>
                <w:color w:val="3051F2"/>
              </w:rPr>
              <w:t>three months ended March 31, 2022 and 2021</w:t>
            </w:r>
          </w:p>
        </w:tc>
        <w:tc>
          <w:tcPr>
            <w:tcW w:w="98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3"/>
          </w:tcPr>
          <w:p>
            <w:pPr>
              <w:spacing w:after="0"/>
              <w:rPr>
                <w:rFonts w:ascii="Arial" w:cs="Arial" w:eastAsia="Arial" w:hAnsi="Arial"/>
                <w:sz w:val="18"/>
                <w:szCs w:val="18"/>
                <w:color w:val="3051F2"/>
                <w:w w:val="88"/>
              </w:rPr>
            </w:pPr>
            <w:hyperlink w:anchor="page13">
              <w:r>
                <w:rPr>
                  <w:rFonts w:ascii="Arial" w:cs="Arial" w:eastAsia="Arial" w:hAnsi="Arial"/>
                  <w:sz w:val="18"/>
                  <w:szCs w:val="18"/>
                  <w:color w:val="3051F2"/>
                  <w:w w:val="88"/>
                </w:rPr>
                <w:t>Notes to Condensed Consolidated Financial Statements</w:t>
              </w:r>
            </w:hyperlink>
          </w:p>
        </w:tc>
        <w:tc>
          <w:tcPr>
            <w:tcW w:w="3580" w:type="dxa"/>
            <w:vAlign w:val="bottom"/>
            <w:tcBorders>
              <w:top w:val="single" w:sz="8" w:color="3051F2"/>
            </w:tcBorders>
            <w:gridSpan w:val="6"/>
          </w:tcPr>
          <w:p>
            <w:pPr>
              <w:spacing w:after="0"/>
              <w:rPr>
                <w:sz w:val="24"/>
                <w:szCs w:val="24"/>
                <w:color w:val="auto"/>
              </w:rPr>
            </w:pPr>
          </w:p>
        </w:tc>
        <w:tc>
          <w:tcPr>
            <w:tcW w:w="1480" w:type="dxa"/>
            <w:vAlign w:val="bottom"/>
            <w:gridSpan w:val="4"/>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36">
              <w:r>
                <w:rPr>
                  <w:rFonts w:ascii="Arial" w:cs="Arial" w:eastAsia="Arial" w:hAnsi="Arial"/>
                  <w:sz w:val="18"/>
                  <w:szCs w:val="18"/>
                  <w:color w:val="3051F2"/>
                  <w:w w:val="90"/>
                </w:rPr>
                <w:t>Item 2.</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60">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5"/>
          </w:tcPr>
          <w:p>
            <w:pPr>
              <w:spacing w:after="0"/>
              <w:rPr>
                <w:rFonts w:ascii="Arial" w:cs="Arial" w:eastAsia="Arial" w:hAnsi="Arial"/>
                <w:sz w:val="18"/>
                <w:szCs w:val="18"/>
                <w:color w:val="3051F2"/>
                <w:w w:val="91"/>
              </w:rPr>
            </w:pPr>
            <w:hyperlink w:anchor="page60">
              <w:r>
                <w:rPr>
                  <w:rFonts w:ascii="Arial" w:cs="Arial" w:eastAsia="Arial" w:hAnsi="Arial"/>
                  <w:sz w:val="18"/>
                  <w:szCs w:val="18"/>
                  <w:color w:val="3051F2"/>
                  <w:w w:val="91"/>
                </w:rPr>
                <w:t>Quantitative and Qualitative Disclosures about Market Risk</w:t>
              </w:r>
            </w:hyperlink>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2">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rFonts w:ascii="Arial" w:cs="Arial" w:eastAsia="Arial" w:hAnsi="Arial"/>
                <w:sz w:val="18"/>
                <w:szCs w:val="18"/>
                <w:color w:val="3051F2"/>
                <w:w w:val="88"/>
              </w:rPr>
            </w:pPr>
            <w:hyperlink w:anchor="page62">
              <w:r>
                <w:rPr>
                  <w:rFonts w:ascii="Arial" w:cs="Arial" w:eastAsia="Arial" w:hAnsi="Arial"/>
                  <w:sz w:val="18"/>
                  <w:szCs w:val="18"/>
                  <w:color w:val="3051F2"/>
                  <w:w w:val="88"/>
                </w:rPr>
                <w:t>Controls and Procedures</w:t>
              </w:r>
            </w:hyperlink>
          </w:p>
        </w:tc>
        <w:tc>
          <w:tcPr>
            <w:tcW w:w="7500" w:type="dxa"/>
            <w:vAlign w:val="bottom"/>
            <w:gridSpan w:val="15"/>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rFonts w:ascii="Arial" w:cs="Arial" w:eastAsia="Arial" w:hAnsi="Arial"/>
                <w:sz w:val="18"/>
                <w:szCs w:val="18"/>
                <w:color w:val="3051F2"/>
                <w:w w:val="96"/>
              </w:rPr>
            </w:pPr>
            <w:hyperlink w:anchor="page62">
              <w:r>
                <w:rPr>
                  <w:rFonts w:ascii="Arial" w:cs="Arial" w:eastAsia="Arial" w:hAnsi="Arial"/>
                  <w:sz w:val="18"/>
                  <w:szCs w:val="18"/>
                  <w:color w:val="3051F2"/>
                  <w:w w:val="96"/>
                </w:rPr>
                <w:t>PART II — OTHER INFORMATION</w:t>
              </w:r>
            </w:hyperlink>
          </w:p>
        </w:tc>
        <w:tc>
          <w:tcPr>
            <w:tcW w:w="7480" w:type="dxa"/>
            <w:vAlign w:val="bottom"/>
            <w:gridSpan w:val="14"/>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3">
              <w:r>
                <w:rPr>
                  <w:rFonts w:ascii="Arial" w:cs="Arial" w:eastAsia="Arial" w:hAnsi="Arial"/>
                  <w:sz w:val="18"/>
                  <w:szCs w:val="18"/>
                  <w:color w:val="3051F2"/>
                  <w:w w:val="90"/>
                </w:rPr>
                <w:t>Item 1.</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rFonts w:ascii="Arial" w:cs="Arial" w:eastAsia="Arial" w:hAnsi="Arial"/>
                <w:sz w:val="18"/>
                <w:szCs w:val="18"/>
                <w:color w:val="3051F2"/>
                <w:w w:val="88"/>
              </w:rPr>
            </w:pPr>
            <w:hyperlink w:anchor="page63">
              <w:r>
                <w:rPr>
                  <w:rFonts w:ascii="Arial" w:cs="Arial" w:eastAsia="Arial" w:hAnsi="Arial"/>
                  <w:sz w:val="18"/>
                  <w:szCs w:val="18"/>
                  <w:color w:val="3051F2"/>
                  <w:w w:val="88"/>
                </w:rPr>
                <w:t>Legal Proceedings</w:t>
              </w:r>
            </w:hyperlink>
          </w:p>
        </w:tc>
        <w:tc>
          <w:tcPr>
            <w:tcW w:w="7940" w:type="dxa"/>
            <w:vAlign w:val="bottom"/>
            <w:gridSpan w:val="17"/>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372"/>
        </w:trPr>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3051F2"/>
              </w:rPr>
            </w:pPr>
            <w:hyperlink w:anchor="page63">
              <w:r>
                <w:rPr>
                  <w:rFonts w:ascii="Arial" w:cs="Arial" w:eastAsia="Arial" w:hAnsi="Arial"/>
                  <w:sz w:val="18"/>
                  <w:szCs w:val="18"/>
                  <w:color w:val="3051F2"/>
                </w:rPr>
                <w:t>Item 1A.</w:t>
              </w:r>
            </w:hyperlink>
          </w:p>
        </w:tc>
        <w:tc>
          <w:tcPr>
            <w:tcW w:w="9440" w:type="dxa"/>
            <w:vAlign w:val="bottom"/>
            <w:gridSpan w:val="25"/>
          </w:tcPr>
          <w:p>
            <w:pPr>
              <w:ind w:left="160"/>
              <w:spacing w:after="0"/>
              <w:rPr>
                <w:rFonts w:ascii="Arial" w:cs="Arial" w:eastAsia="Arial" w:hAnsi="Arial"/>
                <w:sz w:val="18"/>
                <w:szCs w:val="18"/>
                <w:color w:val="3051F2"/>
              </w:rPr>
            </w:pPr>
            <w:hyperlink w:anchor="page63">
              <w:r>
                <w:rPr>
                  <w:rFonts w:ascii="Arial" w:cs="Arial" w:eastAsia="Arial" w:hAnsi="Arial"/>
                  <w:sz w:val="18"/>
                  <w:szCs w:val="18"/>
                  <w:color w:val="3051F2"/>
                </w:rPr>
                <w:t>Risk Factors</w:t>
              </w:r>
            </w:hyperlink>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rFonts w:ascii="Arial" w:cs="Arial" w:eastAsia="Arial" w:hAnsi="Arial"/>
                <w:sz w:val="18"/>
                <w:szCs w:val="18"/>
                <w:color w:val="3051F2"/>
              </w:rPr>
            </w:pPr>
            <w:hyperlink w:anchor="page63">
              <w:r>
                <w:rPr>
                  <w:rFonts w:ascii="Arial" w:cs="Arial" w:eastAsia="Arial" w:hAnsi="Arial"/>
                  <w:sz w:val="18"/>
                  <w:szCs w:val="18"/>
                  <w:color w:val="3051F2"/>
                </w:rPr>
                <w:t>Item 2.</w:t>
              </w:r>
            </w:hyperlink>
          </w:p>
        </w:tc>
        <w:tc>
          <w:tcPr>
            <w:tcW w:w="160" w:type="dxa"/>
            <w:vAlign w:val="bottom"/>
            <w:tcBorders>
              <w:bottom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rFonts w:ascii="Arial" w:cs="Arial" w:eastAsia="Arial" w:hAnsi="Arial"/>
                <w:sz w:val="18"/>
                <w:szCs w:val="18"/>
                <w:color w:val="3051F2"/>
                <w:w w:val="89"/>
              </w:rPr>
            </w:pPr>
            <w:hyperlink w:anchor="page63">
              <w:r>
                <w:rPr>
                  <w:rFonts w:ascii="Arial" w:cs="Arial" w:eastAsia="Arial" w:hAnsi="Arial"/>
                  <w:sz w:val="18"/>
                  <w:szCs w:val="18"/>
                  <w:color w:val="3051F2"/>
                  <w:w w:val="89"/>
                </w:rPr>
                <w:t>Unregistered Sales of Equity Securities and Use of Proceeds</w:t>
              </w:r>
            </w:hyperlink>
          </w:p>
        </w:tc>
        <w:tc>
          <w:tcPr>
            <w:tcW w:w="4920" w:type="dxa"/>
            <w:vAlign w:val="bottom"/>
            <w:gridSpan w:val="8"/>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63">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8"/>
                <w:szCs w:val="18"/>
                <w:color w:val="3051F2"/>
              </w:rPr>
            </w:pPr>
            <w:hyperlink w:anchor="page63">
              <w:r>
                <w:rPr>
                  <w:rFonts w:ascii="Arial" w:cs="Arial" w:eastAsia="Arial" w:hAnsi="Arial"/>
                  <w:sz w:val="18"/>
                  <w:szCs w:val="18"/>
                  <w:color w:val="3051F2"/>
                </w:rPr>
                <w:t>Defaults Upon Senior Securities</w:t>
              </w:r>
            </w:hyperlink>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63">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rFonts w:ascii="Arial" w:cs="Arial" w:eastAsia="Arial" w:hAnsi="Arial"/>
                <w:sz w:val="18"/>
                <w:szCs w:val="18"/>
                <w:color w:val="3051F2"/>
                <w:w w:val="91"/>
              </w:rPr>
            </w:pPr>
            <w:hyperlink w:anchor="page63">
              <w:r>
                <w:rPr>
                  <w:rFonts w:ascii="Arial" w:cs="Arial" w:eastAsia="Arial" w:hAnsi="Arial"/>
                  <w:sz w:val="18"/>
                  <w:szCs w:val="18"/>
                  <w:color w:val="3051F2"/>
                  <w:w w:val="91"/>
                </w:rPr>
                <w:t>Mine Safety Disclosures</w:t>
              </w:r>
            </w:hyperlink>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3">
              <w:r>
                <w:rPr>
                  <w:rFonts w:ascii="Arial" w:cs="Arial" w:eastAsia="Arial" w:hAnsi="Arial"/>
                  <w:sz w:val="18"/>
                  <w:szCs w:val="18"/>
                  <w:color w:val="3051F2"/>
                  <w:w w:val="90"/>
                </w:rPr>
                <w:t>Item 5.</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rFonts w:ascii="Arial" w:cs="Arial" w:eastAsia="Arial" w:hAnsi="Arial"/>
                <w:sz w:val="18"/>
                <w:szCs w:val="18"/>
                <w:color w:val="3051F2"/>
                <w:w w:val="92"/>
              </w:rPr>
            </w:pPr>
            <w:hyperlink w:anchor="page63">
              <w:r>
                <w:rPr>
                  <w:rFonts w:ascii="Arial" w:cs="Arial" w:eastAsia="Arial" w:hAnsi="Arial"/>
                  <w:sz w:val="18"/>
                  <w:szCs w:val="18"/>
                  <w:color w:val="3051F2"/>
                  <w:w w:val="92"/>
                </w:rPr>
                <w:t>Other Information</w:t>
              </w:r>
            </w:hyperlink>
          </w:p>
        </w:tc>
        <w:tc>
          <w:tcPr>
            <w:tcW w:w="7960" w:type="dxa"/>
            <w:vAlign w:val="bottom"/>
            <w:gridSpan w:val="18"/>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63">
              <w:r>
                <w:rPr>
                  <w:rFonts w:ascii="Arial" w:cs="Arial" w:eastAsia="Arial" w:hAnsi="Arial"/>
                  <w:sz w:val="18"/>
                  <w:szCs w:val="18"/>
                  <w:color w:val="3051F2"/>
                  <w:w w:val="90"/>
                </w:rPr>
                <w:t>Item 6.</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8"/>
                <w:szCs w:val="18"/>
                <w:color w:val="3051F2"/>
              </w:rPr>
            </w:pPr>
            <w:hyperlink w:anchor="page63">
              <w:r>
                <w:rPr>
                  <w:rFonts w:ascii="Arial" w:cs="Arial" w:eastAsia="Arial" w:hAnsi="Arial"/>
                  <w:sz w:val="18"/>
                  <w:szCs w:val="18"/>
                  <w:color w:val="3051F2"/>
                </w:rPr>
                <w:t>Exhibits</w:t>
              </w:r>
            </w:hyperlink>
          </w:p>
        </w:tc>
        <w:tc>
          <w:tcPr>
            <w:tcW w:w="98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rFonts w:ascii="Arial" w:cs="Arial" w:eastAsia="Arial" w:hAnsi="Arial"/>
                <w:sz w:val="18"/>
                <w:szCs w:val="18"/>
                <w:color w:val="3051F2"/>
              </w:rPr>
            </w:pPr>
            <w:hyperlink w:anchor="page64">
              <w:r>
                <w:rPr>
                  <w:rFonts w:ascii="Arial" w:cs="Arial" w:eastAsia="Arial" w:hAnsi="Arial"/>
                  <w:sz w:val="18"/>
                  <w:szCs w:val="18"/>
                  <w:color w:val="3051F2"/>
                </w:rPr>
                <w:t>Signatures</w:t>
              </w:r>
            </w:hyperlink>
          </w:p>
        </w:tc>
        <w:tc>
          <w:tcPr>
            <w:tcW w:w="98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0"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37" w:lineRule="exact"/>
        <w:rPr>
          <w:rFonts w:ascii="Arial" w:cs="Arial" w:eastAsia="Arial" w:hAnsi="Arial"/>
          <w:sz w:val="17"/>
          <w:szCs w:val="17"/>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 those Original LLC Owners, including certain Bank Stockholders, that disposed of all of their LLC Interests for cash in connection with the IPO.</w:t>
      </w:r>
    </w:p>
    <w:p>
      <w:pPr>
        <w:spacing w:after="0" w:line="167"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24"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184"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193"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the weighted average number of other participating securities reflected in earnings per share using the two-class method and assuming the full exchange of all outstanding LLC Interests held by non-controlling interests for shares of Class A common stock or Class B common stock.</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(including any variants of COVID-19), the potential impacts of which are inherently uncertain, are forward-looking statements.</w:t>
      </w:r>
    </w:p>
    <w:p>
      <w:pPr>
        <w:spacing w:after="0" w:line="14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84"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5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98"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2021 (the “2021 Form 10-K”), filed with the Securities and Exchange Commission (“SEC”) and in other filings we may make from time to time with the SEC.</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5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2"/>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828,061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972,048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20,523</w:t>
            </w: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$73 and $273 at March 31, 2022 and December 31, 2021, respectively</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164,968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129,937</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28,820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20,496</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156,203</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2,780,259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2,780,259</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1,153,216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1,180,016</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3,313</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618,970</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77,334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76,355</w:t>
            </w:r>
          </w:p>
        </w:tc>
      </w:tr>
      <w:tr>
        <w:trPr>
          <w:trHeight w:val="20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6,001,123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70,512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154,824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24,930</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31,926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24,331</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affiliates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21,011</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409,113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412,449</w:t>
            </w:r>
          </w:p>
        </w:tc>
      </w:tr>
      <w:tr>
        <w:trPr>
          <w:trHeight w:val="17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707,392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681,237</w:t>
            </w:r>
          </w:p>
        </w:tc>
      </w:tr>
      <w:tr>
        <w:trPr>
          <w:trHeight w:val="199"/>
        </w:trPr>
        <w:tc>
          <w:tcPr>
            <w:tcW w:w="8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1"/>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 (Note 12)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2"/>
              </w:rPr>
              <w:t>Class A common stock, $0.00001 par value; 1,000,000,000 shares authorized; 107,348,079 and 106,286,821 shares issued and outstanding as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March 31, 2022 and December 31, 2021,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2022 and December 31, 2021, respectively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1,654,825 and 1,654,825 shares issued and outstanding as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March 31, 2022 and December 31, 2021, respectively</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28,320,533 and 28,873,139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2022 and December 31, 2021, respectively</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4,388,663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4,401,366</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261,915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242,623</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4,648,616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4,645,595</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645,115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663,348</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5,293,731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5,308,943</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6,001,123</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5,990,180</w:t>
            </w:r>
          </w:p>
        </w:tc>
      </w:tr>
      <w:tr>
        <w:trPr>
          <w:trHeight w:val="24"/>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251,805</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217,816</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37,868</w:t>
            </w:r>
          </w:p>
        </w:tc>
        <w:tc>
          <w:tcPr>
            <w:tcW w:w="0" w:type="dxa"/>
            <w:vAlign w:val="bottom"/>
          </w:tcPr>
          <w:p>
            <w:pPr>
              <w:spacing w:after="0"/>
              <w:rPr>
                <w:sz w:val="1"/>
                <w:szCs w:val="1"/>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15,558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15,117</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90"/>
        </w:trPr>
        <w:tc>
          <w:tcPr>
            <w:tcW w:w="844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311,486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273,399</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117,991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103,622</w:t>
            </w:r>
          </w:p>
        </w:tc>
        <w:tc>
          <w:tcPr>
            <w:tcW w:w="0" w:type="dxa"/>
            <w:vAlign w:val="bottom"/>
          </w:tcPr>
          <w:p>
            <w:pPr>
              <w:spacing w:after="0"/>
              <w:rPr>
                <w:sz w:val="1"/>
                <w:szCs w:val="1"/>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44,450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40,966</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13,544</w:t>
            </w:r>
          </w:p>
        </w:tc>
        <w:tc>
          <w:tcPr>
            <w:tcW w:w="0" w:type="dxa"/>
            <w:vAlign w:val="bottom"/>
          </w:tcPr>
          <w:p>
            <w:pPr>
              <w:spacing w:after="0"/>
              <w:rPr>
                <w:sz w:val="1"/>
                <w:szCs w:val="1"/>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Occupancy</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199,884</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175,072</w:t>
            </w:r>
          </w:p>
        </w:tc>
        <w:tc>
          <w:tcPr>
            <w:tcW w:w="0" w:type="dxa"/>
            <w:vAlign w:val="bottom"/>
          </w:tcPr>
          <w:p>
            <w:pPr>
              <w:spacing w:after="0"/>
              <w:rPr>
                <w:sz w:val="1"/>
                <w:szCs w:val="1"/>
                <w:color w:val="auto"/>
              </w:rPr>
            </w:pPr>
          </w:p>
        </w:tc>
      </w:tr>
      <w:tr>
        <w:trPr>
          <w:trHeight w:val="181"/>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111,602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98,327</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1"/>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111,155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97,834</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(16,269)</w:t>
            </w:r>
          </w:p>
        </w:tc>
        <w:tc>
          <w:tcPr>
            <w:tcW w:w="0" w:type="dxa"/>
            <w:vAlign w:val="bottom"/>
          </w:tcPr>
          <w:p>
            <w:pPr>
              <w:spacing w:after="0"/>
              <w:rPr>
                <w:sz w:val="1"/>
                <w:szCs w:val="1"/>
                <w:color w:val="auto"/>
              </w:rPr>
            </w:pPr>
          </w:p>
        </w:tc>
      </w:tr>
      <w:tr>
        <w:trPr>
          <w:trHeight w:val="181"/>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97,445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81,565</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14,480</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181"/>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82,965</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67,859</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vMerge w:val="continue"/>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 average shares outstanding:</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204,061,347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199,064,607</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207,497,102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205,028,717</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3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6"/>
                <w:szCs w:val="16"/>
                <w:color w:val="auto"/>
              </w:rPr>
            </w:pPr>
          </w:p>
        </w:tc>
      </w:tr>
      <w:tr>
        <w:trPr>
          <w:trHeight w:val="195"/>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97,445</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81,565</w:t>
            </w:r>
          </w:p>
        </w:tc>
      </w:tr>
      <w:tr>
        <w:trPr>
          <w:trHeight w:val="166"/>
        </w:trPr>
        <w:tc>
          <w:tcPr>
            <w:tcW w:w="84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 with no tax benefit for each of the three months ended March 31, 2022 and 2021</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9"/>
              </w:rPr>
              <w:t>(4,098)</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7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9"/>
              </w:rPr>
              <w:t>(4,098)</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r>
      <w:tr>
        <w:trPr>
          <w:trHeight w:val="199"/>
        </w:trPr>
        <w:tc>
          <w:tcPr>
            <w:tcW w:w="8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Net income attributable to non-controlling interests</w:t>
      </w:r>
    </w:p>
    <w:p>
      <w:pPr>
        <w:spacing w:after="0" w:line="42" w:lineRule="exact"/>
        <w:rPr>
          <w:sz w:val="20"/>
          <w:szCs w:val="20"/>
          <w:color w:val="auto"/>
        </w:rPr>
      </w:pPr>
    </w:p>
    <w:p>
      <w:pPr>
        <w:ind w:left="20" w:right="2740"/>
        <w:spacing w:after="0" w:line="313" w:lineRule="auto"/>
        <w:rPr>
          <w:sz w:val="20"/>
          <w:szCs w:val="20"/>
          <w:color w:val="auto"/>
        </w:rPr>
      </w:pPr>
      <w:r>
        <w:rPr>
          <w:rFonts w:ascii="Arial" w:cs="Arial" w:eastAsia="Arial" w:hAnsi="Arial"/>
          <w:sz w:val="14"/>
          <w:szCs w:val="14"/>
          <w:color w:val="auto"/>
        </w:rPr>
        <w:t>Less: Foreign currency translation adjustments attributable to non-controlling interests Comprehensive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80" w:type="dxa"/>
        <w:tblCellMar>
          <w:top w:w="0" w:type="dxa"/>
          <w:left w:w="0" w:type="dxa"/>
          <w:bottom w:w="0" w:type="dxa"/>
          <w:right w:w="0" w:type="dxa"/>
        </w:tblCellMar>
      </w:tblPr>
      <w:tr>
        <w:trPr>
          <w:trHeight w:val="182"/>
        </w:trPr>
        <w:tc>
          <w:tcPr>
            <w:tcW w:w="920" w:type="dxa"/>
            <w:vAlign w:val="bottom"/>
          </w:tcPr>
          <w:p>
            <w:pPr>
              <w:jc w:val="right"/>
              <w:ind w:right="448"/>
              <w:spacing w:after="0"/>
              <w:rPr>
                <w:sz w:val="20"/>
                <w:szCs w:val="20"/>
                <w:color w:val="auto"/>
              </w:rPr>
            </w:pPr>
            <w:r>
              <w:rPr>
                <w:rFonts w:ascii="Arial" w:cs="Arial" w:eastAsia="Arial" w:hAnsi="Arial"/>
                <w:sz w:val="14"/>
                <w:szCs w:val="14"/>
                <w:color w:val="auto"/>
                <w:w w:val="88"/>
              </w:rPr>
              <w:t>93,347</w:t>
            </w:r>
          </w:p>
        </w:tc>
        <w:tc>
          <w:tcPr>
            <w:tcW w:w="920" w:type="dxa"/>
            <w:vAlign w:val="bottom"/>
          </w:tcPr>
          <w:p>
            <w:pPr>
              <w:jc w:val="right"/>
              <w:spacing w:after="0"/>
              <w:rPr>
                <w:sz w:val="20"/>
                <w:szCs w:val="20"/>
                <w:color w:val="auto"/>
              </w:rPr>
            </w:pPr>
            <w:r>
              <w:rPr>
                <w:rFonts w:ascii="Arial" w:cs="Arial" w:eastAsia="Arial" w:hAnsi="Arial"/>
                <w:sz w:val="14"/>
                <w:szCs w:val="14"/>
                <w:color w:val="auto"/>
              </w:rPr>
              <w:t>81,222</w:t>
            </w:r>
          </w:p>
        </w:tc>
      </w:tr>
      <w:tr>
        <w:trPr>
          <w:trHeight w:val="211"/>
        </w:trPr>
        <w:tc>
          <w:tcPr>
            <w:tcW w:w="920" w:type="dxa"/>
            <w:vAlign w:val="bottom"/>
          </w:tcPr>
          <w:p>
            <w:pPr>
              <w:jc w:val="right"/>
              <w:ind w:right="448"/>
              <w:spacing w:after="0"/>
              <w:rPr>
                <w:sz w:val="20"/>
                <w:szCs w:val="20"/>
                <w:color w:val="auto"/>
              </w:rPr>
            </w:pPr>
            <w:r>
              <w:rPr>
                <w:rFonts w:ascii="Arial" w:cs="Arial" w:eastAsia="Arial" w:hAnsi="Arial"/>
                <w:sz w:val="14"/>
                <w:szCs w:val="14"/>
                <w:color w:val="auto"/>
                <w:w w:val="88"/>
              </w:rPr>
              <w:t>14,480</w:t>
            </w:r>
          </w:p>
        </w:tc>
        <w:tc>
          <w:tcPr>
            <w:tcW w:w="920" w:type="dxa"/>
            <w:vAlign w:val="bottom"/>
          </w:tcPr>
          <w:p>
            <w:pPr>
              <w:jc w:val="right"/>
              <w:spacing w:after="0"/>
              <w:rPr>
                <w:sz w:val="20"/>
                <w:szCs w:val="20"/>
                <w:color w:val="auto"/>
              </w:rPr>
            </w:pPr>
            <w:r>
              <w:rPr>
                <w:rFonts w:ascii="Arial" w:cs="Arial" w:eastAsia="Arial" w:hAnsi="Arial"/>
                <w:sz w:val="14"/>
                <w:szCs w:val="14"/>
                <w:color w:val="auto"/>
              </w:rPr>
              <w:t>13,706</w:t>
            </w:r>
          </w:p>
        </w:tc>
      </w:tr>
    </w:tbl>
    <w:p>
      <w:pPr>
        <w:spacing w:after="0" w:line="7" w:lineRule="exact"/>
        <w:rPr>
          <w:sz w:val="20"/>
          <w:szCs w:val="20"/>
          <w:color w:val="auto"/>
        </w:rPr>
      </w:pPr>
    </w:p>
    <w:p>
      <w:pPr>
        <w:ind w:left="2520" w:hanging="1523"/>
        <w:spacing w:after="0"/>
        <w:tabs>
          <w:tab w:leader="none" w:pos="2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(46)</w:t>
      </w:r>
    </w:p>
    <w:p>
      <w:pPr>
        <w:spacing w:after="0" w:line="53" w:lineRule="exact"/>
        <w:rPr>
          <w:sz w:val="20"/>
          <w:szCs w:val="20"/>
          <w:color w:val="auto"/>
        </w:rPr>
      </w:pPr>
    </w:p>
    <w:p>
      <w:pPr>
        <w:spacing w:after="0"/>
        <w:tabs>
          <w:tab w:leader="none" w:pos="860" w:val="left"/>
          <w:tab w:leader="none" w:pos="1420" w:val="left"/>
          <w:tab w:leader="none" w:pos="2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79,397</w:t>
        <w:tab/>
        <w:t>$</w:t>
      </w:r>
      <w:r>
        <w:rPr>
          <w:sz w:val="20"/>
          <w:szCs w:val="20"/>
          <w:color w:val="auto"/>
        </w:rPr>
        <w:tab/>
      </w:r>
      <w:r>
        <w:rPr>
          <w:rFonts w:ascii="Arial" w:cs="Arial" w:eastAsia="Arial" w:hAnsi="Arial"/>
          <w:sz w:val="13"/>
          <w:szCs w:val="13"/>
          <w:color w:val="auto"/>
        </w:rPr>
        <w:t>67,562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1774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5" w:lineRule="exact"/>
        <w:rPr>
          <w:sz w:val="20"/>
          <w:szCs w:val="20"/>
          <w:color w:val="auto"/>
        </w:rPr>
      </w:pPr>
    </w:p>
    <w:p>
      <w:pPr>
        <w:sectPr>
          <w:pgSz w:w="11900" w:h="16838" w:orient="portrait"/>
          <w:cols w:equalWidth="0" w:num="2">
            <w:col w:w="7740" w:space="720"/>
            <w:col w:w="2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82,965</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67,859</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(3,568)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79,397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67,562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14,480</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13,706</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13,950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84"/>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9"/>
                <w:szCs w:val="9"/>
                <w:color w:val="auto"/>
              </w:rPr>
              <w:t>Balance at December 31, 2021</w:t>
            </w:r>
          </w:p>
        </w:tc>
        <w:tc>
          <w:tcPr>
            <w:tcW w:w="640" w:type="dxa"/>
            <w:vAlign w:val="bottom"/>
          </w:tcPr>
          <w:p>
            <w:pPr>
              <w:jc w:val="right"/>
              <w:spacing w:after="0"/>
              <w:rPr>
                <w:sz w:val="20"/>
                <w:szCs w:val="20"/>
                <w:color w:val="auto"/>
              </w:rPr>
            </w:pPr>
            <w:r>
              <w:rPr>
                <w:rFonts w:ascii="Arial" w:cs="Arial" w:eastAsia="Arial" w:hAnsi="Arial"/>
                <w:sz w:val="9"/>
                <w:szCs w:val="9"/>
                <w:color w:val="auto"/>
              </w:rPr>
              <w:t>106,286,821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28,873,139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4,401,366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1,604</w:t>
            </w:r>
          </w:p>
        </w:tc>
        <w:tc>
          <w:tcPr>
            <w:tcW w:w="10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242,623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663,348</w:t>
            </w:r>
          </w:p>
        </w:tc>
        <w:tc>
          <w:tcPr>
            <w:tcW w:w="100" w:type="dxa"/>
            <w:vAlign w:val="bottom"/>
          </w:tcPr>
          <w:p>
            <w:pPr>
              <w:spacing w:after="0"/>
              <w:rPr>
                <w:sz w:val="12"/>
                <w:szCs w:val="12"/>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9"/>
                <w:szCs w:val="9"/>
                <w:color w:val="auto"/>
              </w:rPr>
              <w:t>5,308,943</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552,606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(552,606)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1,068,080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692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692</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(559,428)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(47,323)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(47,323)</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tcPr>
          <w:p>
            <w:pPr>
              <w:ind w:left="20"/>
              <w:spacing w:after="0" w:line="81"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Pr>
          <w:p>
            <w:pPr>
              <w:ind w:left="20"/>
              <w:spacing w:after="0" w:line="81" w:lineRule="exact"/>
              <w:rPr>
                <w:sz w:val="20"/>
                <w:szCs w:val="20"/>
                <w:color w:val="auto"/>
              </w:rPr>
            </w:pPr>
            <w:r>
              <w:rPr>
                <w:rFonts w:ascii="Arial" w:cs="Arial" w:eastAsia="Arial" w:hAnsi="Arial"/>
                <w:sz w:val="9"/>
                <w:szCs w:val="9"/>
                <w:color w:val="auto"/>
                <w:w w:val="98"/>
              </w:rPr>
              <w:t>the issuance of common stock from equity incentive</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38,676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38,676</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(2,178)</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(16,350)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(16,350)</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6,351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6,351</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6,102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6,102</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1,229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1,229</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(95,758)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(95,758)</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82,965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14,480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97,445</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(3,568)</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(530)</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(4,098)</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9"/>
                <w:szCs w:val="9"/>
                <w:color w:val="auto"/>
              </w:rPr>
              <w:t>Balance at March 31, 2022</w:t>
            </w:r>
          </w:p>
        </w:tc>
        <w:tc>
          <w:tcPr>
            <w:tcW w:w="640" w:type="dxa"/>
            <w:vAlign w:val="bottom"/>
          </w:tcPr>
          <w:p>
            <w:pPr>
              <w:jc w:val="right"/>
              <w:spacing w:after="0"/>
              <w:rPr>
                <w:sz w:val="20"/>
                <w:szCs w:val="20"/>
                <w:color w:val="auto"/>
              </w:rPr>
            </w:pPr>
            <w:r>
              <w:rPr>
                <w:rFonts w:ascii="Arial" w:cs="Arial" w:eastAsia="Arial" w:hAnsi="Arial"/>
                <w:sz w:val="9"/>
                <w:szCs w:val="9"/>
                <w:color w:val="auto"/>
              </w:rPr>
              <w:t>107,348,079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28,320,533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4,388,663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(1,964)</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261,915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645,115</w:t>
            </w:r>
          </w:p>
        </w:tc>
        <w:tc>
          <w:tcPr>
            <w:tcW w:w="100" w:type="dxa"/>
            <w:vAlign w:val="bottom"/>
          </w:tcPr>
          <w:p>
            <w:pPr>
              <w:spacing w:after="0"/>
              <w:rPr>
                <w:sz w:val="11"/>
                <w:szCs w:val="11"/>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9"/>
                <w:szCs w:val="9"/>
                <w:color w:val="auto"/>
              </w:rPr>
              <w:t>5,293,731</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98,075,465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3,139,821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4,143,094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3,479,269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Pr>
          <w:p>
            <w:pPr>
              <w:ind w:left="160"/>
              <w:spacing w:after="0"/>
              <w:rPr>
                <w:sz w:val="20"/>
                <w:szCs w:val="20"/>
                <w:color w:val="auto"/>
              </w:rPr>
            </w:pPr>
            <w:r>
              <w:rPr>
                <w:rFonts w:ascii="Arial" w:cs="Arial" w:eastAsia="Arial" w:hAnsi="Arial"/>
                <w:sz w:val="9"/>
                <w:szCs w:val="9"/>
                <w:color w:val="auto"/>
                <w:w w:val="95"/>
              </w:rPr>
              <w:t>(1,484,996)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(1,994,273)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2"/>
        </w:trPr>
        <w:tc>
          <w:tcPr>
            <w:tcW w:w="21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8"/>
              </w:rPr>
              <w:t>Tax receivable agreement liability and deferred taxes</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0" w:type="dxa"/>
            <w:vAlign w:val="bottom"/>
          </w:tcPr>
          <w:p>
            <w:pPr>
              <w:spacing w:after="0"/>
              <w:rPr>
                <w:sz w:val="1"/>
                <w:szCs w:val="1"/>
                <w:color w:val="auto"/>
              </w:rPr>
            </w:pPr>
          </w:p>
        </w:tc>
      </w:tr>
      <w:tr>
        <w:trPr>
          <w:trHeight w:val="12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w w:val="96"/>
              </w:rPr>
              <w:t>Issuance of common stock from equity incentive plans</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3,088,545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46,397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46,397</w:t>
            </w:r>
          </w:p>
        </w:tc>
        <w:tc>
          <w:tcPr>
            <w:tcW w:w="0" w:type="dxa"/>
            <w:vAlign w:val="bottom"/>
          </w:tcPr>
          <w:p>
            <w:pPr>
              <w:spacing w:after="0"/>
              <w:rPr>
                <w:sz w:val="1"/>
                <w:szCs w:val="1"/>
                <w:color w:val="auto"/>
              </w:rPr>
            </w:pPr>
          </w:p>
        </w:tc>
      </w:tr>
      <w:tr>
        <w:trPr>
          <w:trHeight w:val="102"/>
        </w:trPr>
        <w:tc>
          <w:tcPr>
            <w:tcW w:w="21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5"/>
              </w:rPr>
              <w:t>Deferred taxes arising from issuance of common stock</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0" w:type="dxa"/>
            <w:vAlign w:val="bottom"/>
          </w:tcPr>
          <w:p>
            <w:pPr>
              <w:spacing w:after="0"/>
              <w:rPr>
                <w:sz w:val="1"/>
                <w:szCs w:val="1"/>
                <w:color w:val="auto"/>
              </w:rPr>
            </w:pPr>
          </w:p>
        </w:tc>
      </w:tr>
      <w:tr>
        <w:trPr>
          <w:trHeight w:val="12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from equity incentive plans</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80,665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(80,750)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(16,030)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(16,030)</w:t>
            </w:r>
          </w:p>
        </w:tc>
        <w:tc>
          <w:tcPr>
            <w:tcW w:w="0" w:type="dxa"/>
            <w:vAlign w:val="bottom"/>
          </w:tcPr>
          <w:p>
            <w:pPr>
              <w:spacing w:after="0"/>
              <w:rPr>
                <w:sz w:val="1"/>
                <w:szCs w:val="1"/>
                <w:color w:val="auto"/>
              </w:rPr>
            </w:pPr>
          </w:p>
        </w:tc>
      </w:tr>
      <w:tr>
        <w:trPr>
          <w:trHeight w:val="102"/>
        </w:trPr>
        <w:tc>
          <w:tcPr>
            <w:tcW w:w="21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7"/>
              </w:rPr>
              <w:t>Stock-based compensation expense under the PRSU</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0" w:type="dxa"/>
            <w:vAlign w:val="bottom"/>
          </w:tcPr>
          <w:p>
            <w:pPr>
              <w:spacing w:after="0"/>
              <w:rPr>
                <w:sz w:val="1"/>
                <w:szCs w:val="1"/>
                <w:color w:val="auto"/>
              </w:rPr>
            </w:pPr>
          </w:p>
        </w:tc>
      </w:tr>
      <w:tr>
        <w:trPr>
          <w:trHeight w:val="12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20" w:type="dxa"/>
            <w:vAlign w:val="bottom"/>
          </w:tcPr>
          <w:p>
            <w:pPr>
              <w:ind w:left="20"/>
              <w:spacing w:after="0" w:line="95" w:lineRule="exact"/>
              <w:rPr>
                <w:sz w:val="20"/>
                <w:szCs w:val="20"/>
                <w:color w:val="auto"/>
              </w:rPr>
            </w:pPr>
            <w:r>
              <w:rPr>
                <w:rFonts w:ascii="Arial" w:cs="Arial" w:eastAsia="Arial" w:hAnsi="Arial"/>
                <w:sz w:val="9"/>
                <w:szCs w:val="9"/>
                <w:color w:val="auto"/>
              </w:rPr>
              <w:t>Stock-based compensation expense under the RSU</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0" w:type="dxa"/>
            <w:vAlign w:val="bottom"/>
          </w:tcPr>
          <w:p>
            <w:pPr>
              <w:spacing w:after="0"/>
              <w:rPr>
                <w:sz w:val="1"/>
                <w:szCs w:val="1"/>
                <w:color w:val="auto"/>
              </w:rPr>
            </w:pPr>
          </w:p>
        </w:tc>
      </w:tr>
      <w:tr>
        <w:trPr>
          <w:trHeight w:val="118"/>
        </w:trPr>
        <w:tc>
          <w:tcPr>
            <w:tcW w:w="2120" w:type="dxa"/>
            <w:vAlign w:val="bottom"/>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2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6"/>
              </w:rPr>
              <w:t>Stock-based compensation expense under the Option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0" w:type="dxa"/>
            <w:vAlign w:val="bottom"/>
          </w:tcPr>
          <w:p>
            <w:pPr>
              <w:spacing w:after="0"/>
              <w:rPr>
                <w:sz w:val="1"/>
                <w:szCs w:val="1"/>
                <w:color w:val="auto"/>
              </w:rPr>
            </w:pPr>
          </w:p>
        </w:tc>
      </w:tr>
      <w:tr>
        <w:trPr>
          <w:trHeight w:val="12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(45,464)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(45,464)</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67,859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81,565</w:t>
            </w:r>
          </w:p>
        </w:tc>
        <w:tc>
          <w:tcPr>
            <w:tcW w:w="0" w:type="dxa"/>
            <w:vAlign w:val="bottom"/>
          </w:tcPr>
          <w:p>
            <w:pPr>
              <w:spacing w:after="0"/>
              <w:rPr>
                <w:sz w:val="1"/>
                <w:szCs w:val="1"/>
                <w:color w:val="auto"/>
              </w:rPr>
            </w:pPr>
          </w:p>
        </w:tc>
      </w:tr>
      <w:tr>
        <w:trPr>
          <w:trHeight w:val="128"/>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(343)</w:t>
            </w:r>
          </w:p>
        </w:tc>
        <w:tc>
          <w:tcPr>
            <w:tcW w:w="0" w:type="dxa"/>
            <w:vAlign w:val="bottom"/>
          </w:tcPr>
          <w:p>
            <w:pPr>
              <w:spacing w:after="0"/>
              <w:rPr>
                <w:sz w:val="1"/>
                <w:szCs w:val="1"/>
                <w:color w:val="auto"/>
              </w:rPr>
            </w:pPr>
          </w:p>
        </w:tc>
      </w:tr>
      <w:tr>
        <w:trPr>
          <w:trHeight w:val="155"/>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2021</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104,643,279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4,307,046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207,870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646,118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5,165,138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March 31,</w:t>
            </w:r>
          </w:p>
        </w:tc>
      </w:tr>
      <w:tr>
        <w:trPr>
          <w:trHeight w:val="187"/>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97,445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81,565</w:t>
            </w: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44,450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40,966</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10,760</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15,997</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(38,831)</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7,226</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Securities sold under agreements to repurchase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(59,275)</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3,995</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Employee equity compensation payable</w:t>
            </w:r>
          </w:p>
        </w:tc>
        <w:tc>
          <w:tcPr>
            <w:tcW w:w="2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199"/>
        </w:trPr>
        <w:tc>
          <w:tcPr>
            <w:tcW w:w="8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45,243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55,572</w:t>
            </w:r>
          </w:p>
        </w:tc>
      </w:tr>
      <w:tr>
        <w:trPr>
          <w:trHeight w:val="16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w:t>
            </w: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(8,266)</w:t>
            </w:r>
          </w:p>
        </w:tc>
      </w:tr>
      <w:tr>
        <w:trPr>
          <w:trHeight w:val="186"/>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(12,625)</w:t>
            </w:r>
          </w:p>
        </w:tc>
      </w:tr>
      <w:tr>
        <w:trPr>
          <w:trHeight w:val="16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7"/>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repurchases pursuant to the Share Repurchase Program</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46,397</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(16,030)</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(2,504)</w:t>
            </w: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(45,464)</w:t>
            </w: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w:t>
            </w:r>
          </w:p>
        </w:tc>
      </w:tr>
      <w:tr>
        <w:trPr>
          <w:trHeight w:val="186"/>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(168,081)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(24,450)</w:t>
            </w:r>
          </w:p>
        </w:tc>
      </w:tr>
      <w:tr>
        <w:trPr>
          <w:trHeight w:val="19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02"/>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18,658</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829,061</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810,938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paid, net of (refunds)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w:t>
            </w: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taxes payable relating to stock-based compensation settlements included in accrued compensation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440" w:type="dxa"/>
            <w:vAlign w:val="bottom"/>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27,666</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44,335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99,260</w:t>
            </w:r>
          </w:p>
        </w:tc>
      </w:tr>
      <w:tr>
        <w:trPr>
          <w:trHeight w:val="206"/>
        </w:trPr>
        <w:tc>
          <w:tcPr>
            <w:tcW w:w="8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0"/>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828,061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972,048</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829,061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Note 1</w:t>
              </w:r>
            </w:hyperlink>
          </w:p>
        </w:tc>
        <w:tc>
          <w:tcPr>
            <w:tcW w:w="4760" w:type="dxa"/>
            <w:vAlign w:val="bottom"/>
            <w:gridSpan w:val="17"/>
          </w:tcPr>
          <w:p>
            <w:pPr>
              <w:ind w:left="280"/>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Organization</w:t>
              </w:r>
            </w:hyperlink>
          </w:p>
        </w:tc>
        <w:tc>
          <w:tcPr>
            <w:tcW w:w="5880" w:type="dxa"/>
            <w:vAlign w:val="bottom"/>
            <w:gridSpan w:val="2"/>
          </w:tcPr>
          <w:p>
            <w:pPr>
              <w:jc w:val="right"/>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3051F2"/>
              </w:rPr>
            </w:pPr>
            <w:hyperlink w:anchor="page16">
              <w:r>
                <w:rPr>
                  <w:rFonts w:ascii="Arial" w:cs="Arial" w:eastAsia="Arial" w:hAnsi="Arial"/>
                  <w:sz w:val="18"/>
                  <w:szCs w:val="18"/>
                  <w:color w:val="3051F2"/>
                </w:rPr>
                <w:t>Note 2</w:t>
              </w:r>
            </w:hyperlink>
          </w:p>
        </w:tc>
        <w:tc>
          <w:tcPr>
            <w:tcW w:w="4760" w:type="dxa"/>
            <w:vAlign w:val="bottom"/>
            <w:gridSpan w:val="17"/>
          </w:tcPr>
          <w:p>
            <w:pPr>
              <w:ind w:left="280"/>
              <w:spacing w:after="0"/>
              <w:rPr>
                <w:rFonts w:ascii="Arial" w:cs="Arial" w:eastAsia="Arial" w:hAnsi="Arial"/>
                <w:sz w:val="18"/>
                <w:szCs w:val="18"/>
                <w:color w:val="3051F2"/>
              </w:rPr>
            </w:pPr>
            <w:hyperlink w:anchor="page16">
              <w:r>
                <w:rPr>
                  <w:rFonts w:ascii="Arial" w:cs="Arial" w:eastAsia="Arial" w:hAnsi="Arial"/>
                  <w:sz w:val="18"/>
                  <w:szCs w:val="18"/>
                  <w:color w:val="3051F2"/>
                </w:rPr>
                <w:t>Significant Accounting Policies</w:t>
              </w:r>
            </w:hyperlink>
          </w:p>
        </w:tc>
        <w:tc>
          <w:tcPr>
            <w:tcW w:w="5880" w:type="dxa"/>
            <w:vAlign w:val="bottom"/>
            <w:gridSpan w:val="2"/>
          </w:tcPr>
          <w:p>
            <w:pPr>
              <w:jc w:val="right"/>
              <w:spacing w:after="0"/>
              <w:rPr>
                <w:rFonts w:ascii="Arial" w:cs="Arial" w:eastAsia="Arial" w:hAnsi="Arial"/>
                <w:sz w:val="18"/>
                <w:szCs w:val="18"/>
                <w:color w:val="3051F2"/>
              </w:rPr>
            </w:pPr>
            <w:hyperlink w:anchor="page16">
              <w:r>
                <w:rPr>
                  <w:rFonts w:ascii="Arial" w:cs="Arial" w:eastAsia="Arial" w:hAnsi="Arial"/>
                  <w:sz w:val="18"/>
                  <w:szCs w:val="18"/>
                  <w:color w:val="3051F2"/>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Note 3</w:t>
              </w:r>
            </w:hyperlink>
          </w:p>
        </w:tc>
        <w:tc>
          <w:tcPr>
            <w:tcW w:w="80" w:type="dxa"/>
            <w:vAlign w:val="bottom"/>
          </w:tcPr>
          <w:p>
            <w:pPr>
              <w:spacing w:after="0"/>
              <w:rPr>
                <w:sz w:val="21"/>
                <w:szCs w:val="21"/>
                <w:color w:val="auto"/>
              </w:rPr>
            </w:pPr>
          </w:p>
        </w:tc>
        <w:tc>
          <w:tcPr>
            <w:tcW w:w="4760" w:type="dxa"/>
            <w:vAlign w:val="bottom"/>
            <w:gridSpan w:val="17"/>
          </w:tcPr>
          <w:p>
            <w:pPr>
              <w:ind w:left="280"/>
              <w:spacing w:after="0"/>
              <w:rPr>
                <w:rFonts w:ascii="Arial" w:cs="Arial" w:eastAsia="Arial" w:hAnsi="Arial"/>
                <w:sz w:val="18"/>
                <w:szCs w:val="18"/>
                <w:color w:val="3051F2"/>
              </w:rPr>
            </w:pPr>
            <w:hyperlink w:anchor="page22">
              <w:r>
                <w:rPr>
                  <w:rFonts w:ascii="Arial" w:cs="Arial" w:eastAsia="Arial" w:hAnsi="Arial"/>
                  <w:sz w:val="18"/>
                  <w:szCs w:val="18"/>
                  <w:color w:val="3051F2"/>
                </w:rPr>
                <w:t>Restricted Cash</w:t>
              </w:r>
            </w:hyperlink>
          </w:p>
        </w:tc>
        <w:tc>
          <w:tcPr>
            <w:tcW w:w="5880" w:type="dxa"/>
            <w:vAlign w:val="bottom"/>
            <w:gridSpan w:val="2"/>
          </w:tcPr>
          <w:p>
            <w:pPr>
              <w:jc w:val="right"/>
              <w:spacing w:after="0"/>
              <w:rPr>
                <w:rFonts w:ascii="Arial" w:cs="Arial" w:eastAsia="Arial" w:hAnsi="Arial"/>
                <w:sz w:val="18"/>
                <w:szCs w:val="18"/>
                <w:color w:val="3051F2"/>
              </w:rPr>
            </w:pPr>
            <w:hyperlink w:anchor="page22">
              <w:r>
                <w:rPr>
                  <w:rFonts w:ascii="Arial" w:cs="Arial" w:eastAsia="Arial" w:hAnsi="Arial"/>
                  <w:sz w:val="18"/>
                  <w:szCs w:val="18"/>
                  <w:color w:val="3051F2"/>
                </w:rPr>
                <w:t>22</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rFonts w:ascii="Arial" w:cs="Arial" w:eastAsia="Arial" w:hAnsi="Arial"/>
                <w:sz w:val="18"/>
                <w:szCs w:val="18"/>
                <w:color w:val="3051F2"/>
                <w:w w:val="83"/>
              </w:rPr>
            </w:pPr>
            <w:hyperlink w:anchor="page22">
              <w:r>
                <w:rPr>
                  <w:rFonts w:ascii="Arial" w:cs="Arial" w:eastAsia="Arial" w:hAnsi="Arial"/>
                  <w:sz w:val="18"/>
                  <w:szCs w:val="18"/>
                  <w:color w:val="3051F2"/>
                  <w:w w:val="83"/>
                </w:rPr>
                <w:t>Revenue</w:t>
              </w:r>
            </w:hyperlink>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right"/>
              <w:spacing w:after="0"/>
              <w:rPr>
                <w:rFonts w:ascii="Arial" w:cs="Arial" w:eastAsia="Arial" w:hAnsi="Arial"/>
                <w:sz w:val="18"/>
                <w:szCs w:val="18"/>
                <w:color w:val="3051F2"/>
              </w:rPr>
            </w:pPr>
            <w:hyperlink w:anchor="page22">
              <w:r>
                <w:rPr>
                  <w:rFonts w:ascii="Arial" w:cs="Arial" w:eastAsia="Arial" w:hAnsi="Arial"/>
                  <w:sz w:val="18"/>
                  <w:szCs w:val="18"/>
                  <w:color w:val="3051F2"/>
                </w:rPr>
                <w:t>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4">
              <w:r>
                <w:rPr>
                  <w:rFonts w:ascii="Arial" w:cs="Arial" w:eastAsia="Arial" w:hAnsi="Arial"/>
                  <w:sz w:val="18"/>
                  <w:szCs w:val="18"/>
                  <w:color w:val="3051F2"/>
                </w:rPr>
                <w:t>24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rPr>
            </w:pPr>
            <w:hyperlink w:anchor="page24">
              <w:r>
                <w:rPr>
                  <w:rFonts w:ascii="Arial" w:cs="Arial" w:eastAsia="Arial" w:hAnsi="Arial"/>
                  <w:sz w:val="18"/>
                  <w:szCs w:val="18"/>
                  <w:color w:val="3051F2"/>
                </w:rPr>
                <w:t xml:space="preserve">Note </w:t>
              </w:r>
            </w:hyperlink>
            <w:r>
              <w:rPr>
                <w:rFonts w:ascii="Arial" w:cs="Arial" w:eastAsia="Arial" w:hAnsi="Arial"/>
                <w:sz w:val="18"/>
                <w:szCs w:val="18"/>
                <w:color w:val="3051F2"/>
              </w:rPr>
              <w:t>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rFonts w:ascii="Arial" w:cs="Arial" w:eastAsia="Arial" w:hAnsi="Arial"/>
                <w:sz w:val="18"/>
                <w:szCs w:val="18"/>
                <w:color w:val="3051F2"/>
                <w:w w:val="86"/>
              </w:rPr>
            </w:pPr>
            <w:hyperlink w:anchor="page24">
              <w:r>
                <w:rPr>
                  <w:rFonts w:ascii="Arial" w:cs="Arial" w:eastAsia="Arial" w:hAnsi="Arial"/>
                  <w:sz w:val="18"/>
                  <w:szCs w:val="18"/>
                  <w:color w:val="3051F2"/>
                  <w:w w:val="86"/>
                </w:rPr>
                <w:t>Income Taxes</w:t>
              </w:r>
            </w:hyperlink>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4">
              <w:r>
                <w:rPr>
                  <w:rFonts w:ascii="Arial" w:cs="Arial" w:eastAsia="Arial" w:hAnsi="Arial"/>
                  <w:sz w:val="18"/>
                  <w:szCs w:val="18"/>
                  <w:color w:val="3051F2"/>
                </w:rPr>
                <w:t>25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rPr>
            </w:pPr>
            <w:hyperlink w:anchor="page24">
              <w:r>
                <w:rPr>
                  <w:rFonts w:ascii="Arial" w:cs="Arial" w:eastAsia="Arial" w:hAnsi="Arial"/>
                  <w:sz w:val="18"/>
                  <w:szCs w:val="18"/>
                  <w:color w:val="3051F2"/>
                </w:rPr>
                <w:t xml:space="preserve">Note </w:t>
              </w:r>
            </w:hyperlink>
            <w:r>
              <w:rPr>
                <w:rFonts w:ascii="Arial" w:cs="Arial" w:eastAsia="Arial" w:hAnsi="Arial"/>
                <w:sz w:val="18"/>
                <w:szCs w:val="18"/>
                <w:color w:val="3051F2"/>
              </w:rPr>
              <w:t>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24">
              <w:r>
                <w:rPr>
                  <w:rFonts w:ascii="Arial" w:cs="Arial" w:eastAsia="Arial" w:hAnsi="Arial"/>
                  <w:sz w:val="18"/>
                  <w:szCs w:val="18"/>
                  <w:color w:val="3051F2"/>
                  <w:w w:val="89"/>
                </w:rPr>
                <w:t>Tax Receivable Agreement</w:t>
              </w:r>
            </w:hyperlink>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5">
              <w:r>
                <w:rPr>
                  <w:rFonts w:ascii="Arial" w:cs="Arial" w:eastAsia="Arial" w:hAnsi="Arial"/>
                  <w:sz w:val="18"/>
                  <w:szCs w:val="18"/>
                  <w:color w:val="3051F2"/>
                </w:rPr>
                <w:t>25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rPr>
            </w:pPr>
            <w:hyperlink w:anchor="page25">
              <w:r>
                <w:rPr>
                  <w:rFonts w:ascii="Arial" w:cs="Arial" w:eastAsia="Arial" w:hAnsi="Arial"/>
                  <w:sz w:val="18"/>
                  <w:szCs w:val="18"/>
                  <w:color w:val="3051F2"/>
                </w:rPr>
                <w:t xml:space="preserve">Note </w:t>
              </w:r>
            </w:hyperlink>
            <w:r>
              <w:rPr>
                <w:rFonts w:ascii="Arial" w:cs="Arial" w:eastAsia="Arial" w:hAnsi="Arial"/>
                <w:sz w:val="18"/>
                <w:szCs w:val="18"/>
                <w:color w:val="3051F2"/>
              </w:rPr>
              <w:t>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rFonts w:ascii="Arial" w:cs="Arial" w:eastAsia="Arial" w:hAnsi="Arial"/>
                <w:sz w:val="18"/>
                <w:szCs w:val="18"/>
                <w:color w:val="3051F2"/>
                <w:w w:val="92"/>
              </w:rPr>
            </w:pPr>
            <w:hyperlink w:anchor="page25">
              <w:r>
                <w:rPr>
                  <w:rFonts w:ascii="Arial" w:cs="Arial" w:eastAsia="Arial" w:hAnsi="Arial"/>
                  <w:sz w:val="18"/>
                  <w:szCs w:val="18"/>
                  <w:color w:val="3051F2"/>
                  <w:w w:val="92"/>
                </w:rPr>
                <w:t>Non-Controlling Interests</w:t>
              </w:r>
            </w:hyperlink>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6">
              <w:r>
                <w:rPr>
                  <w:rFonts w:ascii="Arial" w:cs="Arial" w:eastAsia="Arial" w:hAnsi="Arial"/>
                  <w:sz w:val="18"/>
                  <w:szCs w:val="18"/>
                  <w:color w:val="3051F2"/>
                </w:rPr>
                <w:t>26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rPr>
            </w:pPr>
            <w:hyperlink w:anchor="page26">
              <w:r>
                <w:rPr>
                  <w:rFonts w:ascii="Arial" w:cs="Arial" w:eastAsia="Arial" w:hAnsi="Arial"/>
                  <w:sz w:val="18"/>
                  <w:szCs w:val="18"/>
                  <w:color w:val="3051F2"/>
                </w:rPr>
                <w:t xml:space="preserve">Note </w:t>
              </w:r>
            </w:hyperlink>
            <w:r>
              <w:rPr>
                <w:rFonts w:ascii="Arial" w:cs="Arial" w:eastAsia="Arial" w:hAnsi="Arial"/>
                <w:sz w:val="18"/>
                <w:szCs w:val="18"/>
                <w:color w:val="3051F2"/>
              </w:rPr>
              <w:t>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5"/>
          </w:tcPr>
          <w:p>
            <w:pPr>
              <w:spacing w:after="0"/>
              <w:rPr>
                <w:rFonts w:ascii="Arial" w:cs="Arial" w:eastAsia="Arial" w:hAnsi="Arial"/>
                <w:sz w:val="18"/>
                <w:szCs w:val="18"/>
                <w:color w:val="3051F2"/>
                <w:w w:val="89"/>
              </w:rPr>
            </w:pPr>
            <w:hyperlink w:anchor="page26">
              <w:r>
                <w:rPr>
                  <w:rFonts w:ascii="Arial" w:cs="Arial" w:eastAsia="Arial" w:hAnsi="Arial"/>
                  <w:sz w:val="18"/>
                  <w:szCs w:val="18"/>
                  <w:color w:val="3051F2"/>
                  <w:w w:val="89"/>
                </w:rPr>
                <w:t>Stockholders’ Equity and Stock-Based Compensation Plans</w:t>
              </w:r>
            </w:hyperlink>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7">
              <w:r>
                <w:rPr>
                  <w:rFonts w:ascii="Arial" w:cs="Arial" w:eastAsia="Arial" w:hAnsi="Arial"/>
                  <w:sz w:val="18"/>
                  <w:szCs w:val="18"/>
                  <w:color w:val="3051F2"/>
                </w:rPr>
                <w:t>27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rPr>
            </w:pPr>
            <w:hyperlink w:anchor="page27">
              <w:r>
                <w:rPr>
                  <w:rFonts w:ascii="Arial" w:cs="Arial" w:eastAsia="Arial" w:hAnsi="Arial"/>
                  <w:sz w:val="18"/>
                  <w:szCs w:val="18"/>
                  <w:color w:val="3051F2"/>
                </w:rPr>
                <w:t xml:space="preserve">Note </w:t>
              </w:r>
            </w:hyperlink>
            <w:r>
              <w:rPr>
                <w:rFonts w:ascii="Arial" w:cs="Arial" w:eastAsia="Arial" w:hAnsi="Arial"/>
                <w:sz w:val="18"/>
                <w:szCs w:val="18"/>
                <w:color w:val="3051F2"/>
              </w:rPr>
              <w:t>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rFonts w:ascii="Arial" w:cs="Arial" w:eastAsia="Arial" w:hAnsi="Arial"/>
                <w:sz w:val="18"/>
                <w:szCs w:val="18"/>
                <w:color w:val="3051F2"/>
                <w:w w:val="87"/>
              </w:rPr>
            </w:pPr>
            <w:hyperlink w:anchor="page27">
              <w:r>
                <w:rPr>
                  <w:rFonts w:ascii="Arial" w:cs="Arial" w:eastAsia="Arial" w:hAnsi="Arial"/>
                  <w:sz w:val="18"/>
                  <w:szCs w:val="18"/>
                  <w:color w:val="3051F2"/>
                  <w:w w:val="87"/>
                </w:rPr>
                <w:t>Related Party Transactions</w:t>
              </w:r>
            </w:hyperlink>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28">
              <w:r>
                <w:rPr>
                  <w:rFonts w:ascii="Arial" w:cs="Arial" w:eastAsia="Arial" w:hAnsi="Arial"/>
                  <w:sz w:val="18"/>
                  <w:szCs w:val="18"/>
                  <w:color w:val="3051F2"/>
                </w:rPr>
                <w:t>29</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28">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10</w:t>
            </w:r>
          </w:p>
        </w:tc>
        <w:tc>
          <w:tcPr>
            <w:tcW w:w="280" w:type="dxa"/>
            <w:vAlign w:val="bottom"/>
          </w:tcPr>
          <w:p>
            <w:pPr>
              <w:spacing w:after="0"/>
              <w:rPr>
                <w:sz w:val="18"/>
                <w:szCs w:val="18"/>
                <w:color w:val="auto"/>
              </w:rPr>
            </w:pPr>
          </w:p>
        </w:tc>
        <w:tc>
          <w:tcPr>
            <w:tcW w:w="2540" w:type="dxa"/>
            <w:vAlign w:val="bottom"/>
            <w:tcBorders>
              <w:bottom w:val="single" w:sz="8" w:color="3051F2"/>
            </w:tcBorders>
            <w:gridSpan w:val="13"/>
          </w:tcPr>
          <w:p>
            <w:pPr>
              <w:spacing w:after="0"/>
              <w:rPr>
                <w:rFonts w:ascii="Arial" w:cs="Arial" w:eastAsia="Arial" w:hAnsi="Arial"/>
                <w:sz w:val="18"/>
                <w:szCs w:val="18"/>
                <w:color w:val="3051F2"/>
                <w:w w:val="90"/>
              </w:rPr>
            </w:pPr>
            <w:hyperlink w:anchor="page28">
              <w:r>
                <w:rPr>
                  <w:rFonts w:ascii="Arial" w:cs="Arial" w:eastAsia="Arial" w:hAnsi="Arial"/>
                  <w:sz w:val="18"/>
                  <w:szCs w:val="18"/>
                  <w:color w:val="3051F2"/>
                  <w:w w:val="90"/>
                </w:rPr>
                <w:t>Fair Value of Financial Instruments</w:t>
              </w:r>
            </w:hyperlink>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1">
              <w:r>
                <w:rPr>
                  <w:rFonts w:ascii="Arial" w:cs="Arial" w:eastAsia="Arial" w:hAnsi="Arial"/>
                  <w:sz w:val="18"/>
                  <w:szCs w:val="18"/>
                  <w:color w:val="3051F2"/>
                </w:rPr>
                <w:t>31</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1">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rFonts w:ascii="Arial" w:cs="Arial" w:eastAsia="Arial" w:hAnsi="Arial"/>
                <w:sz w:val="18"/>
                <w:szCs w:val="18"/>
                <w:color w:val="3051F2"/>
                <w:w w:val="90"/>
              </w:rPr>
            </w:pPr>
            <w:hyperlink w:anchor="page31">
              <w:r>
                <w:rPr>
                  <w:rFonts w:ascii="Arial" w:cs="Arial" w:eastAsia="Arial" w:hAnsi="Arial"/>
                  <w:sz w:val="18"/>
                  <w:szCs w:val="18"/>
                  <w:color w:val="3051F2"/>
                  <w:w w:val="90"/>
                </w:rPr>
                <w:t>Credit Risk</w:t>
              </w:r>
            </w:hyperlink>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2">
              <w:r>
                <w:rPr>
                  <w:rFonts w:ascii="Arial" w:cs="Arial" w:eastAsia="Arial" w:hAnsi="Arial"/>
                  <w:sz w:val="18"/>
                  <w:szCs w:val="18"/>
                  <w:color w:val="3051F2"/>
                </w:rPr>
                <w:t>32</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2">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2">
              <w:r>
                <w:rPr>
                  <w:rFonts w:ascii="Arial" w:cs="Arial" w:eastAsia="Arial" w:hAnsi="Arial"/>
                  <w:sz w:val="18"/>
                  <w:szCs w:val="18"/>
                  <w:color w:val="3051F2"/>
                  <w:w w:val="89"/>
                </w:rPr>
                <w:t>Commitments and Contingencies</w:t>
              </w:r>
            </w:hyperlink>
          </w:p>
        </w:tc>
        <w:tc>
          <w:tcPr>
            <w:tcW w:w="10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3">
              <w:r>
                <w:rPr>
                  <w:rFonts w:ascii="Arial" w:cs="Arial" w:eastAsia="Arial" w:hAnsi="Arial"/>
                  <w:sz w:val="18"/>
                  <w:szCs w:val="18"/>
                  <w:color w:val="3051F2"/>
                </w:rPr>
                <w:t>33</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3">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rFonts w:ascii="Arial" w:cs="Arial" w:eastAsia="Arial" w:hAnsi="Arial"/>
                <w:sz w:val="18"/>
                <w:szCs w:val="18"/>
                <w:color w:val="3051F2"/>
                <w:w w:val="86"/>
              </w:rPr>
            </w:pPr>
            <w:hyperlink w:anchor="page33">
              <w:r>
                <w:rPr>
                  <w:rFonts w:ascii="Arial" w:cs="Arial" w:eastAsia="Arial" w:hAnsi="Arial"/>
                  <w:sz w:val="18"/>
                  <w:szCs w:val="18"/>
                  <w:color w:val="3051F2"/>
                  <w:w w:val="86"/>
                </w:rPr>
                <w:t>Earnings Per Share</w:t>
              </w:r>
            </w:hyperlink>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4">
              <w:r>
                <w:rPr>
                  <w:rFonts w:ascii="Arial" w:cs="Arial" w:eastAsia="Arial" w:hAnsi="Arial"/>
                  <w:sz w:val="18"/>
                  <w:szCs w:val="18"/>
                  <w:color w:val="3051F2"/>
                </w:rPr>
                <w:t>34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4">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14</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4">
              <w:r>
                <w:rPr>
                  <w:rFonts w:ascii="Arial" w:cs="Arial" w:eastAsia="Arial" w:hAnsi="Arial"/>
                  <w:sz w:val="18"/>
                  <w:szCs w:val="18"/>
                  <w:color w:val="3051F2"/>
                  <w:w w:val="89"/>
                </w:rPr>
                <w:t>Regulatory Capital Requirements</w:t>
              </w:r>
            </w:hyperlink>
          </w:p>
        </w:tc>
        <w:tc>
          <w:tcPr>
            <w:tcW w:w="10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4">
              <w:r>
                <w:rPr>
                  <w:rFonts w:ascii="Arial" w:cs="Arial" w:eastAsia="Arial" w:hAnsi="Arial"/>
                  <w:sz w:val="18"/>
                  <w:szCs w:val="18"/>
                  <w:color w:val="3051F2"/>
                </w:rPr>
                <w:t>35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4">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rFonts w:ascii="Arial" w:cs="Arial" w:eastAsia="Arial" w:hAnsi="Arial"/>
                <w:sz w:val="18"/>
                <w:szCs w:val="18"/>
                <w:color w:val="3051F2"/>
                <w:w w:val="89"/>
              </w:rPr>
            </w:pPr>
            <w:hyperlink w:anchor="page34">
              <w:r>
                <w:rPr>
                  <w:rFonts w:ascii="Arial" w:cs="Arial" w:eastAsia="Arial" w:hAnsi="Arial"/>
                  <w:sz w:val="18"/>
                  <w:szCs w:val="18"/>
                  <w:color w:val="3051F2"/>
                  <w:w w:val="89"/>
                </w:rPr>
                <w:t>Business Segment and Geographic Information</w:t>
              </w:r>
            </w:hyperlink>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rFonts w:ascii="Arial" w:cs="Arial" w:eastAsia="Arial" w:hAnsi="Arial"/>
                <w:sz w:val="18"/>
                <w:szCs w:val="18"/>
                <w:color w:val="3051F2"/>
              </w:rPr>
            </w:pPr>
            <w:hyperlink w:anchor="page35">
              <w:r>
                <w:rPr>
                  <w:rFonts w:ascii="Arial" w:cs="Arial" w:eastAsia="Arial" w:hAnsi="Arial"/>
                  <w:sz w:val="18"/>
                  <w:szCs w:val="18"/>
                  <w:color w:val="3051F2"/>
                </w:rPr>
                <w:t>36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3051F2"/>
                <w:w w:val="88"/>
              </w:rPr>
            </w:pPr>
            <w:hyperlink w:anchor="page35">
              <w:r>
                <w:rPr>
                  <w:rFonts w:ascii="Arial" w:cs="Arial" w:eastAsia="Arial" w:hAnsi="Arial"/>
                  <w:sz w:val="18"/>
                  <w:szCs w:val="18"/>
                  <w:color w:val="3051F2"/>
                  <w:w w:val="88"/>
                </w:rPr>
                <w:t xml:space="preserve">Note </w:t>
              </w:r>
            </w:hyperlink>
            <w:r>
              <w:rPr>
                <w:rFonts w:ascii="Arial" w:cs="Arial" w:eastAsia="Arial" w:hAnsi="Arial"/>
                <w:sz w:val="18"/>
                <w:szCs w:val="18"/>
                <w:color w:val="3051F2"/>
                <w:w w:val="88"/>
              </w:rPr>
              <w:t>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rFonts w:ascii="Arial" w:cs="Arial" w:eastAsia="Arial" w:hAnsi="Arial"/>
                <w:sz w:val="18"/>
                <w:szCs w:val="18"/>
                <w:color w:val="3051F2"/>
                <w:w w:val="85"/>
              </w:rPr>
            </w:pPr>
            <w:hyperlink w:anchor="page35">
              <w:r>
                <w:rPr>
                  <w:rFonts w:ascii="Arial" w:cs="Arial" w:eastAsia="Arial" w:hAnsi="Arial"/>
                  <w:sz w:val="18"/>
                  <w:szCs w:val="18"/>
                  <w:color w:val="3051F2"/>
                  <w:w w:val="85"/>
                </w:rPr>
                <w:t>Subsequent Events</w:t>
              </w:r>
            </w:hyperlink>
          </w:p>
        </w:tc>
        <w:tc>
          <w:tcPr>
            <w:tcW w:w="3120" w:type="dxa"/>
            <w:vAlign w:val="bottom"/>
            <w:gridSpan w:val="10"/>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direct and indirect subsidiaries, “Refinitiv”) owned an indirect majority ownership interest in the Company (as defined below).</w:t>
      </w:r>
    </w:p>
    <w:p>
      <w:pPr>
        <w:spacing w:after="0" w:line="14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4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March 31, 2022, Tradeweb Markets Inc. owns 87.2% of TWM LLC and the non-controlling interest holders own the remaining 12.8% of TWM LLC. As of December 31, 2021, Tradeweb Markets Inc. owned 86.9% of TWM LLC and the non-controlling interest holders owned the remaining 13.1% of TWM LLC.</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30" w:lineRule="exact"/>
        <w:rPr>
          <w:sz w:val="20"/>
          <w:szCs w:val="20"/>
          <w:color w:val="auto"/>
        </w:rPr>
      </w:pPr>
    </w:p>
    <w:p>
      <w:pPr>
        <w:ind w:left="660" w:right="1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as amended (the “Exchange Act”), a member of the Financial Industry Regulatory Authority (“FINRA”), a registered independent introducing broker with the Commodities Future Trading Commission (“CFTC”) and a member of the National Futures Association (“NFA”).</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Exchange Act and a member of FINRA. DW is also registered as an introducing broker with the CFTC and a member of the NFA.</w:t>
      </w:r>
    </w:p>
    <w:p>
      <w:pPr>
        <w:spacing w:after="0" w:line="14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Exchange Act and a member of FINRA.</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Access, LLC (“EA”), acquired in June 2021 in connection with the NFI Acquisition (as defined below), a registered broker-dealer under the Exchange Act and a member of FINRA.</w:t>
      </w:r>
    </w:p>
    <w:p>
      <w:pPr>
        <w:spacing w:after="0" w:line="129"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184"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a wholly-owned foreign enterprise (WOFE) for the purpose of providing consulting and marketing activities in China. The Tradeweb offshore electronic trading platform is recognized by the People’s Bank of China for the provision of Bond Connect and CIBM Direct.</w:t>
      </w:r>
    </w:p>
    <w:p>
      <w:pPr>
        <w:spacing w:after="0" w:line="14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June 2021, the Company acquired Nasdaq’s U.S. fixed income electronic trading platform, formerly known as eSpeed (the “NFI Acquisition”), which was a fully executable central order limit book (CLOB) for electronic trading in on-the-run (OTR) U.S. government bonds.</w:t>
      </w:r>
    </w:p>
    <w:p>
      <w:pPr>
        <w:spacing w:after="0" w:line="11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6 – Tax Receivable Agreement), also includes those Original LLC Owners, including certain Bank Stockholders, that disposed of all of their LLC Interests for cash in connection with the IPO.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198" w:lineRule="exact"/>
        <w:rPr>
          <w:sz w:val="20"/>
          <w:szCs w:val="20"/>
          <w:color w:val="auto"/>
        </w:rPr>
      </w:pPr>
    </w:p>
    <w:p>
      <w:pPr>
        <w:ind w:left="660" w:right="3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 investors collectively owned 107,348,079 shares of Class A common stock, representing 7.9% of the combined voting power of Tradeweb Markets Inc.’s issued and outstanding common stock and indirectly, through Tradeweb Markets Inc., owned 45.8% of the economic interest in TWM LLC;</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88.1% of the combined voting power of Tradeweb Markets Inc.’s issued and outstanding common stock and directly and indirectly, through Tradeweb Markets Inc., owned 51.2% of the economic interest in TWM LLC; and</w:t>
      </w:r>
    </w:p>
    <w:p>
      <w:pPr>
        <w:spacing w:after="0" w:line="14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Bank Stockholders that continue to own LLC Interests collectively owned 1,654,825 shares of Class C common stock and 5,220,129 shares of Class D common stock, representing 4.0% of the combined voting power of Tradeweb Markets Inc.’s issued and outstanding common stock and directly own 2.9% of the economic interest in TWM LLC. As of March 31, 2022, only Credit Suisse Securities (USA) LLC remained as Bank Stockholders.</w:t>
      </w:r>
    </w:p>
    <w:p>
      <w:pPr>
        <w:spacing w:after="0" w:line="159"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stockholders that continue to own LLC Interests also collectively owned 112,075 shares of Class D common stock, representing less than 0.1% of the combined voting power of Tradeweb Markets Inc.’s issued and outstanding common stock and directly own less than 0.1% of the economic interest in TWM LLC.</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for the three months ended March 31, 2022, the Company’s basic and diluted earnings per share calculation is impacted by 53,756 of weighted average shares resulting from unvested restricted stock units and unsettled vested performance</w:t>
      </w:r>
      <w:r>
        <w:rPr>
          <w:rFonts w:ascii="Arial" w:cs="Arial" w:eastAsia="Arial" w:hAnsi="Arial"/>
          <w:sz w:val="18"/>
          <w:szCs w:val="18"/>
          <w:b w:val="1"/>
          <w:bCs w:val="1"/>
          <w:color w:val="auto"/>
        </w:rPr>
        <w:t>-</w:t>
      </w:r>
      <w:r>
        <w:rPr>
          <w:rFonts w:ascii="Arial" w:cs="Arial" w:eastAsia="Arial" w:hAnsi="Arial"/>
          <w:sz w:val="18"/>
          <w:szCs w:val="18"/>
          <w:color w:val="auto"/>
        </w:rPr>
        <w:t>based restricted stock units that were considered participating securities for purposes of calculating earnings per share in accordance with the two</w:t>
      </w:r>
      <w:r>
        <w:rPr>
          <w:rFonts w:ascii="Arial" w:cs="Arial" w:eastAsia="Arial" w:hAnsi="Arial"/>
          <w:sz w:val="18"/>
          <w:szCs w:val="18"/>
          <w:b w:val="1"/>
          <w:bCs w:val="1"/>
          <w:color w:val="auto"/>
        </w:rPr>
        <w:t>-</w:t>
      </w:r>
      <w:r>
        <w:rPr>
          <w:rFonts w:ascii="Arial" w:cs="Arial" w:eastAsia="Arial" w:hAnsi="Arial"/>
          <w:sz w:val="18"/>
          <w:szCs w:val="18"/>
          <w:color w:val="auto"/>
        </w:rPr>
        <w:t>class method, and the Company’s diluted earnings per share calculation includes 3,435,755 weighted average shares resulting from the dilutive effect of its equity incentive plans. See Note 13 – Earnings Per Share for additional details.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2021.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24"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Transaction costs incurred to effect a business combination are expensed as incurred. During the three months ended March 31, 2022 and 2021, the Company incurred a total of none and $1.8 million, respectively in transaction costs included as a component of professional fees in the condensed consolidated statements of income. The transaction costs related to the NFI Acquisition.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11 – Credit Risk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02" w:lineRule="exact"/>
        <w:rPr>
          <w:sz w:val="20"/>
          <w:szCs w:val="20"/>
          <w:color w:val="auto"/>
        </w:rPr>
      </w:pPr>
    </w:p>
    <w:p>
      <w:pPr>
        <w:ind w:right="5580"/>
        <w:spacing w:after="0" w:line="510" w:lineRule="auto"/>
        <w:rPr>
          <w:sz w:val="20"/>
          <w:szCs w:val="20"/>
          <w:color w:val="auto"/>
        </w:rPr>
      </w:pPr>
      <w:r>
        <w:rPr>
          <w:rFonts w:ascii="Arial" w:cs="Arial" w:eastAsia="Arial" w:hAnsi="Arial"/>
          <w:sz w:val="16"/>
          <w:szCs w:val="16"/>
          <w:color w:val="auto"/>
        </w:rPr>
        <w:t xml:space="preserve">Deposits with clearing organizations are comprised of cash deposits. </w:t>
      </w:r>
      <w:r>
        <w:rPr>
          <w:rFonts w:ascii="Arial" w:cs="Arial" w:eastAsia="Arial" w:hAnsi="Arial"/>
          <w:sz w:val="16"/>
          <w:szCs w:val="16"/>
          <w:b w:val="1"/>
          <w:bCs w:val="1"/>
          <w:color w:val="auto"/>
        </w:rPr>
        <w:t>Furniture, Equipment, Purchased Software and Leasehold Improvements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March 31, 2022 and December 31, 2021, accumulated depreciation related to furniture, equipment, purchased software and leasehold improvements totaled $60.2 million and $56.0 million, respectively. Depreciation expense for furniture, equipment, purchased software and leasehold improvements was $4.7 million and $5.4 million for the three months ended March 31, 2022 and 2021,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2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March 31, 2022 and December 31, 2021, accumulated amortization related to software development costs totaled $127.4 million and $114.5 million, respectively. Amortization expense for software development costs was $12.9 million and $10.7 million for the three months ended March 31, 2022 and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2021 and no impairment of goodwill was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March 31, 2022 and December 31, 2021, accumulated amortization related to intangible assets totaled $353.8 million and $327.0 million, respectively. Amortization expense for definite-lived intangible assets was $26.8 million and $24.9 million for the three months ended March 31, 2022 and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Sold Under Agreements to Repurchase</w:t>
      </w:r>
    </w:p>
    <w:p>
      <w:pPr>
        <w:spacing w:after="0" w:line="18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twelve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IPO and follow-on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As of both March 31, 2022 and December 31, 2021,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each of the three months ended March 31, 2022 and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Company’s classification of revenues in the condensed consolidated statements of income represents revenues from contracts with customers disaggregated by type of revenue. See Note 4 – Revenue for additional details regarding revenue types and the Company’s policies regarding revenue recognition.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$0.3 million and $1.9 million during the three months ended March 31, 2022 and 2021,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 on foreign currency forward contracts totaled $0.7 million and $5.7 million during the three months ended March 31, 2022 and 2021, respectively. See Note 10 – Fair Value of Financial Instruments for additional details on the Company’s derivative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dilutive effect of stock options and other stock</w:t>
      </w:r>
      <w:r>
        <w:rPr>
          <w:rFonts w:ascii="Arial" w:cs="Arial" w:eastAsia="Arial" w:hAnsi="Arial"/>
          <w:sz w:val="16"/>
          <w:szCs w:val="16"/>
          <w:b w:val="1"/>
          <w:bCs w:val="1"/>
          <w:color w:val="auto"/>
        </w:rPr>
        <w:t>-</w:t>
      </w:r>
      <w:r>
        <w:rPr>
          <w:rFonts w:ascii="Arial" w:cs="Arial" w:eastAsia="Arial" w:hAnsi="Arial"/>
          <w:sz w:val="16"/>
          <w:szCs w:val="16"/>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8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2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10"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07" w:lineRule="exact"/>
        <w:rPr>
          <w:rFonts w:ascii="Arial" w:cs="Arial" w:eastAsia="Arial" w:hAnsi="Arial"/>
          <w:sz w:val="16"/>
          <w:szCs w:val="16"/>
          <w:color w:val="auto"/>
        </w:rPr>
      </w:pPr>
    </w:p>
    <w:p>
      <w:pPr>
        <w:ind w:left="660" w:right="440" w:hanging="328"/>
        <w:spacing w:after="0" w:line="27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19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March 31, 2022 and December 31, 2021, cash in the amount of $1.0 million has been segregated in the PAB reserve account, exceeding the requirements pursuant to SEC Rule 15c3-3.</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Some revenues earned by the Company have fixed fee components, such as monthly minimums or fixed monthly fees, and variable components, such as transaction</w:t>
      </w:r>
      <w:r>
        <w:rPr>
          <w:rFonts w:ascii="Arial" w:cs="Arial" w:eastAsia="Arial" w:hAnsi="Arial"/>
          <w:sz w:val="16"/>
          <w:szCs w:val="16"/>
          <w:b w:val="1"/>
          <w:bCs w:val="1"/>
          <w:color w:val="auto"/>
        </w:rPr>
        <w:t>-</w:t>
      </w:r>
      <w:r>
        <w:rPr>
          <w:rFonts w:ascii="Arial" w:cs="Arial" w:eastAsia="Arial" w:hAnsi="Arial"/>
          <w:sz w:val="16"/>
          <w:szCs w:val="16"/>
          <w:color w:val="auto"/>
        </w:rPr>
        <w:t>based fees. The breakdown of revenues between fixed and variable revenues for the three months ended March 31, 2022 and 2021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6"/>
              </w:rPr>
              <w:t>March 31, 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4"/>
              </w:rPr>
              <w:t>March 31, 2021</w:t>
            </w:r>
          </w:p>
        </w:tc>
        <w:tc>
          <w:tcPr>
            <w:tcW w:w="880" w:type="dxa"/>
            <w:vAlign w:val="bottom"/>
            <w:tcBorders>
              <w:bottom w:val="single" w:sz="8" w:color="auto"/>
            </w:tcBorders>
          </w:tcPr>
          <w:p>
            <w:pPr>
              <w:spacing w:after="0"/>
              <w:rPr>
                <w:sz w:val="16"/>
                <w:szCs w:val="16"/>
                <w:color w:val="auto"/>
              </w:rPr>
            </w:pPr>
          </w:p>
        </w:tc>
      </w:tr>
      <w:tr>
        <w:trPr>
          <w:trHeight w:val="190"/>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8"/>
                <w:szCs w:val="18"/>
                <w:color w:val="auto"/>
              </w:rPr>
            </w:pPr>
          </w:p>
        </w:tc>
        <w:tc>
          <w:tcPr>
            <w:tcW w:w="880" w:type="dxa"/>
            <w:vAlign w:val="bottom"/>
          </w:tcPr>
          <w:p>
            <w:pPr>
              <w:jc w:val="right"/>
              <w:ind w:right="413"/>
              <w:spacing w:after="0"/>
              <w:rPr>
                <w:sz w:val="20"/>
                <w:szCs w:val="20"/>
                <w:color w:val="auto"/>
              </w:rPr>
            </w:pPr>
            <w:r>
              <w:rPr>
                <w:rFonts w:ascii="Arial" w:cs="Arial" w:eastAsia="Arial" w:hAnsi="Arial"/>
                <w:sz w:val="14"/>
                <w:szCs w:val="14"/>
                <w:b w:val="1"/>
                <w:bCs w:val="1"/>
                <w:color w:val="auto"/>
                <w:w w:val="98"/>
              </w:rPr>
              <w:t>Fixed</w:t>
            </w:r>
          </w:p>
        </w:tc>
      </w:tr>
      <w:tr>
        <w:trPr>
          <w:trHeight w:val="25"/>
        </w:trPr>
        <w:tc>
          <w:tcPr>
            <w:tcW w:w="4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213,736</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38,069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179,667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38,149</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15,117</w:t>
            </w:r>
          </w:p>
        </w:tc>
      </w:t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214,462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93,057</w:t>
            </w:r>
          </w:p>
        </w:tc>
      </w:tr>
      <w:tr>
        <w:trPr>
          <w:trHeight w:val="21"/>
        </w:trPr>
        <w:tc>
          <w:tcPr>
            <w:tcW w:w="4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8"/>
        </w:trPr>
        <w:tc>
          <w:tcPr>
            <w:tcW w:w="4020" w:type="dxa"/>
            <w:vAlign w:val="bottom"/>
          </w:tcPr>
          <w:p>
            <w:pPr>
              <w:spacing w:after="0"/>
              <w:rPr>
                <w:sz w:val="24"/>
                <w:szCs w:val="24"/>
                <w:color w:val="auto"/>
              </w:rPr>
            </w:pP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31,722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(28,954)</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2022, the Company recognized $14.1 million in total revenue that was deferred as of December 31, 2021. During the three months ended March 31, 2021, the Company recognized $13.7 million in total revenue that was deferred as of December 31, 2020.</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the Continuing LLC Owners redeem or exchange their LLC Interests for shares of Class A common stock or Class B common stock, as applicable, or the Corporation purchases LLC Interests from the Continuing LLC Owners.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consolidated effective tax rate will also vary from period to period depending on changes in the mix of earnings, tax legislation and tax rates in various jurisdictions.</w:t>
      </w:r>
    </w:p>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three months ended March 31, 2022 and 2021 was approximately 12.3% and 16.6%, respectively.</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effective tax rate for the three months ended March 31, 2022 differed from the U.S. federal statutory rate of 21.0% primarily due to the tax impact of the exercise of equity compensation, return-to-provision adjustments and the effect of non-controlling interests, partially offset by state, local and foreign taxes. The effective tax rate for the three months ended March 31, 2021 differed from the U.S. federal statutory rate of 21.0% primarily due to the effect of non-controlling interests and the tax impact of the exercise of equity compensation, partially offset by state, local and foreign taxes.</w:t>
      </w:r>
    </w:p>
    <w:p>
      <w:pPr>
        <w:spacing w:after="0" w:line="13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 of financial condition.</w:t>
      </w:r>
    </w:p>
    <w:p>
      <w:pPr>
        <w:spacing w:after="0" w:line="13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connection with the completion of the Reorganization Transactions,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through 2015 and is appealing a tax assessment from an audit by the State of New Jersey for the tax years 2008 through 2011. As of both March 31, 2022 and December 31, 2021, the tax liability related to the Refinitiv Contribution was $2.7 million and is included within accounts payable, accrued expenses and other liabilities on the condensed consolidated statement of financial condition. The Company is indemnified by Refinitiv for these tax liabilities that were assumed by the Company as a result of the Refinitiv Contribution. As of both March 31, 2022 and December 31, 2021, $2.7 million is included in other assets on the condensed consolidated statements of financial condition related to this related party indemnification.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Tax Receivable Agreement</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 of income in the period in which the change occurs. As of March 31, 2022 and December 31, 2021, the tax receivable agreement liability on the condensed consolidated statements of financial condition totaled $409.1 million and $412.4 million, respectively. During each of the three months ended March 31, 2022 and 2021, no tax receivable agreement liability adjustment was reflected in the condensed consolidated statements of income.</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Non-Controlling Interests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980" w:type="dxa"/>
            <w:vAlign w:val="bottom"/>
            <w:gridSpan w:val="4"/>
          </w:tcPr>
          <w:p>
            <w:pPr>
              <w:ind w:left="960"/>
              <w:spacing w:after="0"/>
              <w:rPr>
                <w:sz w:val="20"/>
                <w:szCs w:val="20"/>
                <w:color w:val="auto"/>
              </w:rPr>
            </w:pPr>
            <w:r>
              <w:rPr>
                <w:rFonts w:ascii="Arial" w:cs="Arial" w:eastAsia="Arial" w:hAnsi="Arial"/>
                <w:sz w:val="14"/>
                <w:szCs w:val="14"/>
                <w:b w:val="1"/>
                <w:bCs w:val="1"/>
                <w:color w:val="auto"/>
              </w:rPr>
              <w:t>March 31, 2022</w:t>
            </w:r>
          </w:p>
        </w:tc>
        <w:tc>
          <w:tcPr>
            <w:tcW w:w="2900" w:type="dxa"/>
            <w:vAlign w:val="bottom"/>
            <w:gridSpan w:val="3"/>
          </w:tcPr>
          <w:p>
            <w:pPr>
              <w:jc w:val="right"/>
              <w:ind w:right="897"/>
              <w:spacing w:after="0"/>
              <w:rPr>
                <w:sz w:val="20"/>
                <w:szCs w:val="20"/>
                <w:color w:val="auto"/>
              </w:rPr>
            </w:pPr>
            <w:r>
              <w:rPr>
                <w:rFonts w:ascii="Arial" w:cs="Arial" w:eastAsia="Arial" w:hAnsi="Arial"/>
                <w:sz w:val="14"/>
                <w:szCs w:val="14"/>
                <w:b w:val="1"/>
                <w:bCs w:val="1"/>
                <w:color w:val="auto"/>
              </w:rPr>
              <w:t>March 31, 2021</w:t>
            </w:r>
          </w:p>
        </w:tc>
      </w:tr>
      <w:tr>
        <w:trPr>
          <w:trHeight w:val="134"/>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Ownership</w:t>
            </w:r>
          </w:p>
        </w:tc>
      </w:tr>
      <w:tr>
        <w:trPr>
          <w:trHeight w:val="188"/>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204,281,271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201,576,471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29,975,358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30,531,933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234,256,629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232,108,404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22"/>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Increase/(decrease) in Tradeweb Markets Inc.’s additional paid-in capital as a result of ownership changes in</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80,665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TWM LLC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Change from net income attributable to Tradeweb Markets Inc. and transfers (to) from non-controlling interests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148,524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2021 and there have been no changes to those rights and privileges during the three months ended March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RSUs and PRSUs each represent promises to issue actual shares of Class A common stock at the end of a vesting period. Stock options have a maximum contractual term of 10 years.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16, 2022, the Company announced that Mr. Olesky will retire as Chief Executive Officer (“CEO”) of the Company, effective December 31, 2022. On February 11, 2022, the board of directors elected the Company’s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beginning of Mr. Olesky’s six month notice period under the Company’s 2019 Omnibus Equity Incentive Plan, there was approximately $6.7 million in total unamortized stock-based compensation associated with equity awards previously granted to Mr. Olesky plus $5.0 million in unamortized stock-based compensation awards granted to Mr. Olesky during 2022 that will both be accelerated and amortized into expense over a revised estimated service period ending on August 11, 2022, the date that ends such six month notice period.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Total amortization amounts disclosed are based on a 100% multiplier achieved for the 2022 PRSUs and are subject to adjustment, up or down, in an amount up to $2.1 million, based on the final performance multiplier achieved for the year ending December 31, 2022. During the three months ended March 31, 2022, the Company incurred a total of $1.7 million in CEO Retirement Accelerated Stock-Based Compensation Expense.</w:t>
      </w:r>
    </w:p>
    <w:p>
      <w:pPr>
        <w:spacing w:after="0" w:line="14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three months ended March 31, 2022, the Company granted 395,429 RSUs and 249,292 PRSUs at a weighted-average grant-date fair value of $83.79 and $83.74, respectively. These RSU awards granted to employees will vest one-third each year over a three-year period, and RSU awards granted to non-employee directors will vest after one year. These PRSUs vest at the end of a three-year cliff vesting period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Company’s total stock-based compensation expense, including expense associated with the CEO Retirement Accelerated Stock-Based Compensation Expense, is presented below:</w:t>
      </w:r>
    </w:p>
    <w:p>
      <w:pPr>
        <w:spacing w:after="0" w:line="17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8980"/>
        <w:spacing w:after="0"/>
        <w:tabs>
          <w:tab w:leader="none" w:pos="10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440" w:val="left"/>
          <w:tab w:leader="none" w:pos="9200" w:val="left"/>
          <w:tab w:leader="none" w:pos="9880" w:val="left"/>
          <w:tab w:leader="none" w:pos="10660" w:val="left"/>
        </w:tabs>
        <w:rPr>
          <w:sz w:val="20"/>
          <w:szCs w:val="20"/>
          <w:color w:val="auto"/>
        </w:rPr>
      </w:pPr>
      <w:r>
        <w:rPr>
          <w:rFonts w:ascii="Arial" w:cs="Arial" w:eastAsia="Arial" w:hAnsi="Arial"/>
          <w:sz w:val="18"/>
          <w:szCs w:val="18"/>
          <w:color w:val="auto"/>
        </w:rPr>
        <w:t>Total 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13,712</w:t>
        <w:tab/>
        <w:t>$</w:t>
      </w:r>
      <w:r>
        <w:rPr>
          <w:sz w:val="20"/>
          <w:szCs w:val="20"/>
          <w:color w:val="auto"/>
        </w:rPr>
        <w:tab/>
      </w:r>
      <w:r>
        <w:rPr>
          <w:rFonts w:ascii="Arial" w:cs="Arial" w:eastAsia="Arial" w:hAnsi="Arial"/>
          <w:sz w:val="15"/>
          <w:szCs w:val="15"/>
          <w:color w:val="auto"/>
        </w:rPr>
        <w:t>10,760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February 4, 2021, the Company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the Company’s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began purchasing shares pursuant to the Share Repurchase Program during the second quarter of 2021. During the three months ended March 31, 2022, the Company acquired a total of 559,428 shares of Class A common stock, at an average price of $84.59, for purchases totaling $47.3 million.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 Subsequent to their repurchase, the shares of Class A common stock and the LLC Interests were all cancelled and retired. As of March 31, 2022, a total of $27.0 million remained available for repurchase pursuant to the Share Repurchase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18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three months ended March 31, 2022 and 2021, the Company withheld 985,959 and 696,847 shares, respectively, of common stock from employee stock option, PRSU and RSU awards, at an average price per share of $97.13 and $65.24, respectively, and an aggregate value of $95.8 million and $45.5 million, respectively, based on the price of the Class A common stock on the date the relevant withholding occurred.</w:t>
      </w:r>
    </w:p>
    <w:p>
      <w:pPr>
        <w:spacing w:after="0" w:line="1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March 31, 2022 and December 31, 2021, the following balances with such affiliates were included in the condensed consolidated statements of financial condition in the following line items: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3"/>
        </w:trPr>
        <w:tc>
          <w:tcPr>
            <w:tcW w:w="48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3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7,767</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890"/>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18"/>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8"/>
                <w:szCs w:val="18"/>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844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8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w:t>
            </w:r>
          </w:p>
        </w:tc>
      </w:tr>
      <w:tr>
        <w:trPr>
          <w:trHeight w:val="270"/>
        </w:trPr>
        <w:tc>
          <w:tcPr>
            <w:tcW w:w="844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Expenses:</w:t>
            </w:r>
            <w:r>
              <w:rPr>
                <w:rFonts w:ascii="Arial" w:cs="Arial" w:eastAsia="Arial" w:hAnsi="Arial"/>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ind w:left="340" w:right="180" w:hanging="332"/>
        <w:spacing w:after="0" w:line="250"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w:t>
      </w:r>
    </w:p>
    <w:p>
      <w:pPr>
        <w:spacing w:after="0" w:line="2"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March 31, 2022 and December 31, 2021, $2.0 million related to these offering costs, is included as a component of the additional paid-in capital balance on the condensed consolidated statements of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of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As of March 31, 2022</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534,341</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534,341</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534,341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536,663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2021</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654,553</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657,572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March 31, 2022 and December 31, 2021, the counterparty on each of the foreign currency forward contracts was an affiliate of Refinitiv and therefore the corresponding receivables and liabilities on such contracts were included in receivable from affiliates and payable to affiliates on the accompanying condensed consolidated statements of financial condition.</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r>
      <w:tr>
        <w:trPr>
          <w:trHeight w:val="223"/>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171,218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146,202</w:t>
            </w:r>
          </w:p>
        </w:tc>
      </w:tr>
    </w:tbl>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condensed consolidated statements of income are as follows:</w:t>
      </w:r>
    </w:p>
    <w:p>
      <w:pPr>
        <w:spacing w:after="0" w:line="17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tabs>
          <w:tab w:leader="none" w:pos="8440" w:val="left"/>
          <w:tab w:leader="none" w:pos="9440" w:val="left"/>
          <w:tab w:leader="none" w:pos="9880" w:val="left"/>
          <w:tab w:leader="none" w:pos="10740" w:val="left"/>
        </w:tabs>
        <w:rPr>
          <w:sz w:val="20"/>
          <w:szCs w:val="20"/>
          <w:color w:val="auto"/>
        </w:rPr>
      </w:pPr>
      <w:r>
        <w:rPr>
          <w:rFonts w:ascii="Arial" w:cs="Arial" w:eastAsia="Arial" w:hAnsi="Arial"/>
          <w:sz w:val="18"/>
          <w:szCs w:val="18"/>
          <w:color w:val="auto"/>
        </w:rPr>
        <w:t>Foreign currency forward contracts not designated in accounting hedge relationship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682</w:t>
        <w:tab/>
        <w:t>$</w:t>
      </w:r>
      <w:r>
        <w:rPr>
          <w:sz w:val="20"/>
          <w:szCs w:val="20"/>
          <w:color w:val="auto"/>
        </w:rPr>
        <w:tab/>
      </w:r>
      <w:r>
        <w:rPr>
          <w:rFonts w:ascii="Arial" w:cs="Arial" w:eastAsia="Arial" w:hAnsi="Arial"/>
          <w:sz w:val="15"/>
          <w:szCs w:val="15"/>
          <w:color w:val="auto"/>
        </w:rPr>
        <w:t>5,698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not measured at fair value on the condensed consolidated statements of financial condition as of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March 31, 2022</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294,720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294,720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294,720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35,466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588,645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Securities sold under agreements to repurchase</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70,512</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right="80" w:hanging="332"/>
        <w:spacing w:after="0" w:line="257"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March 31, 2022, treasury securities with a fair value of $20.5 million collateralized the securities sold under agreements to repurchase liability. The underlying repurchase agreements were executed in accordance with a master netting arrangement and the liability amount presented represents the gross liability and is not offset on the condensed consolidated statement of financial condition. The securities sold under agreements to repurchase liability was subsequently settled on April 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Included in other assets on the condensed consolidated statements of financial condition are equity investments without readily determinable fair values of $21.1 million as of both March 31, 2022 and December 31, 2021, respectively. There were no impairments or adjustments to the carrying value of equity investments without readily determinable fair values during each of the three months ended March 31, 2022 and 2021 and no adjustments to the original cost basis have been made to the carrying value over the life of the instruments.</w:t>
      </w:r>
    </w:p>
    <w:p>
      <w:pPr>
        <w:spacing w:after="0" w:line="167"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3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 The Company has evaluated its loss assumptions as a result of the COVID-19 pandemic and determined the current estimate of expected credit losses remains reasonable due to continued strong collections and no deterioration in the accounts receivable aging.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9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of March 31, 2022 and December 31, 2021, the Company maintained an allowance for credit losses with regard to these receivables of $0.1 million and $0.3 million, respectively. There was no credit loss expense recognized for each of the three months ended March 31, 2022 and 2021 and recoveries resulted in a reversal of credit loss expense totaling $0.1 million and $0.1 million for the three months ended March 31, 2022 and 2021, respectively.</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0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to dismiss in full and dismissed all of the claims in the amended complaint. The Court also denied the plaintiffs’ request for leave to file a further amended complaint. On April 28, 2022, the Plaintiffs filed a Notice of Appeal of the decision. The Company intends to vigorously defend the District Court’s decision on appeal and assert its meritorious defenses to the allegations.</w:t>
      </w:r>
    </w:p>
    <w:p>
      <w:pPr>
        <w:spacing w:after="0" w:line="15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2022 and December 31, 2021, there were $0.5 million in letters of credit issued under the Revolving Credit Facility and no borrowings outstanding.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March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11,187</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Earnings Per Share</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calculations of basic and diluted earnings per outstanding share of Class A and Class B common stock for Tradeweb Markets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70"/>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0"/>
              </w:rPr>
              <w:t>(in thousands, except share and per share</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91"/>
              </w:rPr>
              <w:t>amounts)</w:t>
            </w:r>
          </w:p>
        </w:tc>
        <w:tc>
          <w:tcPr>
            <w:tcW w:w="1020" w:type="dxa"/>
            <w:vAlign w:val="bottom"/>
          </w:tcPr>
          <w:p>
            <w:pPr>
              <w:spacing w:after="0"/>
              <w:rPr>
                <w:sz w:val="16"/>
                <w:szCs w:val="16"/>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1"/>
              </w:rPr>
              <w:t>Numerator:</w:t>
            </w:r>
          </w:p>
        </w:tc>
        <w:tc>
          <w:tcPr>
            <w:tcW w:w="75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82,965</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67,859</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Less: Distributed and undistributed earnings allocated to unvested RSUs and unsettled vested PRSUs </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Net income attributable to outstanding shares of Class A and Class B common stock -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42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Basic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204,061,347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199,064,607</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Arial" w:cs="Arial" w:eastAsia="Arial" w:hAnsi="Arial"/>
                <w:sz w:val="18"/>
                <w:szCs w:val="18"/>
                <w:color w:val="auto"/>
              </w:rPr>
              <w:t>Dilutive effect of PRSUs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770,765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1,832,308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3,851,594</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Diluted</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207,497,102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205,028,717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 - Diluted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480" w:hanging="332"/>
        <w:spacing w:after="0" w:line="273"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three months ended March 31, 2022 and 2021, there was a total of 53,756 and none, respectively, weighted average unvested RSUs and unsettled vested PRSUs that were considered a participating security for purposes of calculating earnings per share in accordance with the two-class method.</w:t>
      </w:r>
    </w:p>
    <w:p>
      <w:pPr>
        <w:spacing w:after="0" w:line="13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PRSUs</w:t>
            </w:r>
          </w:p>
        </w:tc>
        <w:tc>
          <w:tcPr>
            <w:tcW w:w="69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gridSpan w:val="3"/>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77,692</w:t>
            </w:r>
          </w:p>
        </w:tc>
      </w:tr>
      <w:tr>
        <w:trPr>
          <w:trHeight w:val="270"/>
        </w:trPr>
        <w:tc>
          <w:tcPr>
            <w:tcW w:w="2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61,260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60,315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30,296,879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31,214,407</w:t>
            </w:r>
          </w:p>
        </w:tc>
      </w:tr>
    </w:tbl>
    <w:p>
      <w:pPr>
        <w:spacing w:after="0" w:line="25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Regulatory Capital Requirements</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Exchange Act. TEL and TESL are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2022 and December 31, 2021, the regulatory capital requirements and regulatory capital for TWL, DW, TWD, TEL, TWJ, TWEU, TESL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TWJ</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TWEU</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TESL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w:t>
            </w:r>
          </w:p>
        </w:tc>
      </w:tr>
      <w:tr>
        <w:trPr>
          <w:trHeight w:val="223"/>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207,496</w:t>
            </w:r>
          </w:p>
        </w:tc>
      </w:tr>
      <w:tr>
        <w:trPr>
          <w:trHeight w:val="230"/>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8"/>
              </w:rPr>
              <w:t>Regulatory Capital Requirement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207,351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TWJ</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TWEU</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TESL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w:t>
            </w:r>
          </w:p>
        </w:tc>
      </w:tr>
      <w:tr>
        <w:trPr>
          <w:trHeight w:val="223"/>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212,572</w:t>
            </w:r>
          </w:p>
        </w:tc>
      </w:tr>
      <w:tr>
        <w:trPr>
          <w:trHeight w:val="229"/>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8"/>
              </w:rPr>
              <w:t>Regulatory Capital Requirement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212,494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March 31, 2022 and December 31, 2021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As of March 31, 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r>
      <w:tr>
        <w:trPr>
          <w:trHeight w:val="190"/>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25"/>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98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18"/>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8"/>
                <w:szCs w:val="18"/>
                <w:color w:val="auto"/>
              </w:rPr>
            </w:pPr>
          </w:p>
        </w:tc>
      </w:tr>
      <w:tr>
        <w:trPr>
          <w:trHeight w:val="25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197,210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175,324</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18,713</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311,486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273,399</w:t>
            </w: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199,884</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98,327</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18"/>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8"/>
                <w:szCs w:val="18"/>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190,293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167,736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5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U.S.</w:t>
            </w:r>
          </w:p>
        </w:tc>
        <w:tc>
          <w:tcPr>
            <w:tcW w:w="5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4,134,498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4,152,186</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5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5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4,168,034</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April 27, 2022, the board of directors of Tradeweb Markets Inc. declared a cash dividend of $0.08 per share of Class A common stock and Class B common stock for the second quarter of 2022. This dividend will be payable on June 15, 2022 to stockholders of record as of June 1, 2022.</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26, 2022, Tradeweb Markets Inc., as the sole manager, approved a distribution by TWM LLC to its equityholders, including Tradeweb Markets Inc., in an aggregate amount of $20.1 million, as adjusted by required state and local tax withholdings that will be determined prior to the record date of June 1, 2022, payable on June 13, 2022.</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the section titled “Item 1A. Risk Factors” in Part I of the 2021 Form 10-K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5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Our institutional client sector serves institutional investors in over 45 markets across over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0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February 16, 2022, we announced that Mr. Lee Olesky will retire as Chief Executive Officer (“CEO”) of the Company, effective December 31, 2022. On February 11, 2022, the board of directors elected our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the beginning of Mr. Olesky’s six month notice period under our 2019 Omnibus Equity Incentive Plan, there was approximately $6.7 million in total unamortized stock-based compensation associated with equity awards previously granted to Mr. Olesky plus $5.0 million in unamortized stock-based compensation awards granted to Mr. Olesky during 2022 that will both be accelerated and amortized into expense over a revised estimated service period ending on August 11, 2022, the date that ends such six month notice period.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that will be excluded from our non-GAAP measures of Adjusted EBITDA and Adjusted Net Income when it is recorded as expense. Total amortization amounts disclosed are based on a 100% multiplier achieved for the 2022 performance-based restricted stock units and are subject to adjustment, up or down, in an amount up to $2.1 million, based on the final performance multiplier achieved for the year ending December 31, 2022. See “—Non-GAAP Financial Measures” below for further details. During the three months ended March 31, 2022, we incurred a total of $1.7 million in CEO Retirement Accelerated Stock-Based Compensation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Our successful transition to remote work, beginning over two years ago, reflected our commitment to keeping employees safe, helping clients succeed and playing a positive role in markets. Those same priorities guide our approach to our robust and safe return to the office. Beginning in June 2021, many roles within Tradeweb had transitioned to a hybrid approach in our return to the office plans. Our creative and flexible return to the office plans aim to keep driving our business forward and allow safe collaboration and positive team dynamics. We will continue to monitor the impact of COVID-19, including any related variants, and will adjust our plans accordingly.</w:t>
      </w:r>
    </w:p>
    <w:p>
      <w:pPr>
        <w:spacing w:after="0" w:line="13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are determined to minimize any future disruptive impact of COVID-19 on our business.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spread of various COVID-19 variants,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2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the COVID-19 pandemic continues to evolve, it may also have the effect of heightening many of the risks described in “Item 1A. Risk Factors” in Part I of our 2021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2022 include, among other things, evolving global monetary policies of central banks, economic, political and social conditions, and legislative, regulatory or government policy changes, including related to COVID-19.</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President Biden’s administration and its priorities. The impact of any reform efforts on us and our operations remains uncertain. For example,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as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8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98" w:lineRule="exact"/>
        <w:rPr>
          <w:sz w:val="20"/>
          <w:szCs w:val="20"/>
          <w:color w:val="auto"/>
        </w:rPr>
      </w:pPr>
    </w:p>
    <w:p>
      <w:pPr>
        <w:ind w:right="760"/>
        <w:spacing w:after="0" w:line="453" w:lineRule="auto"/>
        <w:rPr>
          <w:sz w:val="20"/>
          <w:szCs w:val="20"/>
          <w:color w:val="auto"/>
        </w:rPr>
      </w:pPr>
      <w:r>
        <w:rPr>
          <w:rFonts w:ascii="Arial" w:cs="Arial" w:eastAsia="Arial" w:hAnsi="Arial"/>
          <w:sz w:val="18"/>
          <w:szCs w:val="18"/>
          <w:color w:val="auto"/>
        </w:rPr>
        <w:t xml:space="preserve">Occupancy expense consists of operating lease rent and related costs for office space and data centers leased in North America, Europe and Asia. </w:t>
      </w:r>
      <w:r>
        <w:rPr>
          <w:rFonts w:ascii="Arial" w:cs="Arial" w:eastAsia="Arial" w:hAnsi="Arial"/>
          <w:sz w:val="18"/>
          <w:szCs w:val="18"/>
          <w:b w:val="1"/>
          <w:bCs w:val="1"/>
          <w:i w:val="1"/>
          <w:iCs w:val="1"/>
          <w:color w:val="auto"/>
        </w:rPr>
        <w:t>Tax Receivable Agreement Liability Adjustment</w:t>
      </w:r>
    </w:p>
    <w:p>
      <w:pPr>
        <w:spacing w:after="0" w:line="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months ended March 31, 2022 and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March 31, 2022, we owned 87.2% of TWM LLC and the Continuing LLC Owners owned the remaining 12.8% of TWM LLC.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March 31, 2022 and Three Months Ended March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March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14.2 %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March 31, 2022 and 2021,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90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44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251,805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80.8 %</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217,816</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79.7 %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33,989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57,013</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52,985</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Subscription fees for the three months ended March 31, 2022 and 2021 include $15.6 million and $15.1 million, respectively, of Refinitiv market data fees.</w:t>
      </w:r>
    </w:p>
    <w:p>
      <w:pPr>
        <w:spacing w:after="0" w:line="13" w:lineRule="exact"/>
        <w:rPr>
          <w:rFonts w:ascii="Arial" w:cs="Arial" w:eastAsia="Arial" w:hAnsi="Arial"/>
          <w:sz w:val="14"/>
          <w:szCs w:val="14"/>
          <w:color w:val="auto"/>
        </w:rPr>
      </w:pPr>
    </w:p>
    <w:p>
      <w:pPr>
        <w:ind w:left="340" w:right="200" w:hanging="332"/>
        <w:spacing w:after="0" w:line="271" w:lineRule="auto"/>
        <w:tabs>
          <w:tab w:leader="none" w:pos="332"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2021.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primary driver of the $38.1 million increase in revenue is related to a $34.0 million increase in transaction fees and commissions to $251.8 million for the three months ended March 31, 2022 from $217.8 million for the three months ended March 31, 2021, primarily due to increased volumes and fees from rates derivatives products, U.S. corporate bonds and U.S. government bonds.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March 31, 2022 and 2021, and the resulting dollar and percentage changes,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160,339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142,929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40.7 %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13.9 %</w:t>
            </w: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85"/>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March 31, 2022 and 2021,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8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rPr>
              <w:t>Variable</w:t>
            </w: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103,389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89,651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53,278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180,342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March 31, 2022 and 2021, and the resulting percentage changes, are summarized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3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748,535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46,591,564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40,940,635</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387,494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24,059,807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23,169,513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17,771,122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210,550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13,143,966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11,262,405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6,508,716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2,068,259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1,666,133</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632,811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1,033,323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995,672</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556,282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439,390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371,753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23,118,472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21,474,112</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1,174,950</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73,112,661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1,058,992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65,076,553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060" w:type="dxa"/>
            <w:vAlign w:val="bottom"/>
            <w:vMerge w:val="continue"/>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1,024,460</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63,724,870</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953,603</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58,567,837</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10.9 %</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7.4 %</w:t>
      </w:r>
    </w:p>
    <w:p>
      <w:pPr>
        <w:spacing w:after="0" w:line="800" w:lineRule="exact"/>
        <w:rPr>
          <w:sz w:val="20"/>
          <w:szCs w:val="20"/>
          <w:color w:val="auto"/>
        </w:rPr>
      </w:pPr>
    </w:p>
    <w:p>
      <w:pPr>
        <w:sectPr>
          <w:pgSz w:w="11900" w:h="16838" w:orient="portrait"/>
          <w:cols w:equalWidth="0" w:num="2">
            <w:col w:w="10520" w:space="160"/>
            <w:col w:w="560"/>
          </w:cols>
          <w:pgMar w:left="320" w:top="125" w:right="339"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March 31, 2022 and 2021 are summarized below. There are four potential drivers of quarterly fluctuations in our average variable fees per million: (1) volume discounts, (2) the mix and duration of cash and derivatives products traded, (3) the mix of protocols underpinning cash and derivatives products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30"/>
        </w:trPr>
        <w:tc>
          <w:tcPr>
            <w:tcW w:w="54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147.49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12.8 %</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0.7 %</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 per Million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r>
      <w:tr>
        <w:trPr>
          <w:trHeight w:val="30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Fees per Million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9.2 %</w:t>
            </w:r>
          </w:p>
        </w:tc>
      </w:tr>
    </w:tbl>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$17.4 million or 12.2% to $160.3 million for the three months ended March 31, 2022 compared to $142.9 million for the three months ended March 31, 2021 primarily due to variable transaction fees and commissions earned on higher trading volumes for rates derivatives products and U.S. and European government bonds.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Average variable fees per million for rates increased due to growth of U.S. government bonds which have a higher variable fee capture compared to overall rates.</w:t>
      </w:r>
    </w:p>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$12.0 million or 16.1% to $86.3 million for the three months ended March 31, 2022 compared to $74.4 million for the three months ended March 31, 2021 primarily due to variable transaction fees and commissions on higher trading volumes for U.S. corporate bonds and credit derivatives products.</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Average variable fees per million for credit decreased due to relative product mix, with stronger volume growth in lower fee per million credit derivatives and electronically processed trades.</w:t>
      </w:r>
    </w:p>
    <w:p>
      <w:pPr>
        <w:spacing w:after="0" w:line="13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$7.7 million or 40.7% to $26.5 million for the three months ended March 31, 2022 compared to $18.9 million for the three months ended March 31, 2021 primarily due to variable transaction fees and commissions on higher trading volumes for U.S. and European ETFs.</w:t>
      </w:r>
    </w:p>
    <w:p>
      <w:pPr>
        <w:spacing w:after="0" w:line="1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Average variable fees per million for equities increased due to higher growth in U.S. ETFs and convertibles, which have a higher variable fee capture compared to overall equities.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$0.7 million or 6.5% to $11.5 million for the three months ended March 31, 2022 compared to $10.8 million for the three months ended March 31, 2021 primarily due to variable transaction fees and commissions on higher trading volumes for repurchase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Average variable fees per million for money markets was relatively flat for the three months ended March 31, 2021.</w:t>
      </w:r>
    </w:p>
    <w:p>
      <w:pPr>
        <w:spacing w:after="0" w:line="18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$1.4 million or 7.0% to $21.4 million for the three months ended March 31, 2022 compared to $20.0 million for the three months ended March 31, 2021. The increase was derived primarily from increased third party market data fees, Refinitiv market data fees and revenue from our APA reporting service.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Revenues from our other asset class decreased by $1.0 million or 16.2%, to $5.4 million for the three months ended March 31, 2022 compared to</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$6.5 million for the three months ended March 31, 2021. The decrease was driven primarily by lower fees from software development and implementation projects performed on behalf of certain retail clients.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March 31, 2022 and 2021,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197,210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175,324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13.9 %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$21.9 million or 12.5% to $197.2 million for the three months ended March 31, 2022 from $175.3 million for the three months ended March 31, 2021. The increase was derived primarily from increased volumes for rates derivatives products, U.S. and European ETFs and credit derivatives products.</w:t>
      </w:r>
    </w:p>
    <w:p>
      <w:pPr>
        <w:spacing w:after="0" w:line="14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$13.5 million or 22.8% to $72.9 million for the three months ended March 31, 2022 from $59.4 million for the three months ended March 31, 2021. The increase was derived primarily from increased volumes for U.S. government bonds and U.S. corporate bonds.</w:t>
      </w:r>
    </w:p>
    <w:p>
      <w:pPr>
        <w:spacing w:after="0" w:line="15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u w:val="single" w:color="auto"/>
          <w:color w:val="auto"/>
        </w:rPr>
        <w:t>Retail</w:t>
      </w:r>
      <w:r>
        <w:rPr>
          <w:rFonts w:ascii="Arial" w:cs="Arial" w:eastAsia="Arial" w:hAnsi="Arial"/>
          <w:sz w:val="16"/>
          <w:szCs w:val="16"/>
          <w:color w:val="auto"/>
        </w:rPr>
        <w:t>. Revenues from our retail client sector increased by $1.3 million or 6.7% to $20.0 million for the three months ended March 31, 2022 from $18.7 million for the three months ended March 31, 2021. The increase was derived primarily from increased volumes for municipals and U.S. corporate bonds.</w:t>
      </w:r>
    </w:p>
    <w:p>
      <w:pPr>
        <w:spacing w:after="0" w:line="8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$1.4 million or 7.0% to $21.4 million for the three months ended March 31, 2022 from $20.0 million for the three months ended March 31, 2021. The increase was derived primarily from increased third party market data fees, Refinitiv market data fees and revenue from our APA reporting service.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client base are also diversified by geography. Our total revenue by geography (based on client location)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and the resulting dollar and percentage changes,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190,293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167,736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13.9 %</w:t>
            </w: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$22.6 million or 13.4% to $190.3 million for the three months ended March 31, 2022 from $167.7 million for the three months ended March 31, 2021 primarily due to higher revenues for U.S. government bonds, U.S. corporate bonds, U.S. ETFs and rates derivatives products.</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$15.5 million or 14.7% to $121.2 million for the three months ended March 31, 2022 from $105.7 million for the three months ended March 31, 2021 primarily due to higher revenues for rates derivatives products, European ETFs and credit derivatives products. Fluctuations in foreign currency rates for the three months ended March 31, 2022 decreased our International total revenue by $4.6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March 31, 2022 and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198.1 %</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Expenses related to employee compensation and benefits increased by $14.4 million or 13.9% to $118.0 million for the three months ended March 31, 2022 from $103.6 million for the three months ended March 31, 2021. The increase was primarily due to increases in incentive compensation expense tied to our operating performance and an increase in salaries and benefits as a result of increased employee headcount. During the three months ended March 31, 2022, we also incurred a total of $1.7 million in stock-based compensation expense relating to the CEO Retirement Accelerated Stock-Based Compensation Expense. See “— Trends and Other Factors Impacting Our Performance — CEO Transition.”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Expenses related to depreciation and amortization increased by $3.5 million or 8.5% to $44.5 million for the three months ended March 31, 2022 from $41.0 million for the three months ended March 31, 2021. The increase in depreciation and amortization expense was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to the condensed consolidated financial statements included elsewhere in this Quarterly Report on Form 10-Q for details). Assets which may have been fully depreciated or amortized prior to the application of pushdown accounting are still being depreciated or amortized in these periods.</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Expenses related to technology and communications increased by $2.2 million or 16.5% to $15.8 million for the three months ended March 31, 2022 from $13.5 million for the three months ended March 31, 2021. The increase was primarily due to increased clearing, data and client service fees driven primarily by higher trading volumes period over period.</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Expenses related to general and administrative costs increased by $6.9 million or 198.1% to $10.3 million for the three months ended March 31, 2022 from $3.5 million for the three months ended March 31, 2021. The increase was primarily the result of a $3.4 million decrease in foreign exchange gains during the three months ended March 31, 2022. Realized and unrealized foreign currency gains totaled $0.4 million during the three months ended March 31, 2022 as compared to $3.8 million in gains during three months ended March 31, 2021. The change was primarily driven by changes in fair value of our foreign currency forward contracts used in connection with our foreign currency risk management program. Other contributing factors included higher travel and entertainment expenses, as the COVID-19 pandemic contributed to a reduction in expenses during 2021, as well as higher marketing expenses during the three months ended March 31, 2022.</w:t>
      </w:r>
    </w:p>
    <w:p>
      <w:pPr>
        <w:spacing w:after="0" w:line="13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Expenses related to professional fees decreased by $1.9 million or 19.2% to $7.9 million for the three months ended March 31, 2022 from $9.7 million for the three months ended March 31, 2021. The decrease was primarily due to acquisition transaction costs related to the NFI Acquisition during the three months ended March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decreased by $0.3 million or 6.8% to $3.5 million for the three months ended March 31, 2022 from $3.8 million for the three months ended March 31, 2021. The decrease was primarily due to lower office rent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interest expense remained relatively flat at $0.4 million for the three months ended March 31, 2022 as compared to $0.5 million for the three months ended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Income tax expense decreased by $2.6 million to $13.7 million for the three months ended March 31, 2022 from $16.3 million for the three months ended March 31, 2021. The provision for income taxes includes U.S. federal, state, local and foreign taxes. The effective tax rate for the three months ended March 31, 2022 was approximately 12.3%, compared with 16.6% for the three months ended March 31, 2021. The effective tax rate for the three months ended March 31, 2022 differed from the U.S. federal statutory rate of 21.0% primarily due to the tax impact of the exercise of equity compensation, return-to-provision adjustments and the effect of non-controlling interests, partially offset by state, local and foreign taxes. The effective tax rate for the three months ended March 31, 2021 differed from the U.S. federal statutory rate of 21.0% primarily due to the effect of non-controlling interests and the tax impact of the exercise of equity compensation, partially offset by state, local and foreign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March 31, 2022 and December 31, 2021, we had cash and cash equivalents of approximately $828.1 million and $972.0 million, respectively. All cash and cash equivalents were held in accounts with banks or money market funds such that the funds are immediately available or in fixed term deposits with a maximum maturity of three months.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April 27, 2022, the board of directors of Tradeweb Markets Inc. declared a cash dividend of $0.08 per share of Class A common stock and Class B common stock for the second quarter of 2022. This dividend will be payable on June 15, 2022 to stockholders of record as of June 1, 2022.</w:t>
      </w:r>
    </w:p>
    <w:p>
      <w:pPr>
        <w:spacing w:after="0" w:line="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March 2022, Tradeweb Markets Inc. paid quarterly cash dividends to holders of Class A common stock and Class B common stock in an aggregate amount totaling $16.4 million during the three months ended March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8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April 26, 2022, Tradeweb Markets Inc., as the sole manager, approved a distribution by TWM LLC to its equityholders, including Tradeweb Markets Inc., in an aggregate amount of $20.1 million, as adjusted by required state and local tax withholdings that will be determined prior to the record date of June 1, 2022, payable on June 13, 2022.</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March 2022, TWM LLC made a quarterly cash distribution to its equityholders in an aggregate amount of $16.7 million, including distributions to Tradeweb Markets Inc. of $14.5 million and distributions to non-controlling interests of $2.2 million. The proceeds of the cash distributions were used by Tradeweb Markets Inc. to fund dividend payments, taxes and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The Company began purchasing shares pursuant to the Share Repurchase Program during the second quarter of 2021. During the three months ended March 31, 2022, the Company acquired a total of 559,428 shares of Class A common stock, at an average price of $84.59, for purchases totaling $47.3 million.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Share Repurchase Program discussed above, we may also withhold shares to cover the payroll tax withholding obligations upon the exercise of stock options and vesting of performance</w:t>
      </w:r>
      <w:r>
        <w:rPr>
          <w:rFonts w:ascii="Arial" w:cs="Arial" w:eastAsia="Arial" w:hAnsi="Arial"/>
          <w:sz w:val="18"/>
          <w:szCs w:val="18"/>
          <w:b w:val="1"/>
          <w:bCs w:val="1"/>
          <w:color w:val="auto"/>
        </w:rPr>
        <w:t>-</w:t>
      </w:r>
      <w:r>
        <w:rPr>
          <w:rFonts w:ascii="Arial" w:cs="Arial" w:eastAsia="Arial" w:hAnsi="Arial"/>
          <w:sz w:val="18"/>
          <w:szCs w:val="18"/>
          <w:color w:val="auto"/>
        </w:rPr>
        <w:t>based restricted stock units and restricted stock units.</w:t>
      </w:r>
    </w:p>
    <w:p>
      <w:pPr>
        <w:spacing w:after="0" w:line="13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three months ended March 31, 2022 and 2021, the Company withheld 985,959 and 696,847 shares, respectively, of common stock from employee stock option, PRSU and RSU awards, at an average price per share of $97.13 and $65.24, respectively, and an aggregate value of $95.8 million and $45.5 million, respectively, based on the price of the Class A common stock on the date the relevant withholding occurred.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March 31, 2022, total amounts due to the Continuing LLC Owners under the Tax Receivable Agreement were $409.1 million, substantially all due to be paid over 15 years following the purchase of LLC Interests from Continuing LLC Owners or redemption or exchanges by Continuing LLC Owners of LLC Interests. As of March 31, 2022, we expect to make tax receivable agreement liability payments of approximately $6.3 million within the next twelve months and approximately $402.8 million thereafter.</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we had no outstanding indebtedness.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was subsequently amended on November 7, 2019. The Revolving Credit Facility provides $500.0 million of borrowing capacity to be used to fund our ongoing working capital needs, letters of credit and for general corporate purposes, including potential future acquisitions and expansions. As of March 31, 2022, there were $0.5 million in letters of credit issued under the Revolving Credit Facility and no borrowings outstanding. The Revolving Credit Facility will mature on April 8, 2024.</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 incur additional indebtedness, pay dividends or distributions, make investments and enter into certain other transactions. As of March 31, 2022, we were in compliance with all the covenants set forth in the Revolving Credit Facility.</w:t>
      </w:r>
    </w:p>
    <w:p>
      <w:pPr>
        <w:spacing w:after="0" w:line="16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 Factors Influencing Our Liquidity and Capital Resources – Indebtedness” in Part II of our 2021 Form 10-K for additional details regarding the terms, restrictions and covenants applicable to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March 2022, the lease for our New York headquarters was extended for an amended term through December 2023, as we continue to evaluate our office space needs for the future. As of March 31, 2022, our operating lease liabilities totaled $31.9 million, with payments pursuant to these obligations due within the next twelve months and thereafter totaling approximately $10.9 million and $22.9 million, respectively.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Conduct Authority in the UK, the Nederlandsche Bank in the Netherlands, the Japanese Financial Services Agency, the Japanese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Association and other foreign regulators, and must maintain financial resources, as defined in the applicable regulations, in excess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resources requirement. As of March 31, 2022 and December 31, 2021, each of our regulated subsidiaries had maintained sufficient net capital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resources to at least satisfy their minimum requirements, which in aggregate were $64.3 million and $66.7 million, respectively. We maintain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balances in these subsidiaries in excess of our minimum requirements in order to satisfy working capital needs and to ensure that we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on hand to satisfy margin requirements and credit risk, including the excess capital expectations of our clients. The FICC and some of our clearing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brokers require us to post collateral on unsettled positions, included within deposits with clearing organizations in our consolidated statements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Collateral amounts are marked to market on a daily basis, requiring us to pay or receive margin amounts as part of the daily funds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call requirements can vary significantly across periods based on daily market changes and may represent a significant and unpredictable use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also requires continued investment in our technology for product innovation, proprietary technology architecture, operational reliability and cybersecurity. We expect total capital expenditures and software development costs for fiscal 2022 to be between $62.0 million and $68.0 million, compared to expenditures of $51.3 million in fiscal 2021, with the increase primarily driven by technology investments. We expect approximately 20% of our 2022 capital expenditures to be non</w:t>
      </w:r>
      <w:r>
        <w:rPr>
          <w:rFonts w:ascii="Arial" w:cs="Arial" w:eastAsia="Arial" w:hAnsi="Arial"/>
          <w:sz w:val="18"/>
          <w:szCs w:val="18"/>
          <w:b w:val="1"/>
          <w:bCs w:val="1"/>
          <w:color w:val="auto"/>
        </w:rPr>
        <w:t>-</w:t>
      </w:r>
      <w:r>
        <w:rPr>
          <w:rFonts w:ascii="Arial" w:cs="Arial" w:eastAsia="Arial" w:hAnsi="Arial"/>
          <w:sz w:val="18"/>
          <w:szCs w:val="18"/>
          <w:color w:val="auto"/>
        </w:rPr>
        <w:t>recurring.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March 31, 2022 and December 31, 2021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30"/>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972,048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1,123,021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1,126,821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154,824</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38,214</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 receivable agreement liability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239,440</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887,381</w:t>
            </w:r>
          </w:p>
        </w:tc>
      </w:tr>
      <w:tr>
        <w:trPr>
          <w:trHeight w:val="21"/>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Current assets decreased to $1,123.0 million as of March 31, 2022 from $1,126.8 million as of December 31, 2021 primarily due to a decrease in cash and cash equivalents (see “—</w:t>
      </w:r>
      <w:r>
        <w:rPr>
          <w:rFonts w:ascii="Arial" w:cs="Arial" w:eastAsia="Arial" w:hAnsi="Arial"/>
          <w:sz w:val="18"/>
          <w:szCs w:val="18"/>
          <w:i w:val="1"/>
          <w:iCs w:val="1"/>
          <w:color w:val="auto"/>
        </w:rPr>
        <w:t>Cash Flows</w:t>
      </w:r>
      <w:r>
        <w:rPr>
          <w:rFonts w:ascii="Arial" w:cs="Arial" w:eastAsia="Arial" w:hAnsi="Arial"/>
          <w:sz w:val="18"/>
          <w:szCs w:val="18"/>
          <w:color w:val="auto"/>
        </w:rPr>
        <w:t>” below) partially offset by an increase in receivables from brokers and dealers and clearing organizations resulting from a higher number of fails to deliver as a result of increased unsettled wholesale platform transactions, an increase in deposits with clearing organizations and an increase in accounts receivable as a result of increased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9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Current liabilities increased to $261.5 million as of March 31, 2022 from $239.4 million as of December 31, 2021 primarily due to increases in securities sold under agreements to repurchase and payable to brokers and dealers and clearing organizations resulting from a higher number of fails to deliver as a result of increased unsettled wholesale platform transactions, partially offset by a decrease in accrued compensation as a result of annual bonus payments which occurred during the three months ended March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for the three months ended March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right="2160"/>
        <w:spacing w:after="0" w:line="412" w:lineRule="auto"/>
        <w:rPr>
          <w:sz w:val="20"/>
          <w:szCs w:val="20"/>
          <w:color w:val="auto"/>
        </w:rPr>
      </w:pPr>
      <w:r>
        <w:rPr>
          <w:rFonts w:ascii="Arial" w:cs="Arial" w:eastAsia="Arial" w:hAnsi="Arial"/>
          <w:sz w:val="16"/>
          <w:szCs w:val="16"/>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6"/>
        </w:trPr>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29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45,243</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55,572</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(12,625)</w:t>
            </w:r>
          </w:p>
        </w:tc>
      </w:tr>
      <w:tr>
        <w:trPr>
          <w:trHeight w:val="230"/>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(168,081)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(24,450)</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47" w:lineRule="exact"/>
        <w:rPr>
          <w:sz w:val="20"/>
          <w:szCs w:val="20"/>
          <w:color w:val="auto"/>
        </w:rPr>
      </w:pPr>
    </w:p>
    <w:p>
      <w:pPr>
        <w:sectPr>
          <w:pgSz w:w="11900" w:h="16838" w:orient="portrait"/>
          <w:cols w:equalWidth="0" w:num="2">
            <w:col w:w="7720" w:space="720"/>
            <w:col w:w="2800"/>
          </w:cols>
          <w:pgMar w:left="320" w:top="125" w:right="339" w:bottom="1440" w:gutter="0" w:footer="0" w:header="0"/>
        </w:sectPr>
      </w:pPr>
    </w:p>
    <w:p>
      <w:pPr>
        <w:ind w:right="26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cash provided by operating activities for the three months ended March 31, 2022 was $45.2 million, a decrease of $10.3 million over the three months ended March 31, 2021, primarily driven by an increase in deposits with clearing organizations during the three months ended March 31,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4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investing activities was $18.0 million for the three months ended March 31, 2022, which consisted of $9.0 million of capitalized software development costs and $9.1 million of purchases of furniture, equipment, purchased software and leasehold improvements. Net cash used in investing activities was $12.6 million for the three months ended March 31, 2021, which consisted of $8.3 million of capitalized software development costs and $4.4 million of purchases of furniture, equipment, purchased software and leasehold improvements.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used in financing activities for the three months ended March 31, 2022 was $168.1 million, and was primarily driven by $93.2 million in payroll tax payments for options, PRSUs and RSUs, net of proceeds from the related stock-based compensation option exercises, $47.3 million in share repurchases pursuant to the Share Repurchase Program and $16.4 million in cash dividends to our Class A and Class B common stockholders. Net cash used in financing activities for the three months ended March 31, 2021 was $24.5 million, and was primarily driven by $16.0 million in cash dividends to our Class A and Class B common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three months ended March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9"/>
                <w:szCs w:val="19"/>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45,243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55,572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4"/>
              </w:rPr>
              <w:t>(8,979)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w w:val="94"/>
              </w:rPr>
              <w:t>(8,266)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(9,061)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4"/>
              </w:rPr>
              <w:t>(4,359)</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27,203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42,947</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related payroll taxes, tax receivable agreement liability adjustments, unrealized gains and losses from outstanding foreign currency forward contracts and gains and losses from the revaluation of foreign denominated cash.</w:t>
      </w:r>
    </w:p>
    <w:p>
      <w:pPr>
        <w:spacing w:after="0" w:line="14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related payroll taxes,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w:t>
      </w:r>
      <w:r>
        <w:rPr>
          <w:rFonts w:ascii="Arial" w:cs="Arial" w:eastAsia="Arial" w:hAnsi="Arial"/>
          <w:sz w:val="16"/>
          <w:szCs w:val="16"/>
          <w:b w:val="1"/>
          <w:bCs w:val="1"/>
          <w:color w:val="auto"/>
        </w:rPr>
        <w:t>-</w:t>
      </w:r>
      <w:r>
        <w:rPr>
          <w:rFonts w:ascii="Arial" w:cs="Arial" w:eastAsia="Arial" w:hAnsi="Arial"/>
          <w:sz w:val="16"/>
          <w:szCs w:val="16"/>
          <w:color w:val="auto"/>
        </w:rPr>
        <w:t>IPO options awarded in 2019 to management and other employees as well as payroll taxes associated with exercises of such options during the applicable period. We believe it is useful to exclude this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and associated payroll taxes because the amount of expense associated with the Special Option Award and the post</w:t>
      </w:r>
      <w:r>
        <w:rPr>
          <w:rFonts w:ascii="Arial" w:cs="Arial" w:eastAsia="Arial" w:hAnsi="Arial"/>
          <w:sz w:val="16"/>
          <w:szCs w:val="16"/>
          <w:b w:val="1"/>
          <w:bCs w:val="1"/>
          <w:color w:val="auto"/>
        </w:rPr>
        <w:t>-</w:t>
      </w:r>
      <w:r>
        <w:rPr>
          <w:rFonts w:ascii="Arial" w:cs="Arial" w:eastAsia="Arial" w:hAnsi="Arial"/>
          <w:sz w:val="16"/>
          <w:szCs w:val="16"/>
          <w:color w:val="auto"/>
        </w:rPr>
        <w:t>IPO option awards in 2019 may not directly correlate to the underlying performance of our business and will vary across periods. We do not expect to exclude any non</w:t>
      </w:r>
      <w:r>
        <w:rPr>
          <w:rFonts w:ascii="Arial" w:cs="Arial" w:eastAsia="Arial" w:hAnsi="Arial"/>
          <w:sz w:val="16"/>
          <w:szCs w:val="16"/>
          <w:b w:val="1"/>
          <w:bCs w:val="1"/>
          <w:color w:val="auto"/>
        </w:rPr>
        <w:t>-</w:t>
      </w:r>
      <w:r>
        <w:rPr>
          <w:rFonts w:ascii="Arial" w:cs="Arial" w:eastAsia="Arial" w:hAnsi="Arial"/>
          <w:sz w:val="16"/>
          <w:szCs w:val="16"/>
          <w:color w:val="auto"/>
        </w:rPr>
        <w:t>cash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associated with options that may be awarded to management and other employees during 2022. Beginning on August 30, 2021, we also exclude the non</w:t>
      </w:r>
      <w:r>
        <w:rPr>
          <w:rFonts w:ascii="Arial" w:cs="Arial" w:eastAsia="Arial" w:hAnsi="Arial"/>
          <w:sz w:val="16"/>
          <w:szCs w:val="16"/>
          <w:b w:val="1"/>
          <w:bCs w:val="1"/>
          <w:color w:val="auto"/>
        </w:rPr>
        <w:t>-</w:t>
      </w:r>
      <w:r>
        <w:rPr>
          <w:rFonts w:ascii="Arial" w:cs="Arial" w:eastAsia="Arial" w:hAnsi="Arial"/>
          <w:sz w:val="16"/>
          <w:szCs w:val="16"/>
          <w:color w:val="auto"/>
        </w:rPr>
        <w:t>cash accelerated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associated with our former CFO and beginning on February 11, 2022 the incremental non-cash accelerated stock-based compensation expense associated with our retiring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was fully amortized on January 4, 2022 and we expect the CEO Retirement Accelerated Stock-Based Compensation Expense will be fully amortized during 2022.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the weighted average number of other participating securities reflected in earnings per share using the two-class method and assuming the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4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5"/>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3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97,445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81,565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44,450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40,966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16,269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160,635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142,084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4"/>
              <w:spacing w:after="0" w:line="203" w:lineRule="exact"/>
              <w:rPr>
                <w:sz w:val="20"/>
                <w:szCs w:val="20"/>
                <w:color w:val="auto"/>
              </w:rPr>
            </w:pPr>
            <w:r>
              <w:rPr>
                <w:rFonts w:ascii="Arial" w:cs="Arial" w:eastAsia="Arial" w:hAnsi="Arial"/>
                <w:sz w:val="18"/>
                <w:szCs w:val="18"/>
                <w:color w:val="auto"/>
              </w:rPr>
              <w:t>(44,450)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91"/>
              <w:spacing w:after="0" w:line="203" w:lineRule="exact"/>
              <w:rPr>
                <w:sz w:val="20"/>
                <w:szCs w:val="20"/>
                <w:color w:val="auto"/>
              </w:rPr>
            </w:pPr>
            <w:r>
              <w:rPr>
                <w:rFonts w:ascii="Arial" w:cs="Arial" w:eastAsia="Arial" w:hAnsi="Arial"/>
                <w:sz w:val="18"/>
                <w:szCs w:val="18"/>
                <w:color w:val="auto"/>
              </w:rPr>
              <w:t>(40,966)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D&amp;A related to acquisitions and the Refinitiv Transaction </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31,769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29,603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147,954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130,721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540" w:hanging="332"/>
        <w:spacing w:after="0" w:line="250"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40" w:hanging="332"/>
        <w:spacing w:after="0" w:line="260"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 totaling $2.1 million and $6.4 million during the three months ended March 31, 2022 and 2021, respectively, and non-cash accelerated stock-based compensation expense associated with our former CFO and our retiring CEO and related payroll taxes totaling $1.7 million during the three months ended March 31, 2022.</w:t>
      </w:r>
    </w:p>
    <w:p>
      <w:pPr>
        <w:ind w:left="340" w:right="60" w:hanging="332"/>
        <w:spacing w:after="0" w:line="255"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40" w:right="120" w:hanging="332"/>
        <w:spacing w:after="0" w:line="250"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jc w:val="both"/>
        <w:ind w:left="340" w:right="240" w:hanging="332"/>
        <w:spacing w:after="0" w:line="248"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46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Constant Currency</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Basis Point Change</w:t>
            </w:r>
          </w:p>
        </w:tc>
        <w:tc>
          <w:tcPr>
            <w:tcW w:w="0" w:type="dxa"/>
            <w:vAlign w:val="bottom"/>
          </w:tcPr>
          <w:p>
            <w:pPr>
              <w:spacing w:after="0"/>
              <w:rPr>
                <w:sz w:val="1"/>
                <w:szCs w:val="1"/>
                <w:color w:val="auto"/>
              </w:rPr>
            </w:pPr>
          </w:p>
        </w:tc>
      </w:tr>
      <w:tr>
        <w:trPr>
          <w:trHeight w:val="61"/>
        </w:trPr>
        <w:tc>
          <w:tcPr>
            <w:tcW w:w="6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Basis Point Change</w:t>
            </w: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6300" w:type="dxa"/>
            <w:vAlign w:val="bottom"/>
            <w:gridSpan w:val="2"/>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52.0 %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-40 bps</w:t>
            </w: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9"/>
              </w:rPr>
              <w:t>-64 bps</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Adjusted EBIT margin</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47.5 %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47.8 %</w:t>
            </w:r>
          </w:p>
        </w:tc>
        <w:tc>
          <w:tcPr>
            <w:tcW w:w="100" w:type="dxa"/>
            <w:vAlign w:val="bottom"/>
          </w:tcPr>
          <w:p>
            <w:pPr>
              <w:spacing w:after="0"/>
              <w:rPr>
                <w:sz w:val="20"/>
                <w:szCs w:val="20"/>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-31 bps</w:t>
            </w:r>
          </w:p>
        </w:tc>
        <w:tc>
          <w:tcPr>
            <w:tcW w:w="1320" w:type="dxa"/>
            <w:vAlign w:val="bottom"/>
          </w:tcPr>
          <w:p>
            <w:pPr>
              <w:ind w:left="760"/>
              <w:spacing w:after="0"/>
              <w:rPr>
                <w:sz w:val="20"/>
                <w:szCs w:val="20"/>
                <w:color w:val="auto"/>
              </w:rPr>
            </w:pPr>
            <w:r>
              <w:rPr>
                <w:rFonts w:ascii="Arial" w:cs="Arial" w:eastAsia="Arial" w:hAnsi="Arial"/>
                <w:sz w:val="18"/>
                <w:szCs w:val="18"/>
                <w:color w:val="auto"/>
                <w:w w:val="89"/>
              </w:rPr>
              <w:t>-50 bps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80" w:hanging="332"/>
        <w:spacing w:after="0" w:line="247"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2021.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2022 and 2021:</w:t>
      </w:r>
    </w:p>
    <w:p>
      <w:pPr>
        <w:spacing w:after="0" w:line="17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2" w:lineRule="exact"/>
        <w:rPr>
          <w:sz w:val="20"/>
          <w:szCs w:val="20"/>
          <w:color w:val="auto"/>
        </w:rPr>
      </w:pPr>
    </w:p>
    <w:p>
      <w:pPr>
        <w:ind w:left="8980"/>
        <w:spacing w:after="0"/>
        <w:tabs>
          <w:tab w:leader="none" w:pos="10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440" w:val="left"/>
          <w:tab w:leader="none" w:pos="9380" w:val="left"/>
          <w:tab w:leader="none" w:pos="9880" w:val="left"/>
          <w:tab w:leader="none" w:pos="10840" w:val="left"/>
        </w:tabs>
        <w:rPr>
          <w:sz w:val="20"/>
          <w:szCs w:val="20"/>
          <w:color w:val="auto"/>
        </w:rPr>
      </w:pPr>
      <w:r>
        <w:rPr>
          <w:rFonts w:ascii="Arial" w:cs="Arial" w:eastAsia="Arial" w:hAnsi="Arial"/>
          <w:sz w:val="18"/>
          <w:szCs w:val="18"/>
          <w:color w:val="auto"/>
        </w:rPr>
        <w:t>Earnings per diluted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0.40</w:t>
        <w:tab/>
        <w:t>$</w:t>
      </w:r>
      <w:r>
        <w:rPr>
          <w:sz w:val="20"/>
          <w:szCs w:val="20"/>
          <w:color w:val="auto"/>
        </w:rPr>
        <w:tab/>
      </w:r>
      <w:r>
        <w:rPr>
          <w:rFonts w:ascii="Arial" w:cs="Arial" w:eastAsia="Arial" w:hAnsi="Arial"/>
          <w:sz w:val="15"/>
          <w:szCs w:val="15"/>
          <w:color w:val="auto"/>
        </w:rPr>
        <w:t>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40640</wp:posOffset>
            </wp:positionV>
            <wp:extent cx="17741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Tradeweb Markets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p>
      <w:pPr>
        <w:ind w:left="20"/>
        <w:spacing w:after="0" w:line="220" w:lineRule="auto"/>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tabs>
          <w:tab w:leader="none" w:pos="740" w:val="left"/>
          <w:tab w:leader="none" w:pos="142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82,965</w:t>
        <w:tab/>
        <w:t>$</w:t>
      </w:r>
      <w:r>
        <w:rPr>
          <w:sz w:val="20"/>
          <w:szCs w:val="20"/>
          <w:color w:val="auto"/>
        </w:rPr>
        <w:tab/>
      </w:r>
      <w:r>
        <w:rPr>
          <w:rFonts w:ascii="Arial" w:cs="Arial" w:eastAsia="Arial" w:hAnsi="Arial"/>
          <w:sz w:val="15"/>
          <w:szCs w:val="15"/>
          <w:color w:val="auto"/>
        </w:rPr>
        <w:t>67,859</w:t>
      </w:r>
    </w:p>
    <w:p>
      <w:pPr>
        <w:spacing w:after="0" w:line="63"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17"/>
          <w:szCs w:val="17"/>
          <w:color w:val="auto"/>
        </w:rPr>
        <w:t>14,480</w:t>
      </w:r>
      <w:r>
        <w:rPr>
          <w:sz w:val="20"/>
          <w:szCs w:val="20"/>
          <w:color w:val="auto"/>
        </w:rPr>
        <w:tab/>
      </w:r>
      <w:r>
        <w:rPr>
          <w:rFonts w:ascii="Arial" w:cs="Arial" w:eastAsia="Arial" w:hAnsi="Arial"/>
          <w:sz w:val="17"/>
          <w:szCs w:val="17"/>
          <w:color w:val="auto"/>
        </w:rPr>
        <w:t>13,706</w:t>
      </w:r>
    </w:p>
    <w:p>
      <w:pPr>
        <w:spacing w:after="0" w:line="48"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17"/>
          <w:szCs w:val="17"/>
          <w:color w:val="auto"/>
        </w:rPr>
        <w:t>97,445</w:t>
      </w:r>
      <w:r>
        <w:rPr>
          <w:sz w:val="20"/>
          <w:szCs w:val="20"/>
          <w:color w:val="auto"/>
        </w:rPr>
        <w:tab/>
      </w:r>
      <w:r>
        <w:rPr>
          <w:rFonts w:ascii="Arial" w:cs="Arial" w:eastAsia="Arial" w:hAnsi="Arial"/>
          <w:sz w:val="17"/>
          <w:szCs w:val="17"/>
          <w:color w:val="auto"/>
        </w:rPr>
        <w:t>81,565</w:t>
      </w:r>
    </w:p>
    <w:p>
      <w:pPr>
        <w:spacing w:after="0" w:line="35"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17"/>
          <w:szCs w:val="17"/>
          <w:color w:val="auto"/>
        </w:rPr>
        <w:t>13,710</w:t>
      </w:r>
      <w:r>
        <w:rPr>
          <w:sz w:val="20"/>
          <w:szCs w:val="20"/>
          <w:color w:val="auto"/>
        </w:rPr>
        <w:tab/>
      </w:r>
      <w:r>
        <w:rPr>
          <w:rFonts w:ascii="Arial" w:cs="Arial" w:eastAsia="Arial" w:hAnsi="Arial"/>
          <w:sz w:val="17"/>
          <w:szCs w:val="17"/>
          <w:color w:val="auto"/>
        </w:rPr>
        <w:t>16,269</w:t>
      </w:r>
    </w:p>
    <w:p>
      <w:pPr>
        <w:spacing w:after="0" w:line="74" w:lineRule="exact"/>
        <w:rPr>
          <w:sz w:val="20"/>
          <w:szCs w:val="20"/>
          <w:color w:val="auto"/>
        </w:rPr>
      </w:pPr>
    </w:p>
    <w:p>
      <w:pPr>
        <w:ind w:left="2300" w:hanging="1291"/>
        <w:spacing w:after="0"/>
        <w:tabs>
          <w:tab w:leader="none" w:pos="2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1,761</w:t>
      </w:r>
    </w:p>
    <w:p>
      <w:pPr>
        <w:spacing w:after="0" w:line="63"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17"/>
          <w:szCs w:val="17"/>
          <w:color w:val="auto"/>
        </w:rPr>
        <w:t>31,769</w:t>
      </w:r>
      <w:r>
        <w:rPr>
          <w:sz w:val="20"/>
          <w:szCs w:val="20"/>
          <w:color w:val="auto"/>
        </w:rPr>
        <w:tab/>
      </w:r>
      <w:r>
        <w:rPr>
          <w:rFonts w:ascii="Arial" w:cs="Arial" w:eastAsia="Arial" w:hAnsi="Arial"/>
          <w:sz w:val="17"/>
          <w:szCs w:val="17"/>
          <w:color w:val="auto"/>
        </w:rPr>
        <w:t>29,603</w:t>
      </w:r>
    </w:p>
    <w:p>
      <w:pPr>
        <w:spacing w:after="0" w:line="75"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8"/>
          <w:szCs w:val="18"/>
          <w:color w:val="auto"/>
        </w:rPr>
        <w:t>3,869</w:t>
      </w:r>
      <w:r>
        <w:rPr>
          <w:sz w:val="20"/>
          <w:szCs w:val="20"/>
          <w:color w:val="auto"/>
        </w:rPr>
        <w:tab/>
      </w:r>
      <w:r>
        <w:rPr>
          <w:rFonts w:ascii="Arial" w:cs="Arial" w:eastAsia="Arial" w:hAnsi="Arial"/>
          <w:sz w:val="18"/>
          <w:szCs w:val="18"/>
          <w:color w:val="auto"/>
        </w:rPr>
        <w:t>6,383</w:t>
      </w:r>
    </w:p>
    <w:p>
      <w:pPr>
        <w:spacing w:after="0" w:line="23" w:lineRule="exact"/>
        <w:rPr>
          <w:sz w:val="20"/>
          <w:szCs w:val="20"/>
          <w:color w:val="auto"/>
        </w:rPr>
      </w:pPr>
    </w:p>
    <w:p>
      <w:pPr>
        <w:ind w:left="2220" w:hanging="1226"/>
        <w:spacing w:after="0"/>
        <w:tabs>
          <w:tab w:leader="none" w:pos="2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(5,353)</w:t>
      </w:r>
    </w:p>
    <w:p>
      <w:pPr>
        <w:spacing w:after="0" w:line="73"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741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6"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7"/>
          <w:szCs w:val="17"/>
          <w:color w:val="auto"/>
        </w:rPr>
        <w:t>147,507</w:t>
      </w:r>
      <w:r>
        <w:rPr>
          <w:sz w:val="20"/>
          <w:szCs w:val="20"/>
          <w:color w:val="auto"/>
        </w:rPr>
        <w:tab/>
      </w:r>
      <w:r>
        <w:rPr>
          <w:rFonts w:ascii="Arial" w:cs="Arial" w:eastAsia="Arial" w:hAnsi="Arial"/>
          <w:sz w:val="17"/>
          <w:szCs w:val="17"/>
          <w:color w:val="auto"/>
        </w:rPr>
        <w:t>130,228</w:t>
      </w:r>
    </w:p>
    <w:p>
      <w:pPr>
        <w:spacing w:after="0" w:line="75"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8"/>
          <w:szCs w:val="18"/>
          <w:color w:val="auto"/>
        </w:rPr>
        <w:t>(32,452)</w:t>
      </w:r>
      <w:r>
        <w:rPr>
          <w:sz w:val="20"/>
          <w:szCs w:val="20"/>
          <w:color w:val="auto"/>
        </w:rPr>
        <w:tab/>
      </w:r>
      <w:r>
        <w:rPr>
          <w:rFonts w:ascii="Arial" w:cs="Arial" w:eastAsia="Arial" w:hAnsi="Arial"/>
          <w:sz w:val="18"/>
          <w:szCs w:val="18"/>
          <w:color w:val="auto"/>
        </w:rPr>
        <w:t>(28,650)</w:t>
      </w:r>
    </w:p>
    <w:p>
      <w:pPr>
        <w:spacing w:after="0" w:line="24" w:lineRule="exact"/>
        <w:rPr>
          <w:sz w:val="20"/>
          <w:szCs w:val="20"/>
          <w:color w:val="auto"/>
        </w:rPr>
      </w:pPr>
    </w:p>
    <w:p>
      <w:pPr>
        <w:sectPr>
          <w:pgSz w:w="11900" w:h="16838" w:orient="portrait"/>
          <w:cols w:equalWidth="0" w:num="2">
            <w:col w:w="7740" w:space="720"/>
            <w:col w:w="2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115,055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101,578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84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60" w:hanging="332"/>
        <w:spacing w:after="0" w:line="250"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jc w:val="both"/>
        <w:ind w:left="340" w:right="24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 totaling $2.1 million and $6.4 million during the three months ended March 31, 2022 and 2021, respectively, and non-cash accelerated stock-based compensation expense associated with our former CFO and our retiring CEO and related payroll taxes totaling $1.7 million during the three months ended March 31, 2022.</w:t>
      </w:r>
    </w:p>
    <w:p>
      <w:pPr>
        <w:ind w:left="340" w:right="6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22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22.0% applied to Adjusted Net Income before income taxes for each of the three months ended March 31, 2022 and 2021.</w:t>
      </w:r>
    </w:p>
    <w:p>
      <w:pPr>
        <w:ind w:left="340" w:right="780" w:hanging="332"/>
        <w:spacing w:after="0" w:line="255"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below.</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months ended March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 Weighted Average Shares Outstanding and</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01"/>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Diluted EPS</w:t>
            </w:r>
          </w:p>
        </w:tc>
        <w:tc>
          <w:tcPr>
            <w:tcW w:w="24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8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of Class A and Class B common stock outstanding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207,497,102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205,028,717</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 average of other participating securities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53,756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30,296,879</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31,214,407</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237,847,737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236,243,124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120" w:hanging="332"/>
        <w:spacing w:after="0" w:line="245"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discussion of the two-class method.</w:t>
      </w:r>
    </w:p>
    <w:p>
      <w:pPr>
        <w:spacing w:after="0" w:line="2" w:lineRule="exact"/>
        <w:rPr>
          <w:rFonts w:ascii="Arial" w:cs="Arial" w:eastAsia="Arial" w:hAnsi="Arial"/>
          <w:sz w:val="14"/>
          <w:szCs w:val="14"/>
          <w:color w:val="auto"/>
        </w:rPr>
      </w:pPr>
    </w:p>
    <w:p>
      <w:pPr>
        <w:ind w:left="340" w:right="480" w:hanging="332"/>
        <w:spacing w:after="0" w:line="255"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4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revenue recognition, current and deferred income taxes and the tax receivable agreement liability.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6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required to make significant judgments for the Refinitiv market data fees. Significant judgments used in accounting for this contract include the following determinations:</w:t>
      </w:r>
    </w:p>
    <w:p>
      <w:pPr>
        <w:spacing w:after="0" w:line="1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9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each of the three months ended March 31, 2022 and 2021, there were no material changes in the assumptions used to determine the Refinitiv market data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3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March 31, 2022 and December 31, 2021, we established a valuation allowance of $0.7 million and $0.7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 The timing of the payments over the fifteen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53" w:lineRule="exact"/>
        <w:rPr>
          <w:sz w:val="20"/>
          <w:szCs w:val="20"/>
          <w:color w:val="auto"/>
        </w:rPr>
      </w:pPr>
    </w:p>
    <w:p>
      <w:pPr>
        <w:ind w:right="394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RISKS </w:t>
      </w:r>
      <w:r>
        <w:rPr>
          <w:rFonts w:ascii="Arial" w:cs="Arial" w:eastAsia="Arial" w:hAnsi="Arial"/>
          <w:sz w:val="18"/>
          <w:szCs w:val="18"/>
          <w:b w:val="1"/>
          <w:bCs w:val="1"/>
          <w:i w:val="1"/>
          <w:iCs w:val="1"/>
          <w:color w:val="auto"/>
        </w:rPr>
        <w:t>Foreign Currency and Derivative Risk</w:t>
      </w:r>
    </w:p>
    <w:p>
      <w:pPr>
        <w:ind w:right="46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months ended March 31, 2022 and 2021:</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hanging="194"/>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23495</wp:posOffset>
            </wp:positionV>
            <wp:extent cx="1774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88"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30%</w:t>
      </w:r>
      <w:r>
        <w:rPr>
          <w:sz w:val="20"/>
          <w:szCs w:val="20"/>
          <w:color w:val="auto"/>
        </w:rPr>
        <w:tab/>
      </w:r>
      <w:r>
        <w:rPr>
          <w:rFonts w:ascii="Arial" w:cs="Arial" w:eastAsia="Arial" w:hAnsi="Arial"/>
          <w:sz w:val="15"/>
          <w:szCs w:val="15"/>
          <w:color w:val="auto"/>
        </w:rPr>
        <w:t>30%</w:t>
      </w:r>
    </w:p>
    <w:p>
      <w:pPr>
        <w:spacing w:after="0" w:line="98"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5"/>
          <w:szCs w:val="15"/>
          <w:color w:val="auto"/>
        </w:rPr>
        <w:t>16%</w:t>
      </w:r>
    </w:p>
    <w:p>
      <w:pPr>
        <w:spacing w:after="0" w:line="657" w:lineRule="exact"/>
        <w:rPr>
          <w:sz w:val="20"/>
          <w:szCs w:val="20"/>
          <w:color w:val="auto"/>
        </w:rPr>
      </w:pPr>
    </w:p>
    <w:p>
      <w:pPr>
        <w:sectPr>
          <w:pgSz w:w="11900" w:h="16838" w:orient="portrait"/>
          <w:cols w:equalWidth="0" w:num="2">
            <w:col w:w="8240" w:space="720"/>
            <w:col w:w="2240"/>
          </w:cols>
          <w:pgMar w:left="320" w:top="125" w:right="379" w:bottom="1440" w:gutter="0" w:footer="0" w:header="0"/>
          <w:type w:val="continuous"/>
        </w:sectPr>
      </w:pPr>
    </w:p>
    <w:p>
      <w:pPr>
        <w:spacing w:after="0" w:line="2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months ended March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5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used in translation during the three months ended March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r>
    </w:tbl>
    <w:p>
      <w:pPr>
        <w:spacing w:after="0" w:line="25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the above, realized and unrealized losses from foreign currency re-measurement of transactions in nonfunctional currencies recognized in the condensed consolidated statements of income within general and administrative expense totaled $0.3 million and $1.9 million during the three months ended March 31, 2022 and 2021, respectively.</w:t>
      </w:r>
    </w:p>
    <w:p>
      <w:pPr>
        <w:spacing w:after="0" w:line="1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and a hypothetical 10% increase in only Euro or only British pound sterling exchange rates would have on the translation of actual revenue and operating income for the three months ended March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r>
      <w:tr>
        <w:trPr>
          <w:trHeight w:val="221"/>
        </w:trPr>
        <w:tc>
          <w:tcPr>
            <w:tcW w:w="8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8,300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twelve months. We do not use derivative instruments for trading or speculative purposes. As of March 31, 2022 and December 31, 2021, the notional amount of our foreign currency forward contracts was $171.2 million and $146.2 million, respectively. Realized and unrealized gains on foreign currency forward contracts totaled $0.7 million and $5.7 million during the three months ended March 31, 2022 and 2021, respectively.</w:t>
      </w:r>
    </w:p>
    <w:p>
      <w:pPr>
        <w:spacing w:after="0" w:line="14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March 31, 2022 and December 31, 2021, the allowance for credit losses with regard to these receivables totaled $0.1 million and $0.3 million, respectively.</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March 31, 2022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Except as set forth in </w:t>
      </w:r>
      <w:hyperlink w:anchor="page32">
        <w:r>
          <w:rPr>
            <w:rFonts w:ascii="Arial" w:cs="Arial" w:eastAsia="Arial" w:hAnsi="Arial"/>
            <w:sz w:val="16"/>
            <w:szCs w:val="16"/>
            <w:u w:val="single" w:color="auto"/>
            <w:color w:val="0000FF"/>
          </w:rPr>
          <w:t>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condensed consolidated financial statements included elsewhere in this Quarterly Report on Form 10-Q, there have been no material changes from the legal proceedings previously disclosed under the heading “Item 3. Legal Proceedings” in Part I of our 2021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2021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repurchased the following shares of shares of Class A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Purchased as</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Value of Shares That</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Average Price Paid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r>
      <w:tr>
        <w:trPr>
          <w:trHeight w:val="23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February 1, 2022 - February 28, 2022</w:t>
            </w:r>
          </w:p>
        </w:tc>
        <w:tc>
          <w:tcPr>
            <w:tcW w:w="1340" w:type="dxa"/>
            <w:vAlign w:val="bottom"/>
          </w:tcPr>
          <w:p>
            <w:pPr>
              <w:jc w:val="right"/>
              <w:spacing w:after="0"/>
              <w:rPr>
                <w:sz w:val="20"/>
                <w:szCs w:val="20"/>
                <w:color w:val="auto"/>
              </w:rPr>
            </w:pPr>
            <w:r>
              <w:rPr>
                <w:rFonts w:ascii="Arial" w:cs="Arial" w:eastAsia="Arial" w:hAnsi="Arial"/>
                <w:sz w:val="18"/>
                <w:szCs w:val="18"/>
                <w:color w:val="auto"/>
              </w:rPr>
              <w:t>88,804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88,804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58,199</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27,001</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260" w:hanging="332"/>
        <w:spacing w:after="0" w:line="246" w:lineRule="auto"/>
        <w:tabs>
          <w:tab w:leader="none" w:pos="364"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February 4, 2021, we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w:t>
      </w:r>
    </w:p>
    <w:p>
      <w:pPr>
        <w:spacing w:after="0" w:line="1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table above does not reflect shares surrendered to cover the payroll tax withholding obligations upon the exercise of stock options and vesting of performance</w:t>
      </w:r>
      <w:r>
        <w:rPr>
          <w:rFonts w:ascii="Arial" w:cs="Arial" w:eastAsia="Arial" w:hAnsi="Arial"/>
          <w:sz w:val="17"/>
          <w:szCs w:val="17"/>
          <w:b w:val="1"/>
          <w:bCs w:val="1"/>
          <w:color w:val="auto"/>
        </w:rPr>
        <w:t>-</w:t>
      </w:r>
      <w:r>
        <w:rPr>
          <w:rFonts w:ascii="Arial" w:cs="Arial" w:eastAsia="Arial" w:hAnsi="Arial"/>
          <w:sz w:val="17"/>
          <w:szCs w:val="17"/>
          <w:color w:val="auto"/>
        </w:rPr>
        <w:t>based restricted stock units and restricted stock units. During the three months ended March 31, 2022, the Company withheld 985,959 shares, of common stock from employee stock option, performance-based restricted stock and restricted stock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20" w:type="dxa"/>
            <w:vAlign w:val="bottom"/>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r>
      <w:tr>
        <w:trPr>
          <w:trHeight w:val="337"/>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7"/>
          </w:tcPr>
          <w:p>
            <w:pPr>
              <w:spacing w:after="0" w:line="207" w:lineRule="exact"/>
              <w:rPr>
                <w:rFonts w:ascii="Arial" w:cs="Arial" w:eastAsia="Arial" w:hAnsi="Arial"/>
                <w:sz w:val="18"/>
                <w:szCs w:val="18"/>
                <w:color w:val="0000FF"/>
                <w:w w:val="98"/>
              </w:rPr>
            </w:pPr>
            <w:hyperlink w:anchor="page66">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67">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amended, as adopted pursuant to Section 302 of the Sarbanes-Oxley Act of 2002.</w:t>
              </w:r>
            </w:hyperlink>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Certification of Chief Executive Officer pursuant to 18 U.S.C. Section 1350, as adopted pursuant to Section 906 of the Sarbanes-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Oxley Act of 2002.</w:t>
              </w:r>
            </w:hyperlink>
          </w:p>
        </w:tc>
        <w:tc>
          <w:tcPr>
            <w:tcW w:w="3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color w:val="0000FF"/>
                <w:w w:val="94"/>
              </w:rPr>
            </w:pPr>
            <w:hyperlink w:anchor="page69">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Oxley Act of 2002.</w:t>
              </w:r>
            </w:hyperlink>
          </w:p>
        </w:tc>
        <w:tc>
          <w:tcPr>
            <w:tcW w:w="360" w:type="dxa"/>
            <w:vAlign w:val="bottom"/>
            <w:gridSpan w:val="2"/>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gridSpan w:val="6"/>
          </w:tcPr>
          <w:p>
            <w:pPr>
              <w:spacing w:after="0" w:line="20" w:lineRule="exact"/>
              <w:rPr>
                <w:sz w:val="1"/>
                <w:szCs w:val="1"/>
                <w:color w:val="auto"/>
              </w:rPr>
            </w:pPr>
          </w:p>
        </w:tc>
      </w:tr>
      <w:tr>
        <w:trPr>
          <w:trHeight w:val="41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bl>
    <w:p>
      <w:pPr>
        <w:spacing w:after="0" w:line="25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April 29, 2022</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April 29, 2022</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Sara Furber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600"/>
          </w:cols>
          <w:pgMar w:left="320" w:top="125" w:right="9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April 29,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29, 2022</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March 31, 2022,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29, 2022</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March 31, 2022,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49"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April 29,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530"/>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2"/>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4"/>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8"/>
    </w:lvl>
  </w:abstractNum>
  <w:abstractNum w:abstractNumId="26">
    <w:nsid w:val="6CEAF087"/>
    <w:multiLevelType w:val="hybridMultilevel"/>
    <w:lvl w:ilvl="0">
      <w:lvlJc w:val="left"/>
      <w:lvlText w:val="%1"/>
      <w:numFmt w:val="decimal"/>
      <w:start w:val="732"/>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2022-04-29T19:25:38Z</dcterms:created>
  <dcterms:modified xsi:type="dcterms:W3CDTF">2022-04-29T19:25:38Z</dcterms:modified>
</cp:coreProperties>
</file>