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Bruni Enrico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Managing Director, Europe/Asia</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02/14/2020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6,763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left="231"/>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48</w:t>
            </w: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83,414</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02/14/2020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3,955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left="231"/>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50</w:t>
            </w: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79,459</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02/19/2020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4,486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50.0034</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74,973</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reporting person on December 13, 2019.</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amount includes 42,218 unvested restricted stock units in respect of the issuer's Class A common stock which are scheduled to vest on January 1, 2021, subject to the reporting person's continued employment through such date.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$50.00 to $50.06,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02/19/2020</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Enrico Bruni</w:t>
            </w:r>
          </w:p>
        </w:tc>
        <w:tc>
          <w:tcPr>
            <w:tcW w:w="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2020-02-19T19:59:52Z</dcterms:created>
  <dcterms:modified xsi:type="dcterms:W3CDTF">2020-02-19T19:59:52Z</dcterms:modified>
</cp:coreProperties>
</file>