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08/28/2024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215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228,976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28, 2024, the reporting person made a charitable donation of 215 shares of the issuer's Class A common stock ("Class A Common Stock").</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restricted stock units ("RSUs") in respect of Class A Common Stock that are scheduled to vest on March 15, 2025, (ii) 31,268 unvested RSUs in respect of Class A Common Stock that are scheduled to vest on January 1, 2025, (iii) 28,752 unvested RSUs in respect of Class A Common Stock which are scheduled to vest in equal installments on March 15, 2025 and March 15, 2026, (iv) 78,191 unvested RSUs in respect of Class A Common Stock which are scheduled to vest on January 1, 2026, and (v)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08/29/2024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2024-08-29T15:33:47Z</dcterms:created>
  <dcterms:modified xsi:type="dcterms:W3CDTF">2024-08-29T15:33:47Z</dcterms:modified>
</cp:coreProperties>
</file>