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Friedman Douglas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03/17/2020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5"/>
        <w:spacing w:after="0"/>
        <w:rPr>
          <w:sz w:val="20"/>
          <w:szCs w:val="20"/>
          <w:color w:val="auto"/>
        </w:rPr>
      </w:pPr>
      <w:r>
        <w:rPr>
          <w:rFonts w:ascii="Arial" w:cs="Arial" w:eastAsia="Arial" w:hAnsi="Arial"/>
          <w:sz w:val="17"/>
          <w:szCs w:val="17"/>
          <w:color w:val="0000FF"/>
        </w:rPr>
        <w:t>General Counsel and Secretary</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10"/>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440" w:type="dxa"/>
            <w:vAlign w:val="bottom"/>
            <w:tcBorders>
              <w:bottom w:val="single" w:sz="8" w:color="2C2C2C"/>
            </w:tcBorders>
            <w:gridSpan w:val="5"/>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03/17/2020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9,004</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67,875</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0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 is an award of restricted stock units ("RSUs") in respect of the issuer's Class A common stock ("Class A Common Stock"). Subject to the reporting person's continued employment with the issuer through the applicable vesting date, these RSUs are scheduled to vest in equal installments on each of the first, second and third anniversaries of March 17, 2020.</w:t>
      </w:r>
    </w:p>
    <w:p>
      <w:pPr>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22,867 unvested RSUs in respect of Class A Common Stock which are scheduled to vest on January 1, 2021, subject to the reporting person's continued employment through such date, (ii) 33,004 unvested RSUs in respect of Class A Common Stock which are scheduled to vest on January 1, 2022, subject to the reporting person's continued employment through such date, and (iii) 9,004 unvested RSUs in respect of Class A Common Stock which are scheduled to vest as described in footnote 1 to this Form 4.</w:t>
      </w:r>
    </w:p>
    <w:p>
      <w:pPr>
        <w:spacing w:after="0" w:line="19"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03/19/2020</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Douglas Friedman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193"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2020-03-19T16:34:01Z</dcterms:created>
  <dcterms:modified xsi:type="dcterms:W3CDTF">2020-03-19T16:34:01Z</dcterms:modified>
</cp:coreProperties>
</file>