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WARSHAW ROBERT J</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10/15/2020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98"/>
        <w:spacing w:after="0"/>
        <w:rPr>
          <w:sz w:val="20"/>
          <w:szCs w:val="20"/>
          <w:color w:val="auto"/>
        </w:rPr>
      </w:pPr>
      <w:r>
        <w:rPr>
          <w:rFonts w:ascii="Arial" w:cs="Arial" w:eastAsia="Arial" w:hAnsi="Arial"/>
          <w:sz w:val="17"/>
          <w:szCs w:val="17"/>
          <w:color w:val="0000FF"/>
        </w:rPr>
        <w:t>Chief Financial Officer</w:t>
      </w:r>
    </w:p>
    <w:p>
      <w:pPr>
        <w:spacing w:after="0" w:line="389"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10/15/2020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16,000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81,115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10/15/2020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10,144</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58.3386</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70,971</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10/15/2020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5,856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58.7445</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65,115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16,000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10/15/2020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16,000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34,270</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-3581400</wp:posOffset>
            </wp:positionV>
            <wp:extent cx="7033260" cy="3623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62331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18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24,628 unvested restricted stock units ("RSUs") in respect of the issuer's Class A common stock ("Class A Common Stock") which are scheduled to vest on January 1, 2021, (ii) 22,004 unvested RSUs in respect of Class A Common Stock which are scheduled to vest on January 1, 2022, and (iii) 10,483 unvested RSUs in respect of Class A Common Stock which are scheduled to vest in equal installments on each of the first, second and third anniversaries of March 17, 2020, in each case subject to the reporting person's continued employed through the applicable vesting date.</w:t>
      </w:r>
    </w:p>
    <w:p>
      <w:pPr>
        <w:spacing w:after="0" w:line="14" w:lineRule="exact"/>
        <w:rPr>
          <w:rFonts w:ascii="Arial" w:cs="Arial" w:eastAsia="Arial" w:hAnsi="Arial"/>
          <w:sz w:val="12"/>
          <w:szCs w:val="12"/>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$57.65 to $58.64,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$58.65 to $58.98,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09/16/2020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Robert Warshaw</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887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2020-10-16T16:37:52Z</dcterms:created>
  <dcterms:modified xsi:type="dcterms:W3CDTF">2020-10-16T16:37:52Z</dcterms:modified>
</cp:coreProperties>
</file>