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001-38860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126"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790"/>
              <w:spacing w:after="0"/>
              <w:rPr>
                <w:sz w:val="20"/>
                <w:szCs w:val="20"/>
                <w:color w:val="auto"/>
              </w:rPr>
            </w:pPr>
            <w:r>
              <w:rPr>
                <w:rFonts w:ascii="Arial" w:cs="Arial" w:eastAsia="Arial" w:hAnsi="Arial"/>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4880" w:type="dxa"/>
            <w:vAlign w:val="bottom"/>
          </w:tcPr>
          <w:p>
            <w:pPr>
              <w:jc w:val="center"/>
              <w:ind w:left="2170"/>
              <w:spacing w:after="0"/>
              <w:rPr>
                <w:sz w:val="20"/>
                <w:szCs w:val="20"/>
                <w:color w:val="auto"/>
              </w:rPr>
            </w:pPr>
            <w:r>
              <w:rPr>
                <w:rFonts w:ascii="Arial" w:cs="Arial" w:eastAsia="Arial" w:hAnsi="Arial"/>
                <w:sz w:val="18"/>
                <w:szCs w:val="18"/>
                <w:color w:val="auto"/>
                <w:w w:val="94"/>
              </w:rPr>
              <w:t>(I.R.S. Employer Identification No.)</w:t>
            </w:r>
          </w:p>
        </w:tc>
      </w:tr>
      <w:tr>
        <w:trPr>
          <w:trHeight w:val="373"/>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1177 Avenue of the Americas</w:t>
            </w:r>
          </w:p>
        </w:tc>
        <w:tc>
          <w:tcPr>
            <w:tcW w:w="4880" w:type="dxa"/>
            <w:vAlign w:val="bottom"/>
          </w:tcPr>
          <w:p>
            <w:pPr>
              <w:spacing w:after="0"/>
              <w:rPr>
                <w:sz w:val="24"/>
                <w:szCs w:val="24"/>
                <w:color w:val="auto"/>
              </w:rPr>
            </w:pPr>
          </w:p>
        </w:tc>
      </w:tr>
      <w:tr>
        <w:trPr>
          <w:trHeight w:val="261"/>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New York, New York</w:t>
            </w:r>
          </w:p>
        </w:tc>
        <w:tc>
          <w:tcPr>
            <w:tcW w:w="4880" w:type="dxa"/>
            <w:vAlign w:val="bottom"/>
          </w:tcPr>
          <w:p>
            <w:pPr>
              <w:jc w:val="right"/>
              <w:ind w:right="990"/>
              <w:spacing w:after="0"/>
              <w:rPr>
                <w:sz w:val="20"/>
                <w:szCs w:val="20"/>
                <w:color w:val="auto"/>
              </w:rPr>
            </w:pPr>
            <w:r>
              <w:rPr>
                <w:rFonts w:ascii="Arial" w:cs="Arial" w:eastAsia="Arial" w:hAnsi="Arial"/>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Arial" w:cs="Arial" w:eastAsia="Arial" w:hAnsi="Arial"/>
                <w:sz w:val="18"/>
                <w:szCs w:val="18"/>
                <w:b w:val="1"/>
                <w:bCs w:val="1"/>
                <w:color w:val="auto"/>
                <w:w w:val="97"/>
              </w:rPr>
              <w:t>(646) 430-6000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10"/>
        </w:trPr>
        <w:tc>
          <w:tcPr>
            <w:tcW w:w="3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4"/>
        </w:trPr>
        <w:tc>
          <w:tcPr>
            <w:tcW w:w="3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Class A common stock, par value $0.00001</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color w:val="auto"/>
              </w:rPr>
              <w:t>TW</w:t>
            </w:r>
          </w:p>
        </w:tc>
        <w:tc>
          <w:tcPr>
            <w:tcW w:w="356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82" w:lineRule="exact"/>
        <w:rPr>
          <w:sz w:val="24"/>
          <w:szCs w:val="24"/>
          <w:color w:val="auto"/>
        </w:rPr>
      </w:pPr>
    </w:p>
    <w:p>
      <w:pPr>
        <w:ind w:right="220"/>
        <w:spacing w:after="0" w:line="208"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MS PGothic" w:cs="MS PGothic" w:eastAsia="MS PGothic" w:hAnsi="MS PGothic"/>
          <w:sz w:val="17"/>
          <w:szCs w:val="17"/>
          <w:color w:val="auto"/>
        </w:rPr>
        <w:t>☒</w:t>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10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06" w:lineRule="exact"/>
        <w:rPr>
          <w:sz w:val="24"/>
          <w:szCs w:val="24"/>
          <w:color w:val="auto"/>
        </w:rPr>
      </w:pPr>
    </w:p>
    <w:p>
      <w:pPr>
        <w:ind w:left="20" w:right="760"/>
        <w:spacing w:after="0" w:line="399"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86"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33" w:right="339" w:bottom="1440" w:gutter="0" w:footer="0" w:header="0"/>
          <w:type w:val="continuous"/>
        </w:sectPr>
      </w:pPr>
    </w:p>
    <w:p>
      <w:pPr>
        <w:ind w:right="56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Borders>
              <w:bottom w:val="single" w:sz="8" w:color="auto"/>
            </w:tcBorders>
          </w:tcPr>
          <w:p>
            <w:pPr>
              <w:ind w:left="2320"/>
              <w:spacing w:after="0"/>
              <w:rPr>
                <w:sz w:val="20"/>
                <w:szCs w:val="20"/>
                <w:color w:val="auto"/>
              </w:rPr>
            </w:pPr>
            <w:r>
              <w:rPr>
                <w:rFonts w:ascii="Arial" w:cs="Arial" w:eastAsia="Arial" w:hAnsi="Arial"/>
                <w:sz w:val="14"/>
                <w:szCs w:val="14"/>
                <w:color w:val="auto"/>
              </w:rPr>
              <w:t>Class of Stock</w:t>
            </w:r>
          </w:p>
        </w:tc>
        <w:tc>
          <w:tcPr>
            <w:tcW w:w="260" w:type="dxa"/>
            <w:vAlign w:val="bottom"/>
          </w:tcPr>
          <w:p>
            <w:pPr>
              <w:spacing w:after="0"/>
              <w:rPr>
                <w:sz w:val="17"/>
                <w:szCs w:val="17"/>
                <w:color w:val="auto"/>
              </w:rPr>
            </w:pPr>
          </w:p>
        </w:tc>
        <w:tc>
          <w:tcPr>
            <w:tcW w:w="5500" w:type="dxa"/>
            <w:vAlign w:val="bottom"/>
            <w:tcBorders>
              <w:bottom w:val="single" w:sz="8" w:color="auto"/>
            </w:tcBorders>
          </w:tcPr>
          <w:p>
            <w:pPr>
              <w:jc w:val="right"/>
              <w:ind w:right="1448"/>
              <w:spacing w:after="0"/>
              <w:rPr>
                <w:sz w:val="20"/>
                <w:szCs w:val="20"/>
                <w:color w:val="auto"/>
              </w:rPr>
            </w:pPr>
            <w:r>
              <w:rPr>
                <w:rFonts w:ascii="Arial" w:cs="Arial" w:eastAsia="Arial" w:hAnsi="Arial"/>
                <w:sz w:val="14"/>
                <w:szCs w:val="14"/>
                <w:color w:val="auto"/>
              </w:rPr>
              <w:t>Shares Outstanding as of October 21, 2020</w:t>
            </w:r>
          </w:p>
        </w:tc>
      </w:tr>
      <w:tr>
        <w:trPr>
          <w:trHeight w:val="190"/>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91,225,923</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96,933,192</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5,109,991</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34,403,255</w:t>
            </w:r>
          </w:p>
        </w:tc>
      </w:tr>
      <w:tr>
        <w:trPr>
          <w:trHeight w:val="174"/>
        </w:trPr>
        <w:tc>
          <w:tcPr>
            <w:tcW w:w="5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500" w:type="dxa"/>
            <w:vAlign w:val="bottom"/>
            <w:tcBorders>
              <w:bottom w:val="single" w:sz="8" w:color="auto"/>
            </w:tcBorders>
          </w:tcPr>
          <w:p>
            <w:pPr>
              <w:spacing w:after="0"/>
              <w:rPr>
                <w:sz w:val="15"/>
                <w:szCs w:val="15"/>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13"/>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230"/>
        </w:trPr>
        <w:tc>
          <w:tcPr>
            <w:tcW w:w="10280" w:type="dxa"/>
            <w:vAlign w:val="bottom"/>
            <w:gridSpan w:val="2"/>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CAUTIONARY NOTE REGARDING FORWARD-LOOKING STATEMENTS</w:t>
              </w:r>
            </w:hyperlink>
          </w:p>
        </w:tc>
        <w:tc>
          <w:tcPr>
            <w:tcW w:w="96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91"/>
        </w:trPr>
        <w:tc>
          <w:tcPr>
            <w:tcW w:w="10280" w:type="dxa"/>
            <w:vAlign w:val="bottom"/>
            <w:gridSpan w:val="2"/>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PART I — FINANCIAL INFORMATION</w:t>
              </w:r>
            </w:hyperlink>
          </w:p>
        </w:tc>
        <w:tc>
          <w:tcPr>
            <w:tcW w:w="960" w:type="dxa"/>
            <w:vAlign w:val="bottom"/>
          </w:tcPr>
          <w:p>
            <w:pPr>
              <w:spacing w:after="0"/>
              <w:rPr>
                <w:sz w:val="24"/>
                <w:szCs w:val="24"/>
                <w:color w:val="auto"/>
              </w:rPr>
            </w:pPr>
          </w:p>
        </w:tc>
      </w:tr>
      <w:tr>
        <w:trPr>
          <w:trHeight w:val="392"/>
        </w:trPr>
        <w:tc>
          <w:tcPr>
            <w:tcW w:w="820" w:type="dxa"/>
            <w:vAlign w:val="bottom"/>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w:t>
              </w:r>
            </w:hyperlink>
          </w:p>
        </w:tc>
        <w:tc>
          <w:tcPr>
            <w:tcW w:w="9460" w:type="dxa"/>
            <w:vAlign w:val="bottom"/>
          </w:tcPr>
          <w:p>
            <w:pPr>
              <w:ind w:left="1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Financial Statements</w:t>
              </w:r>
            </w:hyperlink>
          </w:p>
        </w:tc>
        <w:tc>
          <w:tcPr>
            <w:tcW w:w="96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92"/>
        </w:trPr>
        <w:tc>
          <w:tcPr>
            <w:tcW w:w="10280" w:type="dxa"/>
            <w:vAlign w:val="bottom"/>
            <w:gridSpan w:val="2"/>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Financial Condition</w:t>
              </w:r>
            </w:hyperlink>
          </w:p>
        </w:tc>
        <w:tc>
          <w:tcPr>
            <w:tcW w:w="96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92"/>
        </w:trPr>
        <w:tc>
          <w:tcPr>
            <w:tcW w:w="10280" w:type="dxa"/>
            <w:vAlign w:val="bottom"/>
            <w:gridSpan w:val="2"/>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Income</w:t>
              </w:r>
            </w:hyperlink>
          </w:p>
        </w:tc>
        <w:tc>
          <w:tcPr>
            <w:tcW w:w="96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391"/>
        </w:trPr>
        <w:tc>
          <w:tcPr>
            <w:tcW w:w="10280" w:type="dxa"/>
            <w:vAlign w:val="bottom"/>
            <w:gridSpan w:val="2"/>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Consolidated Statements of Comprehensive Income</w:t>
              </w:r>
            </w:hyperlink>
          </w:p>
        </w:tc>
        <w:tc>
          <w:tcPr>
            <w:tcW w:w="96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392"/>
        </w:trPr>
        <w:tc>
          <w:tcPr>
            <w:tcW w:w="10280" w:type="dxa"/>
            <w:vAlign w:val="bottom"/>
            <w:gridSpan w:val="2"/>
          </w:tcPr>
          <w:p>
            <w:pPr>
              <w:ind w:lef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Consolidated Statements of Changes in Equity</w:t>
              </w:r>
            </w:hyperlink>
          </w:p>
        </w:tc>
        <w:tc>
          <w:tcPr>
            <w:tcW w:w="9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392"/>
        </w:trPr>
        <w:tc>
          <w:tcPr>
            <w:tcW w:w="10280" w:type="dxa"/>
            <w:vAlign w:val="bottom"/>
            <w:gridSpan w:val="2"/>
          </w:tcPr>
          <w:p>
            <w:pPr>
              <w:ind w:left="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Consolidated Statements of Cash Flows</w:t>
              </w:r>
            </w:hyperlink>
          </w:p>
        </w:tc>
        <w:tc>
          <w:tcPr>
            <w:tcW w:w="960" w:type="dxa"/>
            <w:vAlign w:val="bottom"/>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392"/>
        </w:trPr>
        <w:tc>
          <w:tcPr>
            <w:tcW w:w="10280" w:type="dxa"/>
            <w:vAlign w:val="bottom"/>
            <w:gridSpan w:val="2"/>
          </w:tcPr>
          <w:p>
            <w:pPr>
              <w:ind w:left="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Consolidated Financial Statements</w:t>
              </w:r>
            </w:hyperlink>
          </w:p>
        </w:tc>
        <w:tc>
          <w:tcPr>
            <w:tcW w:w="960" w:type="dxa"/>
            <w:vAlign w:val="bottom"/>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12</w:t>
              </w:r>
            </w:hyperlink>
          </w:p>
        </w:tc>
      </w:tr>
      <w:tr>
        <w:trPr>
          <w:trHeight w:val="391"/>
        </w:trPr>
        <w:tc>
          <w:tcPr>
            <w:tcW w:w="82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2.</w:t>
              </w:r>
            </w:hyperlink>
          </w:p>
        </w:tc>
        <w:tc>
          <w:tcPr>
            <w:tcW w:w="9460" w:type="dxa"/>
            <w:vAlign w:val="bottom"/>
          </w:tcPr>
          <w:p>
            <w:pPr>
              <w:ind w:left="1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Management’s Discussion and Analysis of Financial Condition and Results of Operations</w:t>
              </w:r>
            </w:hyperlink>
          </w:p>
        </w:tc>
        <w:tc>
          <w:tcPr>
            <w:tcW w:w="96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392"/>
        </w:trPr>
        <w:tc>
          <w:tcPr>
            <w:tcW w:w="820" w:type="dxa"/>
            <w:vAlign w:val="bottom"/>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3.</w:t>
              </w:r>
            </w:hyperlink>
          </w:p>
        </w:tc>
        <w:tc>
          <w:tcPr>
            <w:tcW w:w="9460" w:type="dxa"/>
            <w:vAlign w:val="bottom"/>
          </w:tcPr>
          <w:p>
            <w:pPr>
              <w:ind w:left="16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Quantitative and Qualitative Disclosures about Market Risk</w:t>
              </w:r>
            </w:hyperlink>
          </w:p>
        </w:tc>
        <w:tc>
          <w:tcPr>
            <w:tcW w:w="960" w:type="dxa"/>
            <w:vAlign w:val="bottom"/>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392"/>
        </w:trPr>
        <w:tc>
          <w:tcPr>
            <w:tcW w:w="82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4.</w:t>
              </w:r>
            </w:hyperlink>
          </w:p>
        </w:tc>
        <w:tc>
          <w:tcPr>
            <w:tcW w:w="9460" w:type="dxa"/>
            <w:vAlign w:val="bottom"/>
          </w:tcPr>
          <w:p>
            <w:pPr>
              <w:ind w:left="16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Controls and Procedures</w:t>
              </w:r>
            </w:hyperlink>
          </w:p>
        </w:tc>
        <w:tc>
          <w:tcPr>
            <w:tcW w:w="96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392"/>
        </w:trPr>
        <w:tc>
          <w:tcPr>
            <w:tcW w:w="10280" w:type="dxa"/>
            <w:vAlign w:val="bottom"/>
            <w:gridSpan w:val="2"/>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PART II — OTHER INFORMATION</w:t>
              </w:r>
            </w:hyperlink>
          </w:p>
        </w:tc>
        <w:tc>
          <w:tcPr>
            <w:tcW w:w="960" w:type="dxa"/>
            <w:vAlign w:val="bottom"/>
          </w:tcPr>
          <w:p>
            <w:pPr>
              <w:jc w:val="right"/>
              <w:spacing w:after="0"/>
              <w:rPr>
                <w:rFonts w:ascii="Arial" w:cs="Arial" w:eastAsia="Arial" w:hAnsi="Arial"/>
                <w:sz w:val="18"/>
                <w:szCs w:val="18"/>
                <w:color w:val="0000FF"/>
              </w:rPr>
            </w:pPr>
            <w:hyperlink w:anchor="page67">
              <w:r>
                <w:rPr>
                  <w:rFonts w:ascii="Arial" w:cs="Arial" w:eastAsia="Arial" w:hAnsi="Arial"/>
                  <w:sz w:val="18"/>
                  <w:szCs w:val="18"/>
                  <w:color w:val="0000FF"/>
                </w:rPr>
                <w:t>68</w:t>
              </w:r>
            </w:hyperlink>
          </w:p>
        </w:tc>
      </w:tr>
      <w:tr>
        <w:trPr>
          <w:trHeight w:val="391"/>
        </w:trPr>
        <w:tc>
          <w:tcPr>
            <w:tcW w:w="82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1.</w:t>
              </w:r>
            </w:hyperlink>
          </w:p>
        </w:tc>
        <w:tc>
          <w:tcPr>
            <w:tcW w:w="9460" w:type="dxa"/>
            <w:vAlign w:val="bottom"/>
          </w:tcPr>
          <w:p>
            <w:pPr>
              <w:ind w:left="16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Legal Proceedings</w:t>
              </w:r>
            </w:hyperlink>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392"/>
        </w:trPr>
        <w:tc>
          <w:tcPr>
            <w:tcW w:w="82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1A.</w:t>
              </w:r>
            </w:hyperlink>
          </w:p>
        </w:tc>
        <w:tc>
          <w:tcPr>
            <w:tcW w:w="9460" w:type="dxa"/>
            <w:vAlign w:val="bottom"/>
          </w:tcPr>
          <w:p>
            <w:pPr>
              <w:ind w:left="16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Risk Factors</w:t>
              </w:r>
            </w:hyperlink>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391"/>
        </w:trPr>
        <w:tc>
          <w:tcPr>
            <w:tcW w:w="82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2.</w:t>
              </w:r>
            </w:hyperlink>
          </w:p>
        </w:tc>
        <w:tc>
          <w:tcPr>
            <w:tcW w:w="9460" w:type="dxa"/>
            <w:vAlign w:val="bottom"/>
          </w:tcPr>
          <w:p>
            <w:pPr>
              <w:ind w:left="16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Unregistered Sales of Equity Securities and Use of Proceeds</w:t>
              </w:r>
            </w:hyperlink>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392"/>
        </w:trPr>
        <w:tc>
          <w:tcPr>
            <w:tcW w:w="82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3.</w:t>
              </w:r>
            </w:hyperlink>
          </w:p>
        </w:tc>
        <w:tc>
          <w:tcPr>
            <w:tcW w:w="9460" w:type="dxa"/>
            <w:vAlign w:val="bottom"/>
          </w:tcPr>
          <w:p>
            <w:pPr>
              <w:ind w:left="16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Defaults Upon Senior Securities</w:t>
              </w:r>
            </w:hyperlink>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391"/>
        </w:trPr>
        <w:tc>
          <w:tcPr>
            <w:tcW w:w="82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4.</w:t>
              </w:r>
            </w:hyperlink>
          </w:p>
        </w:tc>
        <w:tc>
          <w:tcPr>
            <w:tcW w:w="9460" w:type="dxa"/>
            <w:vAlign w:val="bottom"/>
          </w:tcPr>
          <w:p>
            <w:pPr>
              <w:ind w:left="16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Mine Safety Disclosures</w:t>
              </w:r>
            </w:hyperlink>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392"/>
        </w:trPr>
        <w:tc>
          <w:tcPr>
            <w:tcW w:w="82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5.</w:t>
              </w:r>
            </w:hyperlink>
          </w:p>
        </w:tc>
        <w:tc>
          <w:tcPr>
            <w:tcW w:w="9460" w:type="dxa"/>
            <w:vAlign w:val="bottom"/>
          </w:tcPr>
          <w:p>
            <w:pPr>
              <w:ind w:left="16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Other Information</w:t>
              </w:r>
            </w:hyperlink>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68</w:t>
              </w:r>
            </w:hyperlink>
          </w:p>
        </w:tc>
      </w:tr>
      <w:tr>
        <w:trPr>
          <w:trHeight w:val="391"/>
        </w:trPr>
        <w:tc>
          <w:tcPr>
            <w:tcW w:w="82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6.</w:t>
              </w:r>
            </w:hyperlink>
          </w:p>
        </w:tc>
        <w:tc>
          <w:tcPr>
            <w:tcW w:w="9460" w:type="dxa"/>
            <w:vAlign w:val="bottom"/>
          </w:tcPr>
          <w:p>
            <w:pPr>
              <w:ind w:left="16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Exhibits</w:t>
              </w:r>
            </w:hyperlink>
          </w:p>
        </w:tc>
        <w:tc>
          <w:tcPr>
            <w:tcW w:w="960" w:type="dxa"/>
            <w:vAlign w:val="bottom"/>
          </w:tcPr>
          <w:p>
            <w:pPr>
              <w:jc w:val="right"/>
              <w:spacing w:after="0"/>
              <w:rPr>
                <w:rFonts w:ascii="Arial" w:cs="Arial" w:eastAsia="Arial" w:hAnsi="Arial"/>
                <w:sz w:val="18"/>
                <w:szCs w:val="18"/>
                <w:color w:val="0000FF"/>
              </w:rPr>
            </w:pPr>
            <w:hyperlink w:anchor="page68">
              <w:r>
                <w:rPr>
                  <w:rFonts w:ascii="Arial" w:cs="Arial" w:eastAsia="Arial" w:hAnsi="Arial"/>
                  <w:sz w:val="18"/>
                  <w:szCs w:val="18"/>
                  <w:color w:val="0000FF"/>
                </w:rPr>
                <w:t>69</w:t>
              </w:r>
            </w:hyperlink>
          </w:p>
        </w:tc>
      </w:tr>
      <w:tr>
        <w:trPr>
          <w:trHeight w:val="392"/>
        </w:trPr>
        <w:tc>
          <w:tcPr>
            <w:tcW w:w="820" w:type="dxa"/>
            <w:vAlign w:val="bottom"/>
          </w:tcPr>
          <w:p>
            <w:pPr>
              <w:spacing w:after="0"/>
              <w:rPr>
                <w:sz w:val="24"/>
                <w:szCs w:val="24"/>
                <w:color w:val="auto"/>
              </w:rPr>
            </w:pPr>
          </w:p>
        </w:tc>
        <w:tc>
          <w:tcPr>
            <w:tcW w:w="9460" w:type="dxa"/>
            <w:vAlign w:val="bottom"/>
          </w:tcPr>
          <w:p>
            <w:pPr>
              <w:ind w:left="16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Signatures</w:t>
              </w:r>
            </w:hyperlink>
          </w:p>
        </w:tc>
        <w:tc>
          <w:tcPr>
            <w:tcW w:w="960" w:type="dxa"/>
            <w:vAlign w:val="bottom"/>
          </w:tcPr>
          <w:p>
            <w:pPr>
              <w:jc w:val="right"/>
              <w:spacing w:after="0"/>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r>
      <w:tr>
        <w:trPr>
          <w:trHeight w:val="904"/>
        </w:trPr>
        <w:tc>
          <w:tcPr>
            <w:tcW w:w="820" w:type="dxa"/>
            <w:vAlign w:val="bottom"/>
          </w:tcPr>
          <w:p>
            <w:pPr>
              <w:spacing w:after="0"/>
              <w:rPr>
                <w:sz w:val="24"/>
                <w:szCs w:val="24"/>
                <w:color w:val="auto"/>
              </w:rPr>
            </w:pPr>
          </w:p>
        </w:tc>
        <w:tc>
          <w:tcPr>
            <w:tcW w:w="9460" w:type="dxa"/>
            <w:vAlign w:val="bottom"/>
          </w:tcPr>
          <w:p>
            <w:pPr>
              <w:ind w:left="476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9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 For more information regarding the transactions described above, see Note 1 – Organization to our unaudited consolidated financial statements included elsewhere in this Quarterly Report on Form 10-Q.</w:t>
      </w:r>
    </w:p>
    <w:p>
      <w:pPr>
        <w:spacing w:after="0" w:line="17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financial statements and other disclosures contained in this Quarterly Report on Form 10-Q relate to periods that ended both prior to and after the completion of the Reorganization Transactions and the IPO. 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9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unaudited consolidated financial statements and other financial disclosures included elsewhere in this Quarterly Report on Form 10-Q relating to periods prior to and including March 31, 2019, which we sometimes refer to as the “pre-IPO period,” reflect the results of operations, financial position and cash flows of Tradeweb Markets LLC, the predecessor of Tradeweb Markets Inc. for financial reporting purposes, and its subsidiaries. The unaudited consolidated financial statements and other financial disclosures included elsewhere in this Quarterly Report on Form 10-Q relating to periods beginning on April 1, 2019, and through and including September 30, 2020, which we sometimes refer to as the “post-IPO period,” reflect the results of operations, financial position and cash flows of Tradeweb Markets Inc. and its subsidiaries, including the consolidation of its investment in Tradeweb Markets LLC. As a result, for financial reporting purposes, the pre-IPO period excludes, and the post-IPO period includes, our financial results from April 1, 2019 through April 3, 2019, which are not material. The unaudited consolidated financial statements and other financial disclosures included elsewhere in this Quarterly Report on Form 10-Q do not reflect what the results of operations, financial position or cash flows would have been had the Reorganization Transactions and the IPO taken place at the beginning of the periods presented.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225" w:lineRule="exact"/>
        <w:rPr>
          <w:sz w:val="20"/>
          <w:szCs w:val="20"/>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71" w:lineRule="exact"/>
        <w:rPr>
          <w:rFonts w:ascii="Arial" w:cs="Arial" w:eastAsia="Arial" w:hAnsi="Arial"/>
          <w:sz w:val="17"/>
          <w:szCs w:val="17"/>
          <w:color w:val="auto"/>
        </w:rPr>
      </w:pPr>
    </w:p>
    <w:p>
      <w:pPr>
        <w:ind w:left="660" w:hanging="328"/>
        <w:spacing w:after="0" w:line="29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61" w:lineRule="exact"/>
        <w:rPr>
          <w:rFonts w:ascii="Arial" w:cs="Arial" w:eastAsia="Arial" w:hAnsi="Arial"/>
          <w:sz w:val="16"/>
          <w:szCs w:val="16"/>
          <w:color w:val="auto"/>
        </w:rPr>
      </w:pPr>
    </w:p>
    <w:p>
      <w:pPr>
        <w:ind w:left="660" w:right="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 collectively to (i) those Original LLC Owners, including an indirect subsidiary of Refinitiv (as defined below), certain of the Bank Stockholders and members of management, that continue to own LLC Interests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32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collectively hold indirectly a 55% ownership interest in Refinitiv (as defined below).</w:t>
      </w:r>
    </w:p>
    <w:p>
      <w:pPr>
        <w:spacing w:after="0" w:line="183" w:lineRule="exact"/>
        <w:rPr>
          <w:rFonts w:ascii="Arial" w:cs="Arial" w:eastAsia="Arial" w:hAnsi="Arial"/>
          <w:sz w:val="18"/>
          <w:szCs w:val="18"/>
          <w:color w:val="auto"/>
        </w:rPr>
      </w:pPr>
    </w:p>
    <w:p>
      <w:pPr>
        <w:ind w:left="660" w:right="9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issued in connection with the Reorganization Transactions.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in an all share transaction for a total enterprise value of approximately $27 billion.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225"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“Refinitiv” refer to Refinitiv Holdings Limited, and unless otherwise stated or the context otherwise requires, all of its subsidiaries, which owns substantially all of the former financial and risk business of Thomson Reuters (as defined below), including, prior to and following the completion of the Reorganization Transactions, an indirect majority ownership interest in Tradeweb, and is controlled by the Investor Group.</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refer to Thomson Reuters Corporation, which indirectly holds a 45% ownership interest in Refinitiv.</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including the pending LSEG Transaction, our performance or otherwise, contained in this Quarterly Report on Form 10-Q are forward-looking statements. In addition, statements contained in this Quarterly Report on Form 10-Q relating to the COVID-19 pandemic, the potential impacts of which are inherently uncertain, are forward-looking statements.</w:t>
      </w:r>
    </w:p>
    <w:p>
      <w:pPr>
        <w:spacing w:after="0" w:line="185"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3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dealer clients that, in some cases, are also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225"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225"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“Item 1A. Risk Factors” of our Annual Report on Form 10-K, as amended, for the year ended December 31, 2019 (the “2019 Form 10-K”), filed with the Securities and Exchange Commission (“SEC”), “Item 1A. Risk Factors” in this Quarterly Report on Form 10-Q, and in other filings we may make from time to time with the SEC.</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92"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6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ind w:left="3600"/>
        <w:spacing w:after="0"/>
        <w:rPr>
          <w:sz w:val="20"/>
          <w:szCs w:val="20"/>
          <w:color w:val="auto"/>
        </w:rPr>
      </w:pPr>
      <w:r>
        <w:rPr>
          <w:rFonts w:ascii="Arial" w:cs="Arial" w:eastAsia="Arial" w:hAnsi="Arial"/>
          <w:sz w:val="20"/>
          <w:szCs w:val="20"/>
          <w:b w:val="1"/>
          <w:bCs w:val="1"/>
          <w:color w:val="auto"/>
        </w:rPr>
        <w:t>Consolidated Statements of Financial Condition</w:t>
      </w:r>
    </w:p>
    <w:p>
      <w:pPr>
        <w:spacing w:after="0" w:line="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82"/>
        </w:trPr>
        <w:tc>
          <w:tcPr>
            <w:tcW w:w="7900" w:type="dxa"/>
            <w:vAlign w:val="bottom"/>
            <w:tcBorders>
              <w:top w:val="single" w:sz="8" w:color="CCEEFF"/>
              <w:bottom w:val="single" w:sz="8" w:color="CCEEFF"/>
            </w:tcBorders>
            <w:shd w:val="clear" w:color="auto" w:fill="CCEEFF"/>
          </w:tcPr>
          <w:p>
            <w:pPr>
              <w:ind w:left="376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677,352</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460,711</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1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57,346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30,641</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9,724</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w w:val="94"/>
              </w:rPr>
              <w:t>Accounts receivable, net of allowance for credit losses of $120 and $195 at September 30, 2020 and December 31, 2019, respectively</w:t>
            </w:r>
          </w:p>
        </w:tc>
        <w:tc>
          <w:tcPr>
            <w:tcW w:w="1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97,783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92,814</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40,405</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1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28,073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24,504</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169,877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173,086</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2,694,797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2,694,797</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1,206,886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1,281,441</w:t>
            </w: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Receivable from affiliates</w:t>
            </w:r>
          </w:p>
        </w:tc>
        <w:tc>
          <w:tcPr>
            <w:tcW w:w="1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2,525</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516,051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256,450</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27,236</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5,537,353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5,095,334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84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2"/>
          <w:szCs w:val="12"/>
          <w:color w:val="auto"/>
        </w:rPr>
        <w:t>Payable to brokers and dealers and clearing organizations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Accrued compensation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revenue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Accounts payable, accrued expenses and other liabilities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 equity compensation payable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Lease liability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Payable to affiliates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tax liability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Tax receivable agreement liability</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liabilities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 (Note 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56,802</w:t>
            </w:r>
          </w:p>
        </w:tc>
        <w:tc>
          <w:tcPr>
            <w:tcW w:w="100" w:type="dxa"/>
            <w:vAlign w:val="bottom"/>
          </w:tcPr>
          <w:p>
            <w:pPr>
              <w:spacing w:after="0"/>
              <w:rPr>
                <w:sz w:val="15"/>
                <w:szCs w:val="15"/>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30,452</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101,436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119,415</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29,857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23,990</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36,791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32,834</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1,048</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33,240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30,955</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4,977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1,506</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20,565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21,572</w:t>
            </w:r>
          </w:p>
        </w:tc>
      </w:tr>
      <w:tr>
        <w:trPr>
          <w:trHeight w:val="222"/>
        </w:trPr>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372,953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240,817</w:t>
            </w:r>
          </w:p>
        </w:tc>
      </w:tr>
      <w:tr>
        <w:trPr>
          <w:trHeight w:val="196"/>
        </w:trPr>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658,134</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502,589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-1242695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-967740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-694055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-419735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-145415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93980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351155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Stockholders' Equity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Preferred stock, $.00001 par value; 250,000,000 shares authorized; none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5" w:lineRule="exact"/>
        <w:rPr>
          <w:sz w:val="20"/>
          <w:szCs w:val="20"/>
          <w:color w:val="auto"/>
        </w:rPr>
      </w:pPr>
    </w:p>
    <w:p>
      <w:pPr>
        <w:ind w:left="20" w:right="980"/>
        <w:spacing w:after="0" w:line="273" w:lineRule="auto"/>
        <w:rPr>
          <w:sz w:val="20"/>
          <w:szCs w:val="20"/>
          <w:color w:val="auto"/>
        </w:rPr>
      </w:pPr>
      <w:r>
        <w:rPr>
          <w:rFonts w:ascii="Arial" w:cs="Arial" w:eastAsia="Arial" w:hAnsi="Arial"/>
          <w:sz w:val="14"/>
          <w:szCs w:val="14"/>
          <w:color w:val="auto"/>
        </w:rPr>
        <w:t>Class A common stock, $.00001 par value; 1,000,000,000 shares authorized; 90,985,582 shares issued and outstanding as of September 30, 2020</w:t>
      </w:r>
    </w:p>
    <w:p>
      <w:pPr>
        <w:spacing w:after="0" w:line="12" w:lineRule="exact"/>
        <w:rPr>
          <w:sz w:val="20"/>
          <w:szCs w:val="20"/>
          <w:color w:val="auto"/>
        </w:rPr>
      </w:pPr>
    </w:p>
    <w:p>
      <w:pPr>
        <w:ind w:left="20" w:right="1100"/>
        <w:spacing w:after="0" w:line="273" w:lineRule="auto"/>
        <w:rPr>
          <w:sz w:val="20"/>
          <w:szCs w:val="20"/>
          <w:color w:val="auto"/>
        </w:rPr>
      </w:pPr>
      <w:r>
        <w:rPr>
          <w:rFonts w:ascii="Arial" w:cs="Arial" w:eastAsia="Arial" w:hAnsi="Arial"/>
          <w:sz w:val="14"/>
          <w:szCs w:val="14"/>
          <w:color w:val="auto"/>
        </w:rPr>
        <w:t>Class B common stock, $.00001 par value; 450,000,000 shares authorized; 96,933,192 shares issued and outstanding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right="300"/>
        <w:spacing w:after="0" w:line="273" w:lineRule="auto"/>
        <w:rPr>
          <w:sz w:val="20"/>
          <w:szCs w:val="20"/>
          <w:color w:val="auto"/>
        </w:rPr>
      </w:pPr>
      <w:r>
        <w:rPr>
          <w:rFonts w:ascii="Arial" w:cs="Arial" w:eastAsia="Arial" w:hAnsi="Arial"/>
          <w:sz w:val="14"/>
          <w:szCs w:val="14"/>
          <w:color w:val="auto"/>
        </w:rPr>
        <w:t>Class C common stock, $.00001 par value; 350,000,000 shares authorized; 5,109,991 shares issued and outstanding as of September 30, 2020</w:t>
      </w:r>
    </w:p>
    <w:p>
      <w:pPr>
        <w:spacing w:after="0" w:line="12" w:lineRule="exact"/>
        <w:rPr>
          <w:sz w:val="20"/>
          <w:szCs w:val="20"/>
          <w:color w:val="auto"/>
        </w:rPr>
      </w:pPr>
    </w:p>
    <w:p>
      <w:pPr>
        <w:ind w:left="20" w:right="1080"/>
        <w:spacing w:after="0" w:line="273" w:lineRule="auto"/>
        <w:rPr>
          <w:sz w:val="20"/>
          <w:szCs w:val="20"/>
          <w:color w:val="auto"/>
        </w:rPr>
      </w:pPr>
      <w:r>
        <w:rPr>
          <w:rFonts w:ascii="Arial" w:cs="Arial" w:eastAsia="Arial" w:hAnsi="Arial"/>
          <w:sz w:val="14"/>
          <w:szCs w:val="14"/>
          <w:color w:val="auto"/>
        </w:rPr>
        <w:t>Class D common stock, $.00001 par value; 300,000,000 shares authorized; 34,403,255 shares issued and outstanding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Additional paid-in capital</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Retained earnings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stockholders' equity attributable to 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Non-controlling interests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7900" w:val="left"/>
        </w:tabs>
        <w:rPr>
          <w:sz w:val="20"/>
          <w:szCs w:val="20"/>
          <w:color w:val="auto"/>
        </w:rPr>
      </w:pPr>
      <w:r>
        <w:rPr>
          <w:rFonts w:ascii="Arial" w:cs="Arial" w:eastAsia="Arial" w:hAnsi="Arial"/>
          <w:sz w:val="14"/>
          <w:szCs w:val="14"/>
          <w:b w:val="1"/>
          <w:bCs w:val="1"/>
          <w:color w:val="auto"/>
        </w:rPr>
        <w:t>Total liabilities and stockholders' equity</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78"/>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78"/>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3,940,592</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3,329,386</w:t>
            </w:r>
          </w:p>
        </w:tc>
      </w:tr>
      <w:tr>
        <w:trPr>
          <w:trHeight w:val="216"/>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1,366</w:t>
            </w:r>
          </w:p>
        </w:tc>
      </w:tr>
      <w:tr>
        <w:trPr>
          <w:trHeight w:val="222"/>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116,161</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47,833</w:t>
            </w:r>
          </w:p>
        </w:tc>
      </w:tr>
      <w:tr>
        <w:trPr>
          <w:trHeight w:val="190"/>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4,056,855</w:t>
            </w: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3,378,588</w:t>
            </w:r>
          </w:p>
        </w:tc>
      </w:tr>
      <w:tr>
        <w:trPr>
          <w:trHeight w:val="222"/>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822,364</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1,214,157</w:t>
            </w:r>
          </w:p>
        </w:tc>
      </w:tr>
      <w:tr>
        <w:trPr>
          <w:trHeight w:val="195"/>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4,879,219</w:t>
            </w: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4,592,745</w:t>
            </w:r>
          </w:p>
        </w:tc>
      </w:tr>
      <w:tr>
        <w:trPr>
          <w:trHeight w:val="186"/>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5,537,353</w:t>
            </w: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5,095,334</w:t>
            </w:r>
          </w:p>
        </w:tc>
      </w:tr>
      <w:tr>
        <w:trPr>
          <w:trHeight w:val="24"/>
        </w:trPr>
        <w:tc>
          <w:tcPr>
            <w:tcW w:w="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-8255</wp:posOffset>
            </wp:positionV>
            <wp:extent cx="1028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-299720</wp:posOffset>
            </wp:positionV>
            <wp:extent cx="1028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-574040</wp:posOffset>
            </wp:positionV>
            <wp:extent cx="1028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720"/>
            <w:col w:w="2360"/>
          </w:cols>
          <w:pgMar w:left="320" w:top="125"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Consolidated Statements of Income</w:t>
      </w: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5"/>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Transaction fees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120,582</w:t>
            </w:r>
          </w:p>
        </w:tc>
        <w:tc>
          <w:tcPr>
            <w:tcW w:w="860" w:type="dxa"/>
            <w:vAlign w:val="bottom"/>
            <w:gridSpan w:val="3"/>
          </w:tcPr>
          <w:p>
            <w:pPr>
              <w:jc w:val="right"/>
              <w:ind w:right="3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112,746</w:t>
            </w:r>
          </w:p>
        </w:tc>
        <w:tc>
          <w:tcPr>
            <w:tcW w:w="720" w:type="dxa"/>
            <w:vAlign w:val="bottom"/>
            <w:gridSpan w:val="3"/>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383,552</w:t>
            </w:r>
          </w:p>
        </w:tc>
        <w:tc>
          <w:tcPr>
            <w:tcW w:w="840" w:type="dxa"/>
            <w:vAlign w:val="bottom"/>
            <w:gridSpan w:val="3"/>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319,338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Subscription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35,387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105,706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104,398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Commissions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39,593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37,590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120,201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108,200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Refinitiv market data fees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13,251</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43,466</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2,205</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6,658</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6,070</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Gross revenue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212,870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200,981</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659,583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578,258</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Expenses</w:t>
            </w: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Employee compensation and benefits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83,967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79,644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263,353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252,912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38,857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35,133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113,952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102,928</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Technology and communications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9,527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34,397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29,086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7,507</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25,961</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4"/>
                <w:szCs w:val="14"/>
                <w:color w:val="auto"/>
              </w:rPr>
              <w:t>Professional fees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7,272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20,981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Occupancy</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3,443</w:t>
            </w: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3,640</w:t>
            </w:r>
          </w:p>
        </w:tc>
        <w:tc>
          <w:tcPr>
            <w:tcW w:w="2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10,678</w:t>
            </w: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10,900</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b w:val="1"/>
                <w:bCs w:val="1"/>
                <w:color w:val="auto"/>
              </w:rPr>
              <w:t>Total expenses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154,349</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142,723</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467,808</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442,768</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58,521</w:t>
            </w:r>
          </w:p>
        </w:tc>
        <w:tc>
          <w:tcPr>
            <w:tcW w:w="2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58,258</w:t>
            </w:r>
          </w:p>
        </w:tc>
        <w:tc>
          <w:tcPr>
            <w:tcW w:w="2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191,775</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135,490</w:t>
            </w:r>
          </w:p>
        </w:tc>
        <w:tc>
          <w:tcPr>
            <w:tcW w:w="3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Net interest income (expense)</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before taxes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58,172</w:t>
            </w:r>
          </w:p>
        </w:tc>
        <w:tc>
          <w:tcPr>
            <w:tcW w:w="2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58,894</w:t>
            </w:r>
          </w:p>
        </w:tc>
        <w:tc>
          <w:tcPr>
            <w:tcW w:w="2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191,839</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137,159</w:t>
            </w:r>
          </w:p>
        </w:tc>
        <w:tc>
          <w:tcPr>
            <w:tcW w:w="3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(11,124)</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(10,316)</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(39,898)</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(21,413)</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47,048</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48,578</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151,941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115,746</w:t>
            </w: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Pre-IPO net income attributable to Tradeweb Markets LLC</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42,352</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4260" w:type="dxa"/>
            <w:vAlign w:val="bottom"/>
            <w:gridSpan w:val="2"/>
            <w:shd w:val="clear" w:color="auto" w:fill="CCEEFF"/>
          </w:tcPr>
          <w:p>
            <w:pPr>
              <w:spacing w:after="0" w:line="119" w:lineRule="exact"/>
              <w:rPr>
                <w:sz w:val="20"/>
                <w:szCs w:val="20"/>
                <w:color w:val="auto"/>
              </w:rPr>
            </w:pPr>
            <w:r>
              <w:rPr>
                <w:rFonts w:ascii="Arial" w:cs="Arial" w:eastAsia="Arial" w:hAnsi="Arial"/>
                <w:sz w:val="13"/>
                <w:szCs w:val="13"/>
                <w:color w:val="auto"/>
              </w:rPr>
              <w:t>Net income attributable to Tradeweb Markets Inc. and non-controlling</w:t>
            </w:r>
          </w:p>
        </w:tc>
        <w:tc>
          <w:tcPr>
            <w:tcW w:w="3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47,048</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48,578</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151,941</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73,394</w:t>
            </w:r>
          </w:p>
        </w:tc>
        <w:tc>
          <w:tcPr>
            <w:tcW w:w="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interests</w:t>
            </w:r>
          </w:p>
        </w:tc>
        <w:tc>
          <w:tcPr>
            <w:tcW w:w="3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Net income attributable to non-controlling interests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10,236</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18,966</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40,705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30,954</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36,812</w:t>
            </w: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29,612</w:t>
            </w: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111,236</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42,440</w:t>
            </w:r>
          </w:p>
        </w:tc>
        <w:tc>
          <w:tcPr>
            <w:tcW w:w="3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spacing w:after="0" w:line="162" w:lineRule="exact"/>
              <w:rPr>
                <w:sz w:val="20"/>
                <w:szCs w:val="20"/>
                <w:color w:val="auto"/>
              </w:rPr>
            </w:pPr>
            <w:r>
              <w:rPr>
                <w:rFonts w:ascii="Arial" w:cs="Arial" w:eastAsia="Arial" w:hAnsi="Arial"/>
                <w:sz w:val="14"/>
                <w:szCs w:val="14"/>
                <w:b w:val="1"/>
                <w:bCs w:val="1"/>
                <w:color w:val="auto"/>
              </w:rPr>
              <w:t xml:space="preserve">EPS calculations for post-IPO and pre-IPO periods </w:t>
            </w:r>
            <w:r>
              <w:rPr>
                <w:rFonts w:ascii="Arial" w:cs="Arial" w:eastAsia="Arial" w:hAnsi="Arial"/>
                <w:sz w:val="18"/>
                <w:szCs w:val="18"/>
                <w:b w:val="1"/>
                <w:bCs w:val="1"/>
                <w:color w:val="auto"/>
                <w:vertAlign w:val="superscript"/>
              </w:rPr>
              <w:t>(1)</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tcBorders>
          </w:tcPr>
          <w:p>
            <w:pPr>
              <w:spacing w:after="0"/>
              <w:rPr>
                <w:sz w:val="16"/>
                <w:szCs w:val="16"/>
                <w:color w:val="auto"/>
              </w:rPr>
            </w:pPr>
          </w:p>
        </w:tc>
        <w:tc>
          <w:tcPr>
            <w:tcW w:w="3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Earnings per share</w:t>
            </w:r>
          </w:p>
        </w:tc>
        <w:tc>
          <w:tcPr>
            <w:tcW w:w="11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gridSpan w:val="3"/>
            <w:vMerge w:val="restart"/>
          </w:tcPr>
          <w:p>
            <w:pPr>
              <w:jc w:val="right"/>
              <w:ind w:right="668"/>
              <w:spacing w:after="0"/>
              <w:rPr>
                <w:sz w:val="20"/>
                <w:szCs w:val="20"/>
                <w:color w:val="auto"/>
              </w:rPr>
            </w:pPr>
            <w:r>
              <w:rPr>
                <w:rFonts w:ascii="Arial" w:cs="Arial" w:eastAsia="Arial" w:hAnsi="Arial"/>
                <w:sz w:val="9"/>
                <w:szCs w:val="9"/>
                <w:color w:val="auto"/>
                <w:w w:val="90"/>
              </w:rPr>
              <w:t>(a)</w:t>
            </w:r>
          </w:p>
        </w:tc>
        <w:tc>
          <w:tcPr>
            <w:tcW w:w="84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gridSpan w:val="3"/>
            <w:vMerge w:val="restart"/>
          </w:tcPr>
          <w:p>
            <w:pPr>
              <w:jc w:val="right"/>
              <w:ind w:right="528"/>
              <w:spacing w:after="0"/>
              <w:rPr>
                <w:sz w:val="20"/>
                <w:szCs w:val="20"/>
                <w:color w:val="auto"/>
              </w:rPr>
            </w:pPr>
            <w:r>
              <w:rPr>
                <w:rFonts w:ascii="Arial" w:cs="Arial" w:eastAsia="Arial" w:hAnsi="Arial"/>
                <w:sz w:val="9"/>
                <w:szCs w:val="9"/>
                <w:color w:val="auto"/>
                <w:w w:val="90"/>
              </w:rPr>
              <w:t>(a)</w:t>
            </w:r>
          </w:p>
        </w:tc>
        <w:tc>
          <w:tcPr>
            <w:tcW w:w="9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gridSpan w:val="3"/>
            <w:vMerge w:val="restart"/>
          </w:tcPr>
          <w:p>
            <w:pPr>
              <w:jc w:val="right"/>
              <w:ind w:right="648"/>
              <w:spacing w:after="0"/>
              <w:rPr>
                <w:sz w:val="20"/>
                <w:szCs w:val="20"/>
                <w:color w:val="auto"/>
              </w:rPr>
            </w:pPr>
            <w:r>
              <w:rPr>
                <w:rFonts w:ascii="Arial" w:cs="Arial" w:eastAsia="Arial" w:hAnsi="Arial"/>
                <w:sz w:val="9"/>
                <w:szCs w:val="9"/>
                <w:color w:val="auto"/>
                <w:w w:val="90"/>
              </w:rPr>
              <w:t>(a)</w:t>
            </w:r>
          </w:p>
        </w:tc>
        <w:tc>
          <w:tcPr>
            <w:tcW w:w="88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vMerge w:val="restart"/>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260" w:type="dxa"/>
            <w:vAlign w:val="bottom"/>
            <w:gridSpan w:val="2"/>
            <w:vMerge w:val="restart"/>
          </w:tcPr>
          <w:p>
            <w:pPr>
              <w:ind w:left="10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0.19 /</w:t>
            </w: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gridSpan w:val="2"/>
            <w:vMerge w:val="continue"/>
          </w:tcPr>
          <w:p>
            <w:pPr>
              <w:spacing w:after="0"/>
              <w:rPr>
                <w:sz w:val="8"/>
                <w:szCs w:val="8"/>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0.20</w:t>
            </w:r>
          </w:p>
        </w:tc>
        <w:tc>
          <w:tcPr>
            <w:tcW w:w="860" w:type="dxa"/>
            <w:vAlign w:val="bottom"/>
            <w:gridSpan w:val="3"/>
            <w:vMerge w:val="restart"/>
          </w:tcPr>
          <w:p>
            <w:pPr>
              <w:jc w:val="right"/>
              <w:ind w:right="3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0.21</w:t>
            </w:r>
          </w:p>
        </w:tc>
        <w:tc>
          <w:tcPr>
            <w:tcW w:w="720" w:type="dxa"/>
            <w:vAlign w:val="bottom"/>
            <w:gridSpan w:val="3"/>
            <w:vMerge w:val="restart"/>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0.63</w:t>
            </w:r>
          </w:p>
        </w:tc>
        <w:tc>
          <w:tcPr>
            <w:tcW w:w="840" w:type="dxa"/>
            <w:vAlign w:val="bottom"/>
            <w:gridSpan w:val="3"/>
            <w:vMerge w:val="restart"/>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vMerge w:val="continue"/>
          </w:tcPr>
          <w:p>
            <w:pPr>
              <w:spacing w:after="0"/>
              <w:rPr>
                <w:sz w:val="8"/>
                <w:szCs w:val="8"/>
                <w:color w:val="auto"/>
              </w:rPr>
            </w:pPr>
          </w:p>
        </w:tc>
        <w:tc>
          <w:tcPr>
            <w:tcW w:w="360" w:type="dxa"/>
            <w:vAlign w:val="bottom"/>
          </w:tcPr>
          <w:p>
            <w:pPr>
              <w:ind w:left="20"/>
              <w:spacing w:after="0" w:line="95" w:lineRule="exact"/>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260" w:type="dxa"/>
            <w:vAlign w:val="bottom"/>
            <w:gridSpan w:val="2"/>
            <w:vMerge w:val="restart"/>
          </w:tcPr>
          <w:p>
            <w:pPr>
              <w:ind w:left="100"/>
              <w:spacing w:after="0"/>
              <w:rPr>
                <w:sz w:val="20"/>
                <w:szCs w:val="20"/>
                <w:color w:val="auto"/>
              </w:rPr>
            </w:pPr>
            <w:r>
              <w:rPr>
                <w:rFonts w:ascii="Arial" w:cs="Arial" w:eastAsia="Arial" w:hAnsi="Arial"/>
                <w:sz w:val="14"/>
                <w:szCs w:val="14"/>
                <w:color w:val="auto"/>
              </w:rPr>
              <w:t>Diluted</w:t>
            </w: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jc w:val="right"/>
              <w:ind w:right="102"/>
              <w:spacing w:after="0" w:line="78" w:lineRule="exact"/>
              <w:rPr>
                <w:sz w:val="20"/>
                <w:szCs w:val="20"/>
                <w:color w:val="auto"/>
              </w:rPr>
            </w:pPr>
            <w:r>
              <w:rPr>
                <w:rFonts w:ascii="Arial" w:cs="Arial" w:eastAsia="Arial" w:hAnsi="Arial"/>
                <w:sz w:val="9"/>
                <w:szCs w:val="9"/>
                <w:color w:val="auto"/>
                <w:w w:val="90"/>
              </w:rPr>
              <w:t>(a)</w:t>
            </w:r>
          </w:p>
        </w:tc>
        <w:tc>
          <w:tcPr>
            <w:tcW w:w="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jc w:val="right"/>
              <w:ind w:right="102"/>
              <w:spacing w:after="0" w:line="78" w:lineRule="exact"/>
              <w:rPr>
                <w:sz w:val="20"/>
                <w:szCs w:val="20"/>
                <w:color w:val="auto"/>
              </w:rPr>
            </w:pPr>
            <w:r>
              <w:rPr>
                <w:rFonts w:ascii="Arial" w:cs="Arial" w:eastAsia="Arial" w:hAnsi="Arial"/>
                <w:sz w:val="9"/>
                <w:szCs w:val="9"/>
                <w:color w:val="auto"/>
                <w:w w:val="90"/>
              </w:rPr>
              <w:t>(a)</w:t>
            </w:r>
          </w:p>
        </w:tc>
        <w:tc>
          <w:tcPr>
            <w:tcW w:w="8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jc w:val="right"/>
              <w:ind w:right="102"/>
              <w:spacing w:after="0" w:line="78" w:lineRule="exact"/>
              <w:rPr>
                <w:sz w:val="20"/>
                <w:szCs w:val="20"/>
                <w:color w:val="auto"/>
              </w:rPr>
            </w:pPr>
            <w:r>
              <w:rPr>
                <w:rFonts w:ascii="Arial" w:cs="Arial" w:eastAsia="Arial" w:hAnsi="Arial"/>
                <w:sz w:val="9"/>
                <w:szCs w:val="9"/>
                <w:color w:val="auto"/>
                <w:w w:val="90"/>
              </w:rPr>
              <w:t>(a)</w:t>
            </w:r>
          </w:p>
        </w:tc>
        <w:tc>
          <w:tcPr>
            <w:tcW w:w="1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0.19 /</w:t>
            </w:r>
          </w:p>
        </w:tc>
        <w:tc>
          <w:tcPr>
            <w:tcW w:w="360" w:type="dxa"/>
            <w:vAlign w:val="bottom"/>
            <w:tcBorders>
              <w:top w:val="single" w:sz="8" w:color="auto"/>
            </w:tcBorders>
          </w:tcPr>
          <w:p>
            <w:pPr>
              <w:ind w:left="20"/>
              <w:spacing w:after="0" w:line="78" w:lineRule="exact"/>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gridSpan w:val="2"/>
            <w:vMerge w:val="continue"/>
          </w:tcPr>
          <w:p>
            <w:pPr>
              <w:spacing w:after="0"/>
              <w:rPr>
                <w:sz w:val="8"/>
                <w:szCs w:val="8"/>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0.19</w:t>
            </w:r>
          </w:p>
        </w:tc>
        <w:tc>
          <w:tcPr>
            <w:tcW w:w="860" w:type="dxa"/>
            <w:vAlign w:val="bottom"/>
            <w:gridSpan w:val="3"/>
            <w:vMerge w:val="restart"/>
          </w:tcPr>
          <w:p>
            <w:pPr>
              <w:jc w:val="right"/>
              <w:ind w:right="3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0.20</w:t>
            </w:r>
          </w:p>
        </w:tc>
        <w:tc>
          <w:tcPr>
            <w:tcW w:w="720" w:type="dxa"/>
            <w:vAlign w:val="bottom"/>
            <w:gridSpan w:val="3"/>
            <w:vMerge w:val="restart"/>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0.60</w:t>
            </w:r>
          </w:p>
        </w:tc>
        <w:tc>
          <w:tcPr>
            <w:tcW w:w="840" w:type="dxa"/>
            <w:vAlign w:val="bottom"/>
            <w:gridSpan w:val="3"/>
            <w:vMerge w:val="restart"/>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vMerge w:val="continue"/>
          </w:tcPr>
          <w:p>
            <w:pPr>
              <w:spacing w:after="0"/>
              <w:rPr>
                <w:sz w:val="8"/>
                <w:szCs w:val="8"/>
                <w:color w:val="auto"/>
              </w:rPr>
            </w:pPr>
          </w:p>
        </w:tc>
        <w:tc>
          <w:tcPr>
            <w:tcW w:w="360" w:type="dxa"/>
            <w:vAlign w:val="bottom"/>
          </w:tcPr>
          <w:p>
            <w:pPr>
              <w:ind w:left="20"/>
              <w:spacing w:after="0" w:line="95" w:lineRule="exact"/>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0.28</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 outstanding</w:t>
            </w: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gridSpan w:val="3"/>
            <w:vMerge w:val="restart"/>
          </w:tcPr>
          <w:p>
            <w:pPr>
              <w:jc w:val="right"/>
              <w:ind w:right="668"/>
              <w:spacing w:after="0"/>
              <w:rPr>
                <w:sz w:val="20"/>
                <w:szCs w:val="20"/>
                <w:color w:val="auto"/>
              </w:rPr>
            </w:pPr>
            <w:r>
              <w:rPr>
                <w:rFonts w:ascii="Arial" w:cs="Arial" w:eastAsia="Arial" w:hAnsi="Arial"/>
                <w:sz w:val="9"/>
                <w:szCs w:val="9"/>
                <w:color w:val="auto"/>
                <w:w w:val="90"/>
              </w:rPr>
              <w:t>(a)</w:t>
            </w:r>
          </w:p>
        </w:tc>
        <w:tc>
          <w:tcPr>
            <w:tcW w:w="840" w:type="dxa"/>
            <w:vAlign w:val="bottom"/>
          </w:tcPr>
          <w:p>
            <w:pPr>
              <w:spacing w:after="0"/>
              <w:rPr>
                <w:sz w:val="12"/>
                <w:szCs w:val="12"/>
                <w:color w:val="auto"/>
              </w:rPr>
            </w:pPr>
          </w:p>
        </w:tc>
        <w:tc>
          <w:tcPr>
            <w:tcW w:w="720" w:type="dxa"/>
            <w:vAlign w:val="bottom"/>
            <w:gridSpan w:val="3"/>
            <w:vMerge w:val="restart"/>
          </w:tcPr>
          <w:p>
            <w:pPr>
              <w:jc w:val="right"/>
              <w:ind w:right="528"/>
              <w:spacing w:after="0"/>
              <w:rPr>
                <w:sz w:val="20"/>
                <w:szCs w:val="20"/>
                <w:color w:val="auto"/>
              </w:rPr>
            </w:pPr>
            <w:r>
              <w:rPr>
                <w:rFonts w:ascii="Arial" w:cs="Arial" w:eastAsia="Arial" w:hAnsi="Arial"/>
                <w:sz w:val="9"/>
                <w:szCs w:val="9"/>
                <w:color w:val="auto"/>
                <w:w w:val="90"/>
              </w:rPr>
              <w:t>(a)</w:t>
            </w:r>
          </w:p>
        </w:tc>
        <w:tc>
          <w:tcPr>
            <w:tcW w:w="980" w:type="dxa"/>
            <w:vAlign w:val="bottom"/>
          </w:tcPr>
          <w:p>
            <w:pPr>
              <w:spacing w:after="0"/>
              <w:rPr>
                <w:sz w:val="12"/>
                <w:szCs w:val="12"/>
                <w:color w:val="auto"/>
              </w:rPr>
            </w:pPr>
          </w:p>
        </w:tc>
        <w:tc>
          <w:tcPr>
            <w:tcW w:w="840" w:type="dxa"/>
            <w:vAlign w:val="bottom"/>
            <w:gridSpan w:val="3"/>
            <w:vMerge w:val="restart"/>
          </w:tcPr>
          <w:p>
            <w:pPr>
              <w:jc w:val="right"/>
              <w:ind w:right="648"/>
              <w:spacing w:after="0"/>
              <w:rPr>
                <w:sz w:val="20"/>
                <w:szCs w:val="20"/>
                <w:color w:val="auto"/>
              </w:rPr>
            </w:pPr>
            <w:r>
              <w:rPr>
                <w:rFonts w:ascii="Arial" w:cs="Arial" w:eastAsia="Arial" w:hAnsi="Arial"/>
                <w:sz w:val="9"/>
                <w:szCs w:val="9"/>
                <w:color w:val="auto"/>
                <w:w w:val="90"/>
              </w:rPr>
              <w:t>(a)</w:t>
            </w:r>
          </w:p>
        </w:tc>
        <w:tc>
          <w:tcPr>
            <w:tcW w:w="88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260" w:type="dxa"/>
            <w:vAlign w:val="bottom"/>
            <w:gridSpan w:val="2"/>
            <w:vMerge w:val="restart"/>
          </w:tcPr>
          <w:p>
            <w:pPr>
              <w:ind w:left="100"/>
              <w:spacing w:after="0" w:line="147" w:lineRule="exact"/>
              <w:rPr>
                <w:sz w:val="20"/>
                <w:szCs w:val="20"/>
                <w:color w:val="auto"/>
              </w:rPr>
            </w:pPr>
            <w:r>
              <w:rPr>
                <w:rFonts w:ascii="Arial" w:cs="Arial" w:eastAsia="Arial" w:hAnsi="Arial"/>
                <w:sz w:val="14"/>
                <w:szCs w:val="14"/>
                <w:color w:val="auto"/>
              </w:rPr>
              <w:t>Basic</w:t>
            </w: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880" w:type="dxa"/>
            <w:vAlign w:val="bottom"/>
            <w:vMerge w:val="restart"/>
          </w:tcPr>
          <w:p>
            <w:pPr>
              <w:jc w:val="right"/>
              <w:spacing w:after="0" w:line="147" w:lineRule="exact"/>
              <w:rPr>
                <w:sz w:val="20"/>
                <w:szCs w:val="20"/>
                <w:color w:val="auto"/>
              </w:rPr>
            </w:pPr>
            <w:r>
              <w:rPr>
                <w:rFonts w:ascii="Arial" w:cs="Arial" w:eastAsia="Arial" w:hAnsi="Arial"/>
                <w:sz w:val="14"/>
                <w:szCs w:val="14"/>
                <w:color w:val="auto"/>
                <w:w w:val="93"/>
              </w:rPr>
              <w:t>222,222,197 /</w:t>
            </w: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187,774,170</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142,935,206</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177,257,994</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360" w:type="dxa"/>
            <w:vAlign w:val="bottom"/>
          </w:tcPr>
          <w:p>
            <w:pPr>
              <w:ind w:left="20"/>
              <w:spacing w:after="0" w:line="95" w:lineRule="exact"/>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60" w:type="dxa"/>
            <w:vAlign w:val="bottom"/>
            <w:gridSpan w:val="3"/>
            <w:vMerge w:val="restart"/>
          </w:tcPr>
          <w:p>
            <w:pPr>
              <w:jc w:val="right"/>
              <w:ind w:right="668"/>
              <w:spacing w:after="0"/>
              <w:rPr>
                <w:sz w:val="20"/>
                <w:szCs w:val="20"/>
                <w:color w:val="auto"/>
              </w:rPr>
            </w:pPr>
            <w:r>
              <w:rPr>
                <w:rFonts w:ascii="Arial" w:cs="Arial" w:eastAsia="Arial" w:hAnsi="Arial"/>
                <w:sz w:val="9"/>
                <w:szCs w:val="9"/>
                <w:color w:val="auto"/>
                <w:w w:val="90"/>
              </w:rPr>
              <w:t>(a)</w:t>
            </w:r>
          </w:p>
        </w:tc>
        <w:tc>
          <w:tcPr>
            <w:tcW w:w="840" w:type="dxa"/>
            <w:vAlign w:val="bottom"/>
            <w:vMerge w:val="continue"/>
          </w:tcPr>
          <w:p>
            <w:pPr>
              <w:spacing w:after="0"/>
              <w:rPr>
                <w:sz w:val="15"/>
                <w:szCs w:val="15"/>
                <w:color w:val="auto"/>
              </w:rPr>
            </w:pPr>
          </w:p>
        </w:tc>
        <w:tc>
          <w:tcPr>
            <w:tcW w:w="720" w:type="dxa"/>
            <w:vAlign w:val="bottom"/>
            <w:gridSpan w:val="3"/>
            <w:vMerge w:val="restart"/>
          </w:tcPr>
          <w:p>
            <w:pPr>
              <w:jc w:val="right"/>
              <w:ind w:right="528"/>
              <w:spacing w:after="0"/>
              <w:rPr>
                <w:sz w:val="20"/>
                <w:szCs w:val="20"/>
                <w:color w:val="auto"/>
              </w:rPr>
            </w:pPr>
            <w:r>
              <w:rPr>
                <w:rFonts w:ascii="Arial" w:cs="Arial" w:eastAsia="Arial" w:hAnsi="Arial"/>
                <w:sz w:val="9"/>
                <w:szCs w:val="9"/>
                <w:color w:val="auto"/>
                <w:w w:val="90"/>
              </w:rPr>
              <w:t>(a)</w:t>
            </w:r>
          </w:p>
        </w:tc>
        <w:tc>
          <w:tcPr>
            <w:tcW w:w="980" w:type="dxa"/>
            <w:vAlign w:val="bottom"/>
            <w:vMerge w:val="continue"/>
          </w:tcPr>
          <w:p>
            <w:pPr>
              <w:spacing w:after="0"/>
              <w:rPr>
                <w:sz w:val="15"/>
                <w:szCs w:val="15"/>
                <w:color w:val="auto"/>
              </w:rPr>
            </w:pPr>
          </w:p>
        </w:tc>
        <w:tc>
          <w:tcPr>
            <w:tcW w:w="840" w:type="dxa"/>
            <w:vAlign w:val="bottom"/>
            <w:gridSpan w:val="3"/>
            <w:vMerge w:val="restart"/>
          </w:tcPr>
          <w:p>
            <w:pPr>
              <w:jc w:val="right"/>
              <w:ind w:right="648"/>
              <w:spacing w:after="0"/>
              <w:rPr>
                <w:sz w:val="20"/>
                <w:szCs w:val="20"/>
                <w:color w:val="auto"/>
              </w:rPr>
            </w:pPr>
            <w:r>
              <w:rPr>
                <w:rFonts w:ascii="Arial" w:cs="Arial" w:eastAsia="Arial" w:hAnsi="Arial"/>
                <w:sz w:val="9"/>
                <w:szCs w:val="9"/>
                <w:color w:val="auto"/>
                <w:w w:val="90"/>
              </w:rPr>
              <w:t>(a)</w:t>
            </w:r>
          </w:p>
        </w:tc>
        <w:tc>
          <w:tcPr>
            <w:tcW w:w="880" w:type="dxa"/>
            <w:vAlign w:val="bottom"/>
          </w:tcPr>
          <w:p>
            <w:pPr>
              <w:jc w:val="right"/>
              <w:spacing w:after="0"/>
              <w:rPr>
                <w:sz w:val="20"/>
                <w:szCs w:val="20"/>
                <w:color w:val="auto"/>
              </w:rPr>
            </w:pPr>
            <w:r>
              <w:rPr>
                <w:rFonts w:ascii="Arial" w:cs="Arial" w:eastAsia="Arial" w:hAnsi="Arial"/>
                <w:sz w:val="14"/>
                <w:szCs w:val="14"/>
                <w:color w:val="auto"/>
              </w:rPr>
              <w:t>142,934,221</w:t>
            </w:r>
          </w:p>
        </w:tc>
        <w:tc>
          <w:tcPr>
            <w:tcW w:w="360" w:type="dxa"/>
            <w:vAlign w:val="bottom"/>
            <w:vMerge w:val="restart"/>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260" w:type="dxa"/>
            <w:vAlign w:val="bottom"/>
            <w:gridSpan w:val="2"/>
            <w:vMerge w:val="restart"/>
          </w:tcPr>
          <w:p>
            <w:pPr>
              <w:ind w:left="100"/>
              <w:spacing w:after="0" w:line="142" w:lineRule="exact"/>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880" w:type="dxa"/>
            <w:vAlign w:val="bottom"/>
            <w:vMerge w:val="restart"/>
          </w:tcPr>
          <w:p>
            <w:pPr>
              <w:jc w:val="right"/>
              <w:spacing w:after="0" w:line="142" w:lineRule="exact"/>
              <w:rPr>
                <w:sz w:val="20"/>
                <w:szCs w:val="20"/>
                <w:color w:val="auto"/>
              </w:rPr>
            </w:pPr>
            <w:r>
              <w:rPr>
                <w:rFonts w:ascii="Arial" w:cs="Arial" w:eastAsia="Arial" w:hAnsi="Arial"/>
                <w:sz w:val="14"/>
                <w:szCs w:val="14"/>
                <w:color w:val="auto"/>
                <w:w w:val="93"/>
              </w:rPr>
              <w:t>223,320,457 /</w:t>
            </w:r>
          </w:p>
        </w:tc>
        <w:tc>
          <w:tcPr>
            <w:tcW w:w="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194,955,695</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151,362,643</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185,026,108</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360" w:type="dxa"/>
            <w:vAlign w:val="bottom"/>
          </w:tcPr>
          <w:p>
            <w:pPr>
              <w:ind w:left="20"/>
              <w:spacing w:after="0" w:line="95" w:lineRule="exact"/>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151,158,760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-989330</wp:posOffset>
            </wp:positionV>
            <wp:extent cx="7046595" cy="994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46595" cy="994410"/>
                    </a:xfrm>
                    <a:prstGeom prst="rect">
                      <a:avLst/>
                    </a:prstGeom>
                    <a:noFill/>
                  </pic:spPr>
                </pic:pic>
              </a:graphicData>
            </a:graphic>
          </wp:anchor>
        </w:drawing>
      </w:r>
    </w:p>
    <w:p>
      <w:pPr>
        <w:spacing w:after="0" w:line="63" w:lineRule="exact"/>
        <w:rPr>
          <w:sz w:val="20"/>
          <w:szCs w:val="20"/>
          <w:color w:val="auto"/>
        </w:rPr>
      </w:pPr>
    </w:p>
    <w:p>
      <w:pPr>
        <w:jc w:val="both"/>
        <w:ind w:left="340" w:right="80" w:hanging="332"/>
        <w:spacing w:after="0" w:line="266" w:lineRule="auto"/>
        <w:tabs>
          <w:tab w:leader="none" w:pos="332"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 See Note 15 – Earnings Per Share for additional information.</w:t>
      </w:r>
    </w:p>
    <w:p>
      <w:pPr>
        <w:ind w:left="980" w:hanging="324"/>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7" w:name="page8"/>
    <w:bookmarkEnd w:id="7"/>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6"/>
                <w:szCs w:val="16"/>
                <w:color w:val="auto"/>
              </w:rPr>
            </w:pPr>
          </w:p>
        </w:tc>
      </w:tr>
      <w:tr>
        <w:trPr>
          <w:trHeight w:val="195"/>
        </w:trPr>
        <w:tc>
          <w:tcPr>
            <w:tcW w:w="49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87"/>
        </w:trPr>
        <w:tc>
          <w:tcPr>
            <w:tcW w:w="49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83"/>
              </w:rPr>
              <w:t>2019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w w:val="96"/>
              </w:rPr>
              <w:t>2019</w:t>
            </w:r>
          </w:p>
        </w:tc>
      </w:t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Tradeweb Markets Inc.</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6"/>
        </w:trPr>
        <w:tc>
          <w:tcPr>
            <w:tcW w:w="4960" w:type="dxa"/>
            <w:vAlign w:val="bottom"/>
          </w:tcPr>
          <w:p>
            <w:pPr>
              <w:ind w:left="20"/>
              <w:spacing w:after="0"/>
              <w:rPr>
                <w:sz w:val="20"/>
                <w:szCs w:val="20"/>
                <w:color w:val="auto"/>
              </w:rPr>
            </w:pPr>
            <w:r>
              <w:rPr>
                <w:rFonts w:ascii="Arial" w:cs="Arial" w:eastAsia="Arial" w:hAnsi="Arial"/>
                <w:sz w:val="14"/>
                <w:szCs w:val="14"/>
                <w:color w:val="auto"/>
              </w:rPr>
              <w:t>Net income attributable to Tradeweb Markets Inc.</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36,812</w:t>
            </w:r>
          </w:p>
        </w:tc>
        <w:tc>
          <w:tcPr>
            <w:tcW w:w="100" w:type="dxa"/>
            <w:vAlign w:val="bottom"/>
          </w:tcPr>
          <w:p>
            <w:pPr>
              <w:spacing w:after="0"/>
              <w:rPr>
                <w:sz w:val="16"/>
                <w:szCs w:val="16"/>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29,612</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111,236</w:t>
            </w:r>
          </w:p>
        </w:tc>
        <w:tc>
          <w:tcPr>
            <w:tcW w:w="10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42,440</w:t>
            </w:r>
          </w:p>
        </w:tc>
      </w:tr>
      <w:tr>
        <w:trPr>
          <w:trHeight w:val="19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Tradeweb Markets Inc.</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2,793</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w:t>
            </w:r>
          </w:p>
        </w:tc>
      </w:tr>
      <w:tr>
        <w:trPr>
          <w:trHeight w:val="20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39,605</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110,212</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40,464</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Non-controlling interests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49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10,236</w:t>
            </w:r>
          </w:p>
        </w:tc>
        <w:tc>
          <w:tcPr>
            <w:tcW w:w="100" w:type="dxa"/>
            <w:vAlign w:val="bottom"/>
          </w:tcPr>
          <w:p>
            <w:pPr>
              <w:spacing w:after="0"/>
              <w:rPr>
                <w:sz w:val="16"/>
                <w:szCs w:val="16"/>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18,966</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40,705</w:t>
            </w:r>
          </w:p>
        </w:tc>
        <w:tc>
          <w:tcPr>
            <w:tcW w:w="10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30,954</w:t>
            </w:r>
          </w:p>
        </w:tc>
      </w:tr>
      <w:tr>
        <w:trPr>
          <w:trHeight w:val="19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w w:val="99"/>
              </w:rPr>
              <w:t>Foreign currency translation adjustments attributable to non-controlling interests</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r>
      <w:tr>
        <w:trPr>
          <w:trHeight w:val="20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10,824</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39,990</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29,858</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Pre-IPO attributable to Tradeweb Markets LLC</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4960" w:type="dxa"/>
            <w:vAlign w:val="bottom"/>
          </w:tcPr>
          <w:p>
            <w:pPr>
              <w:ind w:left="20"/>
              <w:spacing w:after="0"/>
              <w:rPr>
                <w:sz w:val="20"/>
                <w:szCs w:val="20"/>
                <w:color w:val="auto"/>
              </w:rPr>
            </w:pPr>
            <w:r>
              <w:rPr>
                <w:rFonts w:ascii="Arial" w:cs="Arial" w:eastAsia="Arial" w:hAnsi="Arial"/>
                <w:sz w:val="14"/>
                <w:szCs w:val="14"/>
                <w:color w:val="auto"/>
              </w:rPr>
              <w:t>Pre-IPO net income attributable to Tradeweb Markets LLC</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42,352</w:t>
            </w:r>
          </w:p>
        </w:tc>
      </w:tr>
      <w:tr>
        <w:trPr>
          <w:trHeight w:val="192"/>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Tradeweb Markets LLC</w:t>
            </w:r>
          </w:p>
        </w:tc>
        <w:tc>
          <w:tcPr>
            <w:tcW w:w="9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r>
      <w:tr>
        <w:trPr>
          <w:trHeight w:val="20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Pre-IPO comprehensive income attributable to Tradeweb Markets LLC</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43,340</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5"/>
              </w:rPr>
              <w:t>Additional</w:t>
            </w:r>
          </w:p>
        </w:tc>
        <w:tc>
          <w:tcPr>
            <w:tcW w:w="80" w:type="dxa"/>
            <w:vAlign w:val="bottom"/>
          </w:tcPr>
          <w:p>
            <w:pPr>
              <w:spacing w:after="0"/>
              <w:rPr>
                <w:sz w:val="8"/>
                <w:szCs w:val="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87"/>
              </w:rPr>
              <w:t>Non-</w:t>
            </w:r>
          </w:p>
        </w:tc>
        <w:tc>
          <w:tcPr>
            <w:tcW w:w="100" w:type="dxa"/>
            <w:vAlign w:val="bottom"/>
          </w:tcPr>
          <w:p>
            <w:pPr>
              <w:spacing w:after="0"/>
              <w:rPr>
                <w:sz w:val="8"/>
                <w:szCs w:val="8"/>
                <w:color w:val="auto"/>
              </w:rPr>
            </w:pPr>
          </w:p>
        </w:tc>
        <w:tc>
          <w:tcPr>
            <w:tcW w:w="660" w:type="dxa"/>
            <w:vAlign w:val="bottom"/>
            <w:vMerge w:val="restart"/>
          </w:tcPr>
          <w:p>
            <w:pPr>
              <w:jc w:val="center"/>
              <w:ind w:right="55"/>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A</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90"/>
              </w:rPr>
              <w:t>Class C</w:t>
            </w: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D</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Retained</w:t>
            </w: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Paid-In</w:t>
            </w:r>
          </w:p>
        </w:tc>
        <w:tc>
          <w:tcPr>
            <w:tcW w:w="80" w:type="dxa"/>
            <w:vAlign w:val="bottom"/>
          </w:tcPr>
          <w:p>
            <w:pPr>
              <w:spacing w:after="0"/>
              <w:rPr>
                <w:sz w:val="7"/>
                <w:szCs w:val="7"/>
                <w:color w:val="auto"/>
              </w:rPr>
            </w:pPr>
          </w:p>
        </w:tc>
        <w:tc>
          <w:tcPr>
            <w:tcW w:w="84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1"/>
              </w:rPr>
              <w:t>Controlling</w:t>
            </w:r>
          </w:p>
        </w:tc>
        <w:tc>
          <w:tcPr>
            <w:tcW w:w="100" w:type="dxa"/>
            <w:vAlign w:val="bottom"/>
          </w:tcPr>
          <w:p>
            <w:pPr>
              <w:spacing w:after="0"/>
              <w:rPr>
                <w:sz w:val="7"/>
                <w:szCs w:val="7"/>
                <w:color w:val="auto"/>
              </w:rPr>
            </w:pPr>
          </w:p>
        </w:tc>
        <w:tc>
          <w:tcPr>
            <w:tcW w:w="660" w:type="dxa"/>
            <w:vAlign w:val="bottom"/>
          </w:tcPr>
          <w:p>
            <w:pPr>
              <w:jc w:val="center"/>
              <w:ind w:right="55"/>
              <w:spacing w:after="0" w:line="81" w:lineRule="exact"/>
              <w:rPr>
                <w:sz w:val="20"/>
                <w:szCs w:val="20"/>
                <w:color w:val="auto"/>
              </w:rPr>
            </w:pPr>
            <w:r>
              <w:rPr>
                <w:rFonts w:ascii="Arial" w:cs="Arial" w:eastAsia="Arial" w:hAnsi="Arial"/>
                <w:sz w:val="9"/>
                <w:szCs w:val="9"/>
                <w:b w:val="1"/>
                <w:bCs w:val="1"/>
                <w:color w:val="auto"/>
                <w:w w:val="87"/>
              </w:rPr>
              <w:t>Stockholders'</w:t>
            </w: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9"/>
                <w:szCs w:val="9"/>
                <w:b w:val="1"/>
                <w:bCs w:val="1"/>
                <w:color w:val="auto"/>
              </w:rPr>
              <w:t>Common Stock</w:t>
            </w:r>
          </w:p>
        </w:tc>
        <w:tc>
          <w:tcPr>
            <w:tcW w:w="12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12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Earnings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7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25"/>
        </w:trPr>
        <w:tc>
          <w:tcPr>
            <w:tcW w:w="1980" w:type="dxa"/>
            <w:vAlign w:val="bottom"/>
          </w:tcPr>
          <w:p>
            <w:pPr>
              <w:spacing w:after="0"/>
              <w:rPr>
                <w:sz w:val="10"/>
                <w:szCs w:val="10"/>
                <w:color w:val="auto"/>
              </w:rPr>
            </w:pPr>
          </w:p>
        </w:tc>
        <w:tc>
          <w:tcPr>
            <w:tcW w:w="680" w:type="dxa"/>
            <w:vAlign w:val="bottom"/>
            <w:gridSpan w:val="2"/>
          </w:tcPr>
          <w:p>
            <w:pPr>
              <w:ind w:left="1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2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680" w:type="dxa"/>
            <w:vAlign w:val="bottom"/>
            <w:gridSpan w:val="2"/>
          </w:tcPr>
          <w:p>
            <w:pPr>
              <w:ind w:left="1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680" w:type="dxa"/>
            <w:vAlign w:val="bottom"/>
            <w:gridSpan w:val="2"/>
          </w:tcPr>
          <w:p>
            <w:pPr>
              <w:ind w:left="1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4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680" w:type="dxa"/>
            <w:vAlign w:val="bottom"/>
            <w:gridSpan w:val="2"/>
          </w:tcPr>
          <w:p>
            <w:pPr>
              <w:ind w:left="16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2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2019</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66,408,328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8,328,983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50,853,172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3,329,386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1,366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47,833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1,214,157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4,592,745</w:t>
            </w:r>
          </w:p>
        </w:tc>
        <w:tc>
          <w:tcPr>
            <w:tcW w:w="0" w:type="dxa"/>
            <w:vAlign w:val="bottom"/>
          </w:tcPr>
          <w:p>
            <w:pPr>
              <w:spacing w:after="0"/>
              <w:rPr>
                <w:sz w:val="1"/>
                <w:szCs w:val="1"/>
                <w:color w:val="auto"/>
              </w:rPr>
            </w:pPr>
          </w:p>
        </w:tc>
      </w:tr>
      <w:tr>
        <w:trPr>
          <w:trHeight w:val="95"/>
        </w:trPr>
        <w:tc>
          <w:tcPr>
            <w:tcW w:w="1980" w:type="dxa"/>
            <w:vAlign w:val="bottom"/>
          </w:tcPr>
          <w:p>
            <w:pPr>
              <w:ind w:left="20"/>
              <w:spacing w:after="0" w:line="95" w:lineRule="exact"/>
              <w:rPr>
                <w:sz w:val="20"/>
                <w:szCs w:val="20"/>
                <w:color w:val="auto"/>
              </w:rPr>
            </w:pPr>
            <w:r>
              <w:rPr>
                <w:rFonts w:ascii="Arial" w:cs="Arial" w:eastAsia="Arial" w:hAnsi="Arial"/>
                <w:sz w:val="9"/>
                <w:szCs w:val="9"/>
                <w:color w:val="auto"/>
                <w:w w:val="94"/>
              </w:rPr>
              <w:t>Activities related to exchanges of LLC Interests, net</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1,920,941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(939,000)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(981,941)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(335)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(336)</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of offering costs and cancellations</w:t>
            </w:r>
          </w:p>
        </w:tc>
        <w:tc>
          <w:tcPr>
            <w:tcW w:w="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Issuance of common stock from equity incentive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2,341,171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35,422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35,422</w:t>
            </w: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plans</w:t>
            </w:r>
          </w:p>
        </w:tc>
        <w:tc>
          <w:tcPr>
            <w:tcW w:w="5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80" w:type="dxa"/>
            <w:vAlign w:val="bottom"/>
          </w:tcPr>
          <w:p>
            <w:pPr>
              <w:ind w:left="20"/>
              <w:spacing w:after="0" w:line="95" w:lineRule="exact"/>
              <w:rPr>
                <w:sz w:val="20"/>
                <w:szCs w:val="20"/>
                <w:color w:val="auto"/>
              </w:rPr>
            </w:pPr>
            <w:r>
              <w:rPr>
                <w:rFonts w:ascii="Arial" w:cs="Arial" w:eastAsia="Arial" w:hAnsi="Arial"/>
                <w:sz w:val="9"/>
                <w:szCs w:val="9"/>
                <w:color w:val="auto"/>
                <w:w w:val="91"/>
              </w:rPr>
              <w:t>Tax receivable agreement liability and deferred taxes</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32,736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32,736</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45,436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(45,443)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198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(13,400)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(13,400)</w:t>
            </w:r>
          </w:p>
        </w:tc>
        <w:tc>
          <w:tcPr>
            <w:tcW w:w="0" w:type="dxa"/>
            <w:vAlign w:val="bottom"/>
          </w:tcPr>
          <w:p>
            <w:pPr>
              <w:spacing w:after="0"/>
              <w:rPr>
                <w:sz w:val="1"/>
                <w:szCs w:val="1"/>
                <w:color w:val="auto"/>
              </w:rPr>
            </w:pPr>
          </w:p>
        </w:tc>
      </w:tr>
      <w:tr>
        <w:trPr>
          <w:trHeight w:val="102"/>
        </w:trPr>
        <w:tc>
          <w:tcPr>
            <w:tcW w:w="19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1"/>
              </w:rPr>
              <w:t>Stock-based compensation expense under the PRSU</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5,407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5,407</w:t>
            </w: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80" w:type="dxa"/>
            <w:vAlign w:val="bottom"/>
          </w:tcPr>
          <w:p>
            <w:pPr>
              <w:ind w:left="20"/>
              <w:spacing w:after="0" w:line="95" w:lineRule="exact"/>
              <w:rPr>
                <w:sz w:val="20"/>
                <w:szCs w:val="20"/>
                <w:color w:val="auto"/>
              </w:rPr>
            </w:pPr>
            <w:r>
              <w:rPr>
                <w:rFonts w:ascii="Arial" w:cs="Arial" w:eastAsia="Arial" w:hAnsi="Arial"/>
                <w:sz w:val="9"/>
                <w:szCs w:val="9"/>
                <w:color w:val="auto"/>
                <w:w w:val="93"/>
              </w:rPr>
              <w:t>Stock-based compensation expense under the RSU</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315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315</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0"/>
              </w:rPr>
              <w:t>Stock-based compensation expense under the Option</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2,249</w:t>
            </w:r>
          </w:p>
        </w:tc>
        <w:tc>
          <w:tcPr>
            <w:tcW w:w="0" w:type="dxa"/>
            <w:vAlign w:val="bottom"/>
          </w:tcPr>
          <w:p>
            <w:pPr>
              <w:spacing w:after="0"/>
              <w:rPr>
                <w:sz w:val="1"/>
                <w:szCs w:val="1"/>
                <w:color w:val="auto"/>
              </w:rPr>
            </w:pPr>
          </w:p>
        </w:tc>
      </w:tr>
      <w:tr>
        <w:trPr>
          <w:trHeight w:val="121"/>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80" w:type="dxa"/>
            <w:vAlign w:val="bottom"/>
          </w:tcPr>
          <w:p>
            <w:pPr>
              <w:ind w:left="20"/>
              <w:spacing w:after="0" w:line="95" w:lineRule="exact"/>
              <w:rPr>
                <w:sz w:val="20"/>
                <w:szCs w:val="20"/>
                <w:color w:val="auto"/>
              </w:rPr>
            </w:pPr>
            <w:r>
              <w:rPr>
                <w:rFonts w:ascii="Arial" w:cs="Arial" w:eastAsia="Arial" w:hAnsi="Arial"/>
                <w:sz w:val="9"/>
                <w:szCs w:val="9"/>
                <w:color w:val="auto"/>
              </w:rPr>
              <w:t>Payroll taxes paid for stock-based compensation</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(23,991)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(23,991)</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exercises</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43,928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18,557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62,485</w:t>
            </w:r>
          </w:p>
        </w:tc>
        <w:tc>
          <w:tcPr>
            <w:tcW w:w="0" w:type="dxa"/>
            <w:vAlign w:val="bottom"/>
          </w:tcPr>
          <w:p>
            <w:pPr>
              <w:spacing w:after="0"/>
              <w:rPr>
                <w:sz w:val="1"/>
                <w:szCs w:val="1"/>
                <w:color w:val="auto"/>
              </w:rPr>
            </w:pPr>
          </w:p>
        </w:tc>
      </w:tr>
      <w:tr>
        <w:trPr>
          <w:trHeight w:val="128"/>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(3,552)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(1,232)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(4,784)</w:t>
            </w:r>
          </w:p>
        </w:tc>
        <w:tc>
          <w:tcPr>
            <w:tcW w:w="0" w:type="dxa"/>
            <w:vAlign w:val="bottom"/>
          </w:tcPr>
          <w:p>
            <w:pPr>
              <w:spacing w:after="0"/>
              <w:rPr>
                <w:sz w:val="1"/>
                <w:szCs w:val="1"/>
                <w:color w:val="auto"/>
              </w:rPr>
            </w:pPr>
          </w:p>
        </w:tc>
      </w:tr>
      <w:tr>
        <w:trPr>
          <w:trHeight w:val="155"/>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March 31, 2020</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70,670,440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7,389,983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49,871,231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3,426,625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(2,179)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78,361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1,186,039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4,688,848</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bottom w:val="single" w:sz="8" w:color="CCEEFF"/>
            </w:tcBorders>
            <w:vMerge w:val="restart"/>
          </w:tcPr>
          <w:p>
            <w:pPr>
              <w:ind w:left="20"/>
              <w:spacing w:after="0" w:line="82" w:lineRule="exact"/>
              <w:rPr>
                <w:sz w:val="20"/>
                <w:szCs w:val="20"/>
                <w:color w:val="auto"/>
              </w:rPr>
            </w:pPr>
            <w:r>
              <w:rPr>
                <w:rFonts w:ascii="Arial" w:cs="Arial" w:eastAsia="Arial" w:hAnsi="Arial"/>
                <w:sz w:val="9"/>
                <w:szCs w:val="9"/>
                <w:color w:val="auto"/>
                <w:w w:val="95"/>
              </w:rPr>
              <w:t>Activities related to the follow-on offering and other</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9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980" w:type="dxa"/>
            <w:vAlign w:val="bottom"/>
          </w:tcPr>
          <w:p>
            <w:pPr>
              <w:ind w:left="20"/>
              <w:spacing w:after="0" w:line="81" w:lineRule="exact"/>
              <w:rPr>
                <w:sz w:val="20"/>
                <w:szCs w:val="20"/>
                <w:color w:val="auto"/>
              </w:rPr>
            </w:pPr>
            <w:r>
              <w:rPr>
                <w:rFonts w:ascii="Arial" w:cs="Arial" w:eastAsia="Arial" w:hAnsi="Arial"/>
                <w:sz w:val="9"/>
                <w:szCs w:val="9"/>
                <w:color w:val="auto"/>
                <w:w w:val="92"/>
              </w:rPr>
              <w:t>exchanges of LLC Interests, net of offering costs and</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17,747,968</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(2,279,992)</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(15,467,976)</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(1,406)</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(1,406)</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cancellations</w:t>
            </w:r>
          </w:p>
        </w:tc>
        <w:tc>
          <w:tcPr>
            <w:tcW w:w="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Issuance of common stock from equity incentive</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2,223,700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27,197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27,197</w:t>
            </w: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plans</w:t>
            </w:r>
          </w:p>
        </w:tc>
        <w:tc>
          <w:tcPr>
            <w:tcW w:w="5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80" w:type="dxa"/>
            <w:vAlign w:val="bottom"/>
          </w:tcPr>
          <w:p>
            <w:pPr>
              <w:ind w:left="20"/>
              <w:spacing w:after="0" w:line="95" w:lineRule="exact"/>
              <w:rPr>
                <w:sz w:val="20"/>
                <w:szCs w:val="20"/>
                <w:color w:val="auto"/>
              </w:rPr>
            </w:pPr>
            <w:r>
              <w:rPr>
                <w:rFonts w:ascii="Arial" w:cs="Arial" w:eastAsia="Arial" w:hAnsi="Arial"/>
                <w:sz w:val="9"/>
                <w:szCs w:val="9"/>
                <w:color w:val="auto"/>
                <w:w w:val="91"/>
              </w:rPr>
              <w:t>Tax receivable agreement liability and deferred taxes</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127,846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127,846</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379,623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(249)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(379,374)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198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(3,605)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(3,605)</w:t>
            </w:r>
          </w:p>
        </w:tc>
        <w:tc>
          <w:tcPr>
            <w:tcW w:w="0" w:type="dxa"/>
            <w:vAlign w:val="bottom"/>
          </w:tcPr>
          <w:p>
            <w:pPr>
              <w:spacing w:after="0"/>
              <w:rPr>
                <w:sz w:val="1"/>
                <w:szCs w:val="1"/>
                <w:color w:val="auto"/>
              </w:rPr>
            </w:pPr>
          </w:p>
        </w:tc>
      </w:tr>
      <w:tr>
        <w:trPr>
          <w:trHeight w:val="142"/>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(14,483)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(14,483)</w:t>
            </w:r>
          </w:p>
        </w:tc>
        <w:tc>
          <w:tcPr>
            <w:tcW w:w="0" w:type="dxa"/>
            <w:vAlign w:val="bottom"/>
          </w:tcPr>
          <w:p>
            <w:pPr>
              <w:spacing w:after="0"/>
              <w:rPr>
                <w:sz w:val="1"/>
                <w:szCs w:val="1"/>
                <w:color w:val="auto"/>
              </w:rPr>
            </w:pPr>
          </w:p>
        </w:tc>
      </w:tr>
      <w:tr>
        <w:trPr>
          <w:trHeight w:val="94"/>
        </w:trPr>
        <w:tc>
          <w:tcPr>
            <w:tcW w:w="1980" w:type="dxa"/>
            <w:vAlign w:val="bottom"/>
          </w:tcPr>
          <w:p>
            <w:pPr>
              <w:ind w:left="20"/>
              <w:spacing w:after="0" w:line="95" w:lineRule="exact"/>
              <w:rPr>
                <w:sz w:val="20"/>
                <w:szCs w:val="20"/>
                <w:color w:val="auto"/>
              </w:rPr>
            </w:pPr>
            <w:r>
              <w:rPr>
                <w:rFonts w:ascii="Arial" w:cs="Arial" w:eastAsia="Arial" w:hAnsi="Arial"/>
                <w:sz w:val="9"/>
                <w:szCs w:val="9"/>
                <w:color w:val="auto"/>
                <w:w w:val="91"/>
              </w:rPr>
              <w:t>Stock-based compensation expense under the PRSU</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7,392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7,392</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3"/>
              </w:rPr>
              <w:t>Stock-based compensation expense under the RSU</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1,675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1,675</w:t>
            </w: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80" w:type="dxa"/>
            <w:vAlign w:val="bottom"/>
          </w:tcPr>
          <w:p>
            <w:pPr>
              <w:ind w:left="20"/>
              <w:spacing w:after="0" w:line="95" w:lineRule="exact"/>
              <w:rPr>
                <w:sz w:val="20"/>
                <w:szCs w:val="20"/>
                <w:color w:val="auto"/>
              </w:rPr>
            </w:pPr>
            <w:r>
              <w:rPr>
                <w:rFonts w:ascii="Arial" w:cs="Arial" w:eastAsia="Arial" w:hAnsi="Arial"/>
                <w:sz w:val="9"/>
                <w:szCs w:val="9"/>
                <w:color w:val="auto"/>
                <w:w w:val="90"/>
              </w:rPr>
              <w:t>Stock-based compensation expense under the Option</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1,279</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1,279</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Payroll taxes paid for stock-based compensation</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(47,672)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(47,672)</w:t>
            </w: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exercises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980" w:type="dxa"/>
            <w:vAlign w:val="bottom"/>
          </w:tcPr>
          <w:p>
            <w:pPr>
              <w:ind w:left="20"/>
              <w:spacing w:after="0"/>
              <w:rPr>
                <w:sz w:val="20"/>
                <w:szCs w:val="20"/>
                <w:color w:val="auto"/>
              </w:rPr>
            </w:pPr>
            <w:r>
              <w:rPr>
                <w:rFonts w:ascii="Arial" w:cs="Arial" w:eastAsia="Arial" w:hAnsi="Arial"/>
                <w:sz w:val="9"/>
                <w:szCs w:val="9"/>
                <w:color w:val="auto"/>
              </w:rPr>
              <w:t>Net income</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30,496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11,912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42,408</w:t>
            </w:r>
          </w:p>
        </w:tc>
        <w:tc>
          <w:tcPr>
            <w:tcW w:w="0" w:type="dxa"/>
            <w:vAlign w:val="bottom"/>
          </w:tcPr>
          <w:p>
            <w:pPr>
              <w:spacing w:after="0"/>
              <w:rPr>
                <w:sz w:val="1"/>
                <w:szCs w:val="1"/>
                <w:color w:val="auto"/>
              </w:rPr>
            </w:pPr>
          </w:p>
        </w:tc>
      </w:tr>
      <w:tr>
        <w:trPr>
          <w:trHeight w:val="136"/>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(265)</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(336)</w:t>
            </w: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rPr>
                <w:sz w:val="20"/>
                <w:szCs w:val="20"/>
                <w:color w:val="auto"/>
              </w:rPr>
            </w:pPr>
            <w:r>
              <w:rPr>
                <w:rFonts w:ascii="Arial" w:cs="Arial" w:eastAsia="Arial" w:hAnsi="Arial"/>
                <w:sz w:val="9"/>
                <w:szCs w:val="9"/>
                <w:color w:val="auto"/>
              </w:rPr>
              <w:t>Balance at June 30, 2020</w:t>
            </w:r>
          </w:p>
        </w:tc>
        <w:tc>
          <w:tcPr>
            <w:tcW w:w="560" w:type="dxa"/>
            <w:vAlign w:val="bottom"/>
          </w:tcPr>
          <w:p>
            <w:pPr>
              <w:jc w:val="right"/>
              <w:spacing w:after="0"/>
              <w:rPr>
                <w:sz w:val="20"/>
                <w:szCs w:val="20"/>
                <w:color w:val="auto"/>
              </w:rPr>
            </w:pPr>
            <w:r>
              <w:rPr>
                <w:rFonts w:ascii="Arial" w:cs="Arial" w:eastAsia="Arial" w:hAnsi="Arial"/>
                <w:sz w:val="9"/>
                <w:szCs w:val="9"/>
                <w:color w:val="auto"/>
              </w:rPr>
              <w:t>90,642,108</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96,933,192</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11"/>
                <w:szCs w:val="11"/>
                <w:color w:val="auto"/>
              </w:rPr>
            </w:pP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5,109,991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34,403,255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3,922,559</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rPr>
                <w:sz w:val="20"/>
                <w:szCs w:val="20"/>
                <w:color w:val="auto"/>
              </w:rPr>
            </w:pPr>
            <w:r>
              <w:rPr>
                <w:rFonts w:ascii="Arial" w:cs="Arial" w:eastAsia="Arial" w:hAnsi="Arial"/>
                <w:sz w:val="9"/>
                <w:szCs w:val="9"/>
                <w:color w:val="auto"/>
              </w:rPr>
              <w:t>(2,693)</w:t>
            </w:r>
          </w:p>
        </w:tc>
        <w:tc>
          <w:tcPr>
            <w:tcW w:w="100" w:type="dxa"/>
            <w:vAlign w:val="bottom"/>
          </w:tcPr>
          <w:p>
            <w:pPr>
              <w:spacing w:after="0"/>
              <w:rPr>
                <w:sz w:val="11"/>
                <w:szCs w:val="11"/>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94,374</w:t>
            </w:r>
          </w:p>
        </w:tc>
        <w:tc>
          <w:tcPr>
            <w:tcW w:w="100" w:type="dxa"/>
            <w:vAlign w:val="bottom"/>
          </w:tcPr>
          <w:p>
            <w:pPr>
              <w:spacing w:after="0"/>
              <w:rPr>
                <w:sz w:val="11"/>
                <w:szCs w:val="11"/>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814,901</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9"/>
                <w:szCs w:val="9"/>
                <w:color w:val="auto"/>
              </w:rPr>
              <w:t>4,829,143</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80" w:type="dxa"/>
            <w:vAlign w:val="bottom"/>
            <w:shd w:val="clear" w:color="auto" w:fill="CCEEFF"/>
          </w:tcPr>
          <w:p>
            <w:pPr>
              <w:ind w:left="20"/>
              <w:spacing w:after="0" w:line="62" w:lineRule="exact"/>
              <w:rPr>
                <w:sz w:val="20"/>
                <w:szCs w:val="20"/>
                <w:color w:val="auto"/>
              </w:rPr>
            </w:pPr>
            <w:r>
              <w:rPr>
                <w:rFonts w:ascii="Arial" w:cs="Arial" w:eastAsia="Arial" w:hAnsi="Arial"/>
                <w:sz w:val="7"/>
                <w:szCs w:val="7"/>
                <w:color w:val="auto"/>
              </w:rPr>
              <w:t>Activities related to the follow-on offering and other</w:t>
            </w: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98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w w:val="92"/>
              </w:rPr>
              <w:t>exchanges of LLC Interests, net of offering costs and</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(766)</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(766)</w:t>
            </w: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cancellations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80" w:type="dxa"/>
            <w:vAlign w:val="bottom"/>
          </w:tcPr>
          <w:p>
            <w:pPr>
              <w:ind w:left="20"/>
              <w:spacing w:after="0" w:line="95" w:lineRule="exact"/>
              <w:rPr>
                <w:sz w:val="20"/>
                <w:szCs w:val="20"/>
                <w:color w:val="auto"/>
              </w:rPr>
            </w:pPr>
            <w:r>
              <w:rPr>
                <w:rFonts w:ascii="Arial" w:cs="Arial" w:eastAsia="Arial" w:hAnsi="Arial"/>
                <w:sz w:val="9"/>
                <w:szCs w:val="9"/>
                <w:color w:val="auto"/>
              </w:rPr>
              <w:t>Issuance of common stock from equity incentive</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343,474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10,700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10,700</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plans</w:t>
            </w:r>
          </w:p>
        </w:tc>
        <w:tc>
          <w:tcPr>
            <w:tcW w:w="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(1,478)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1,478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198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(4,839)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(4,839)</w:t>
            </w:r>
          </w:p>
        </w:tc>
        <w:tc>
          <w:tcPr>
            <w:tcW w:w="0" w:type="dxa"/>
            <w:vAlign w:val="bottom"/>
          </w:tcPr>
          <w:p>
            <w:pPr>
              <w:spacing w:after="0"/>
              <w:rPr>
                <w:sz w:val="1"/>
                <w:szCs w:val="1"/>
                <w:color w:val="auto"/>
              </w:rPr>
            </w:pPr>
          </w:p>
        </w:tc>
      </w:tr>
      <w:tr>
        <w:trPr>
          <w:trHeight w:val="142"/>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(15,025)</w:t>
            </w:r>
          </w:p>
        </w:tc>
        <w:tc>
          <w:tcPr>
            <w:tcW w:w="0" w:type="dxa"/>
            <w:vAlign w:val="bottom"/>
          </w:tcPr>
          <w:p>
            <w:pPr>
              <w:spacing w:after="0"/>
              <w:rPr>
                <w:sz w:val="1"/>
                <w:szCs w:val="1"/>
                <w:color w:val="auto"/>
              </w:rPr>
            </w:pPr>
          </w:p>
        </w:tc>
      </w:tr>
      <w:tr>
        <w:trPr>
          <w:trHeight w:val="95"/>
        </w:trPr>
        <w:tc>
          <w:tcPr>
            <w:tcW w:w="1980" w:type="dxa"/>
            <w:vAlign w:val="bottom"/>
          </w:tcPr>
          <w:p>
            <w:pPr>
              <w:ind w:left="20"/>
              <w:spacing w:after="0" w:line="95" w:lineRule="exact"/>
              <w:rPr>
                <w:sz w:val="20"/>
                <w:szCs w:val="20"/>
                <w:color w:val="auto"/>
              </w:rPr>
            </w:pPr>
            <w:r>
              <w:rPr>
                <w:rFonts w:ascii="Arial" w:cs="Arial" w:eastAsia="Arial" w:hAnsi="Arial"/>
                <w:sz w:val="9"/>
                <w:szCs w:val="9"/>
                <w:color w:val="auto"/>
                <w:w w:val="91"/>
              </w:rPr>
              <w:t>Stock-based compensation expense under the PRSU</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6,778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6,778</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3"/>
              </w:rPr>
              <w:t>Stock-based compensation expense under the RSU</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1,684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1,684</w:t>
            </w: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80" w:type="dxa"/>
            <w:vAlign w:val="bottom"/>
          </w:tcPr>
          <w:p>
            <w:pPr>
              <w:ind w:left="20"/>
              <w:spacing w:after="0" w:line="95" w:lineRule="exact"/>
              <w:rPr>
                <w:sz w:val="20"/>
                <w:szCs w:val="20"/>
                <w:color w:val="auto"/>
              </w:rPr>
            </w:pPr>
            <w:r>
              <w:rPr>
                <w:rFonts w:ascii="Arial" w:cs="Arial" w:eastAsia="Arial" w:hAnsi="Arial"/>
                <w:sz w:val="9"/>
                <w:szCs w:val="9"/>
                <w:color w:val="auto"/>
                <w:w w:val="90"/>
              </w:rPr>
              <w:t>Stock-based compensation expense under the Option</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1,295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1,295</w:t>
            </w:r>
          </w:p>
        </w:tc>
        <w:tc>
          <w:tcPr>
            <w:tcW w:w="0" w:type="dxa"/>
            <w:vAlign w:val="bottom"/>
          </w:tcPr>
          <w:p>
            <w:pPr>
              <w:spacing w:after="0"/>
              <w:rPr>
                <w:sz w:val="1"/>
                <w:szCs w:val="1"/>
                <w:color w:val="auto"/>
              </w:rPr>
            </w:pPr>
          </w:p>
        </w:tc>
      </w:tr>
      <w:tr>
        <w:trPr>
          <w:trHeight w:val="118"/>
        </w:trPr>
        <w:tc>
          <w:tcPr>
            <w:tcW w:w="1980" w:type="dxa"/>
            <w:vAlign w:val="bottom"/>
          </w:tcPr>
          <w:p>
            <w:pPr>
              <w:ind w:left="20"/>
              <w:spacing w:after="0"/>
              <w:rPr>
                <w:sz w:val="20"/>
                <w:szCs w:val="20"/>
                <w:color w:val="auto"/>
              </w:rPr>
            </w:pPr>
            <w:r>
              <w:rPr>
                <w:rFonts w:ascii="Arial" w:cs="Arial" w:eastAsia="Arial" w:hAnsi="Arial"/>
                <w:sz w:val="9"/>
                <w:szCs w:val="9"/>
                <w:color w:val="auto"/>
              </w:rPr>
              <w:t>Plan</w:t>
            </w: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9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Payroll taxes paid for stock-based compensation</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4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(180)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(180)</w:t>
            </w: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exercises</w:t>
            </w: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vMerge w:val="continue"/>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980" w:type="dxa"/>
            <w:vAlign w:val="bottom"/>
          </w:tcPr>
          <w:p>
            <w:pPr>
              <w:ind w:left="20"/>
              <w:spacing w:after="0"/>
              <w:rPr>
                <w:sz w:val="20"/>
                <w:szCs w:val="20"/>
                <w:color w:val="auto"/>
              </w:rPr>
            </w:pPr>
            <w:r>
              <w:rPr>
                <w:rFonts w:ascii="Arial" w:cs="Arial" w:eastAsia="Arial" w:hAnsi="Arial"/>
                <w:sz w:val="9"/>
                <w:szCs w:val="9"/>
                <w:color w:val="auto"/>
              </w:rPr>
              <w:t>Net income</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36,812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10,236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9"/>
                <w:szCs w:val="9"/>
                <w:color w:val="auto"/>
              </w:rPr>
              <w:t>47,048</w:t>
            </w:r>
          </w:p>
        </w:tc>
        <w:tc>
          <w:tcPr>
            <w:tcW w:w="0" w:type="dxa"/>
            <w:vAlign w:val="bottom"/>
          </w:tcPr>
          <w:p>
            <w:pPr>
              <w:spacing w:after="0"/>
              <w:rPr>
                <w:sz w:val="1"/>
                <w:szCs w:val="1"/>
                <w:color w:val="auto"/>
              </w:rPr>
            </w:pPr>
          </w:p>
        </w:tc>
      </w:tr>
      <w:tr>
        <w:trPr>
          <w:trHeight w:val="136"/>
        </w:trPr>
        <w:tc>
          <w:tcPr>
            <w:tcW w:w="1980" w:type="dxa"/>
            <w:vAlign w:val="bottom"/>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2,793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588</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3,381</w:t>
            </w:r>
          </w:p>
        </w:tc>
        <w:tc>
          <w:tcPr>
            <w:tcW w:w="0" w:type="dxa"/>
            <w:vAlign w:val="bottom"/>
          </w:tcPr>
          <w:p>
            <w:pPr>
              <w:spacing w:after="0"/>
              <w:rPr>
                <w:sz w:val="1"/>
                <w:szCs w:val="1"/>
                <w:color w:val="auto"/>
              </w:rPr>
            </w:pPr>
          </w:p>
        </w:tc>
      </w:tr>
      <w:tr>
        <w:trPr>
          <w:trHeight w:val="135"/>
        </w:trPr>
        <w:tc>
          <w:tcPr>
            <w:tcW w:w="1980" w:type="dxa"/>
            <w:vAlign w:val="bottom"/>
          </w:tcPr>
          <w:p>
            <w:pPr>
              <w:ind w:left="20"/>
              <w:spacing w:after="0"/>
              <w:rPr>
                <w:sz w:val="20"/>
                <w:szCs w:val="20"/>
                <w:color w:val="auto"/>
              </w:rPr>
            </w:pPr>
            <w:r>
              <w:rPr>
                <w:rFonts w:ascii="Arial" w:cs="Arial" w:eastAsia="Arial" w:hAnsi="Arial"/>
                <w:sz w:val="9"/>
                <w:szCs w:val="9"/>
                <w:color w:val="auto"/>
              </w:rPr>
              <w:t>Balance at September 30, 2020</w:t>
            </w:r>
          </w:p>
        </w:tc>
        <w:tc>
          <w:tcPr>
            <w:tcW w:w="560" w:type="dxa"/>
            <w:vAlign w:val="bottom"/>
          </w:tcPr>
          <w:p>
            <w:pPr>
              <w:jc w:val="right"/>
              <w:spacing w:after="0"/>
              <w:rPr>
                <w:sz w:val="20"/>
                <w:szCs w:val="20"/>
                <w:color w:val="auto"/>
              </w:rPr>
            </w:pPr>
            <w:r>
              <w:rPr>
                <w:rFonts w:ascii="Arial" w:cs="Arial" w:eastAsia="Arial" w:hAnsi="Arial"/>
                <w:sz w:val="9"/>
                <w:szCs w:val="9"/>
                <w:color w:val="auto"/>
              </w:rPr>
              <w:t>90,985,582</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96,933,192</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w:t>
            </w:r>
          </w:p>
        </w:tc>
        <w:tc>
          <w:tcPr>
            <w:tcW w:w="120" w:type="dxa"/>
            <w:vAlign w:val="bottom"/>
          </w:tcPr>
          <w:p>
            <w:pPr>
              <w:spacing w:after="0"/>
              <w:rPr>
                <w:sz w:val="11"/>
                <w:szCs w:val="11"/>
                <w:color w:val="auto"/>
              </w:rPr>
            </w:pP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5,109,991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34,403,255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rPr>
              <w:t>$</w:t>
            </w:r>
          </w:p>
        </w:tc>
        <w:tc>
          <w:tcPr>
            <w:tcW w:w="540" w:type="dxa"/>
            <w:vAlign w:val="bottom"/>
          </w:tcPr>
          <w:p>
            <w:pPr>
              <w:jc w:val="right"/>
              <w:spacing w:after="0"/>
              <w:rPr>
                <w:sz w:val="20"/>
                <w:szCs w:val="20"/>
                <w:color w:val="auto"/>
              </w:rPr>
            </w:pPr>
            <w:r>
              <w:rPr>
                <w:rFonts w:ascii="Arial" w:cs="Arial" w:eastAsia="Arial" w:hAnsi="Arial"/>
                <w:sz w:val="9"/>
                <w:szCs w:val="9"/>
                <w:color w:val="auto"/>
              </w:rPr>
              <w:t>3,940,592</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ind w:right="15"/>
              <w:spacing w:after="0"/>
              <w:rPr>
                <w:sz w:val="20"/>
                <w:szCs w:val="20"/>
                <w:color w:val="auto"/>
              </w:rPr>
            </w:pPr>
            <w:r>
              <w:rPr>
                <w:rFonts w:ascii="Arial" w:cs="Arial" w:eastAsia="Arial" w:hAnsi="Arial"/>
                <w:sz w:val="9"/>
                <w:szCs w:val="9"/>
                <w:color w:val="auto"/>
              </w:rPr>
              <w:t>100</w:t>
            </w:r>
          </w:p>
        </w:tc>
        <w:tc>
          <w:tcPr>
            <w:tcW w:w="100" w:type="dxa"/>
            <w:vAlign w:val="bottom"/>
          </w:tcPr>
          <w:p>
            <w:pPr>
              <w:spacing w:after="0"/>
              <w:rPr>
                <w:sz w:val="11"/>
                <w:szCs w:val="11"/>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ind w:right="15"/>
              <w:spacing w:after="0"/>
              <w:rPr>
                <w:sz w:val="20"/>
                <w:szCs w:val="20"/>
                <w:color w:val="auto"/>
              </w:rPr>
            </w:pPr>
            <w:r>
              <w:rPr>
                <w:rFonts w:ascii="Arial" w:cs="Arial" w:eastAsia="Arial" w:hAnsi="Arial"/>
                <w:sz w:val="9"/>
                <w:szCs w:val="9"/>
                <w:color w:val="auto"/>
              </w:rPr>
              <w:t>116,161</w:t>
            </w:r>
          </w:p>
        </w:tc>
        <w:tc>
          <w:tcPr>
            <w:tcW w:w="100" w:type="dxa"/>
            <w:vAlign w:val="bottom"/>
          </w:tcPr>
          <w:p>
            <w:pPr>
              <w:spacing w:after="0"/>
              <w:rPr>
                <w:sz w:val="11"/>
                <w:szCs w:val="11"/>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822,364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9"/>
                <w:szCs w:val="9"/>
                <w:color w:val="auto"/>
              </w:rPr>
              <w:t>4,879,219</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Equity – (Continued)</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88"/>
              </w:rPr>
              <w:t>Accumulated</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87"/>
              </w:rPr>
              <w:t>Non-</w:t>
            </w:r>
          </w:p>
        </w:tc>
        <w:tc>
          <w:tcPr>
            <w:tcW w:w="80" w:type="dxa"/>
            <w:vAlign w:val="bottom"/>
          </w:tcPr>
          <w:p>
            <w:pPr>
              <w:spacing w:after="0"/>
              <w:rPr>
                <w:sz w:val="8"/>
                <w:szCs w:val="8"/>
                <w:color w:val="auto"/>
              </w:rPr>
            </w:pPr>
          </w:p>
        </w:tc>
        <w:tc>
          <w:tcPr>
            <w:tcW w:w="640" w:type="dxa"/>
            <w:vAlign w:val="bottom"/>
            <w:vMerge w:val="restart"/>
          </w:tcPr>
          <w:p>
            <w:pPr>
              <w:jc w:val="center"/>
              <w:ind w:right="35"/>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Members'</w:t>
            </w:r>
          </w:p>
        </w:tc>
        <w:tc>
          <w:tcPr>
            <w:tcW w:w="780" w:type="dxa"/>
            <w:vAlign w:val="bottom"/>
            <w:gridSpan w:val="3"/>
            <w:vMerge w:val="restart"/>
          </w:tcPr>
          <w:p>
            <w:pPr>
              <w:jc w:val="center"/>
              <w:ind w:left="355"/>
              <w:spacing w:after="0"/>
              <w:rPr>
                <w:sz w:val="20"/>
                <w:szCs w:val="20"/>
                <w:color w:val="auto"/>
              </w:rPr>
            </w:pPr>
            <w:r>
              <w:rPr>
                <w:rFonts w:ascii="Arial" w:cs="Arial" w:eastAsia="Arial" w:hAnsi="Arial"/>
                <w:sz w:val="9"/>
                <w:szCs w:val="9"/>
                <w:b w:val="1"/>
                <w:bCs w:val="1"/>
                <w:color w:val="auto"/>
                <w:w w:val="90"/>
              </w:rPr>
              <w:t>Class A</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84"/>
              </w:rPr>
              <w:t>Class C</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D</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7"/>
                <w:szCs w:val="7"/>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Retained</w:t>
            </w: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7"/>
                <w:szCs w:val="7"/>
                <w:color w:val="auto"/>
              </w:rPr>
            </w:pPr>
          </w:p>
        </w:tc>
        <w:tc>
          <w:tcPr>
            <w:tcW w:w="84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88"/>
              </w:rPr>
              <w:t>Comprehensive</w:t>
            </w:r>
          </w:p>
        </w:tc>
        <w:tc>
          <w:tcPr>
            <w:tcW w:w="1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91"/>
              </w:rPr>
              <w:t>Controlling</w:t>
            </w:r>
          </w:p>
        </w:tc>
        <w:tc>
          <w:tcPr>
            <w:tcW w:w="80" w:type="dxa"/>
            <w:vAlign w:val="bottom"/>
          </w:tcPr>
          <w:p>
            <w:pPr>
              <w:spacing w:after="0"/>
              <w:rPr>
                <w:sz w:val="7"/>
                <w:szCs w:val="7"/>
                <w:color w:val="auto"/>
              </w:rPr>
            </w:pPr>
          </w:p>
        </w:tc>
        <w:tc>
          <w:tcPr>
            <w:tcW w:w="640" w:type="dxa"/>
            <w:vAlign w:val="bottom"/>
          </w:tcPr>
          <w:p>
            <w:pPr>
              <w:jc w:val="center"/>
              <w:ind w:right="35"/>
              <w:spacing w:after="0" w:line="81" w:lineRule="exact"/>
              <w:rPr>
                <w:sz w:val="20"/>
                <w:szCs w:val="20"/>
                <w:color w:val="auto"/>
              </w:rPr>
            </w:pPr>
            <w:r>
              <w:rPr>
                <w:rFonts w:ascii="Arial" w:cs="Arial" w:eastAsia="Arial" w:hAnsi="Arial"/>
                <w:sz w:val="9"/>
                <w:szCs w:val="9"/>
                <w:b w:val="1"/>
                <w:bCs w:val="1"/>
                <w:color w:val="auto"/>
                <w:w w:val="87"/>
              </w:rPr>
              <w:t>Stockholders'</w:t>
            </w: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b w:val="1"/>
                <w:bCs w:val="1"/>
                <w:color w:val="auto"/>
              </w:rPr>
              <w:t>Capital</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8"/>
              </w:rPr>
              <w:t>Income (Loss)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25"/>
        </w:trPr>
        <w:tc>
          <w:tcPr>
            <w:tcW w:w="16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88"/>
              </w:rPr>
              <w:t>Amount</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Shares</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88"/>
              </w:rPr>
              <w:t>Amount</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w w:val="96"/>
              </w:rPr>
              <w:t>Balance at Balance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4,573,200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(866)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4,572,334</w:t>
            </w:r>
          </w:p>
        </w:tc>
        <w:tc>
          <w:tcPr>
            <w:tcW w:w="0" w:type="dxa"/>
            <w:vAlign w:val="bottom"/>
          </w:tcPr>
          <w:p>
            <w:pPr>
              <w:spacing w:after="0"/>
              <w:rPr>
                <w:sz w:val="1"/>
                <w:szCs w:val="1"/>
                <w:color w:val="auto"/>
              </w:rPr>
            </w:pPr>
          </w:p>
        </w:tc>
      </w:tr>
      <w:tr>
        <w:trPr>
          <w:trHeight w:val="94"/>
        </w:trPr>
        <w:tc>
          <w:tcPr>
            <w:tcW w:w="1680" w:type="dxa"/>
            <w:vAlign w:val="bottom"/>
          </w:tcPr>
          <w:p>
            <w:pPr>
              <w:ind w:left="20"/>
              <w:spacing w:after="0" w:line="95" w:lineRule="exact"/>
              <w:rPr>
                <w:sz w:val="20"/>
                <w:szCs w:val="20"/>
                <w:color w:val="auto"/>
              </w:rPr>
            </w:pPr>
            <w:r>
              <w:rPr>
                <w:rFonts w:ascii="Arial" w:cs="Arial" w:eastAsia="Arial" w:hAnsi="Arial"/>
                <w:sz w:val="9"/>
                <w:szCs w:val="9"/>
                <w:color w:val="auto"/>
                <w:w w:val="89"/>
              </w:rPr>
              <w:t>Adjustment to Class C Shares and Class P(C)</w:t>
            </w: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9"/>
                <w:szCs w:val="9"/>
                <w:color w:val="auto"/>
              </w:rPr>
              <w:t>(2,369)</w:t>
            </w:r>
          </w:p>
        </w:tc>
        <w:tc>
          <w:tcPr>
            <w:tcW w:w="8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(2,369)</w:t>
            </w:r>
          </w:p>
        </w:tc>
        <w:tc>
          <w:tcPr>
            <w:tcW w:w="0" w:type="dxa"/>
            <w:vAlign w:val="bottom"/>
          </w:tcPr>
          <w:p>
            <w:pPr>
              <w:spacing w:after="0"/>
              <w:rPr>
                <w:sz w:val="1"/>
                <w:szCs w:val="1"/>
                <w:color w:val="auto"/>
              </w:rPr>
            </w:pPr>
          </w:p>
        </w:tc>
      </w:tr>
      <w:tr>
        <w:trPr>
          <w:trHeight w:val="118"/>
        </w:trPr>
        <w:tc>
          <w:tcPr>
            <w:tcW w:w="1680" w:type="dxa"/>
            <w:vAlign w:val="bottom"/>
          </w:tcPr>
          <w:p>
            <w:pPr>
              <w:ind w:left="20"/>
              <w:spacing w:after="0"/>
              <w:rPr>
                <w:sz w:val="20"/>
                <w:szCs w:val="20"/>
                <w:color w:val="auto"/>
              </w:rPr>
            </w:pPr>
            <w:r>
              <w:rPr>
                <w:rFonts w:ascii="Arial" w:cs="Arial" w:eastAsia="Arial" w:hAnsi="Arial"/>
                <w:sz w:val="9"/>
                <w:szCs w:val="9"/>
                <w:color w:val="auto"/>
              </w:rPr>
              <w:t>shares in mezzanine capital</w:t>
            </w: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Capital distributions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(20,000)</w:t>
            </w:r>
          </w:p>
        </w:tc>
        <w:tc>
          <w:tcPr>
            <w:tcW w:w="0" w:type="dxa"/>
            <w:vAlign w:val="bottom"/>
          </w:tcPr>
          <w:p>
            <w:pPr>
              <w:spacing w:after="0"/>
              <w:rPr>
                <w:sz w:val="1"/>
                <w:szCs w:val="1"/>
                <w:color w:val="auto"/>
              </w:rPr>
            </w:pPr>
          </w:p>
        </w:tc>
      </w:tr>
      <w:tr>
        <w:trPr>
          <w:trHeight w:val="128"/>
        </w:trPr>
        <w:tc>
          <w:tcPr>
            <w:tcW w:w="1680" w:type="dxa"/>
            <w:vAlign w:val="bottom"/>
          </w:tcPr>
          <w:p>
            <w:pPr>
              <w:ind w:left="20"/>
              <w:spacing w:after="0"/>
              <w:rPr>
                <w:sz w:val="20"/>
                <w:szCs w:val="20"/>
                <w:color w:val="auto"/>
              </w:rPr>
            </w:pPr>
            <w:r>
              <w:rPr>
                <w:rFonts w:ascii="Arial" w:cs="Arial" w:eastAsia="Arial" w:hAnsi="Arial"/>
                <w:sz w:val="9"/>
                <w:szCs w:val="9"/>
                <w:color w:val="auto"/>
              </w:rPr>
              <w:t>Stock-based compensation</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4,674</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4,674</w:t>
            </w: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42,352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42,352</w:t>
            </w:r>
          </w:p>
        </w:tc>
        <w:tc>
          <w:tcPr>
            <w:tcW w:w="0" w:type="dxa"/>
            <w:vAlign w:val="bottom"/>
          </w:tcPr>
          <w:p>
            <w:pPr>
              <w:spacing w:after="0"/>
              <w:rPr>
                <w:sz w:val="1"/>
                <w:szCs w:val="1"/>
                <w:color w:val="auto"/>
              </w:rPr>
            </w:pPr>
          </w:p>
        </w:tc>
      </w:tr>
      <w:tr>
        <w:trPr>
          <w:trHeight w:val="128"/>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988</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988</w:t>
            </w:r>
          </w:p>
        </w:tc>
        <w:tc>
          <w:tcPr>
            <w:tcW w:w="0" w:type="dxa"/>
            <w:vAlign w:val="bottom"/>
          </w:tcPr>
          <w:p>
            <w:pPr>
              <w:spacing w:after="0"/>
              <w:rPr>
                <w:sz w:val="1"/>
                <w:szCs w:val="1"/>
                <w:color w:val="auto"/>
              </w:rPr>
            </w:pPr>
          </w:p>
        </w:tc>
      </w:tr>
      <w:tr>
        <w:trPr>
          <w:trHeight w:val="155"/>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Balance at March 31, 2019</w:t>
            </w: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4,597,857</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122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4,597,979</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tcPr>
          <w:p>
            <w:pPr>
              <w:ind w:left="20"/>
              <w:spacing w:after="0" w:line="102" w:lineRule="exact"/>
              <w:rPr>
                <w:sz w:val="20"/>
                <w:szCs w:val="20"/>
                <w:color w:val="auto"/>
              </w:rPr>
            </w:pPr>
            <w:r>
              <w:rPr>
                <w:rFonts w:ascii="Arial" w:cs="Arial" w:eastAsia="Arial" w:hAnsi="Arial"/>
                <w:sz w:val="9"/>
                <w:szCs w:val="9"/>
                <w:color w:val="auto"/>
              </w:rPr>
              <w:t>Capital distributions</w:t>
            </w:r>
          </w:p>
        </w:tc>
        <w:tc>
          <w:tcPr>
            <w:tcW w:w="10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9"/>
                <w:szCs w:val="9"/>
                <w:color w:val="auto"/>
              </w:rPr>
              <w:t>(100,000)</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ind w:left="260"/>
              <w:spacing w:after="0" w:line="102"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(100,000)</w:t>
            </w: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Effect of the reorganization transactions</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(4,497,857)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4,521,132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23,275</w:t>
            </w:r>
          </w:p>
        </w:tc>
        <w:tc>
          <w:tcPr>
            <w:tcW w:w="0" w:type="dxa"/>
            <w:vAlign w:val="bottom"/>
          </w:tcPr>
          <w:p>
            <w:pPr>
              <w:spacing w:after="0"/>
              <w:rPr>
                <w:sz w:val="1"/>
                <w:szCs w:val="1"/>
                <w:color w:val="auto"/>
              </w:rPr>
            </w:pPr>
          </w:p>
        </w:tc>
      </w:tr>
      <w:tr>
        <w:trPr>
          <w:trHeight w:val="94"/>
        </w:trPr>
        <w:tc>
          <w:tcPr>
            <w:tcW w:w="1680" w:type="dxa"/>
            <w:vAlign w:val="bottom"/>
          </w:tcPr>
          <w:p>
            <w:pPr>
              <w:ind w:left="20"/>
              <w:spacing w:after="0" w:line="95" w:lineRule="exact"/>
              <w:rPr>
                <w:sz w:val="20"/>
                <w:szCs w:val="20"/>
                <w:color w:val="auto"/>
              </w:rPr>
            </w:pPr>
            <w:r>
              <w:rPr>
                <w:rFonts w:ascii="Arial" w:cs="Arial" w:eastAsia="Arial" w:hAnsi="Arial"/>
                <w:sz w:val="9"/>
                <w:szCs w:val="9"/>
                <w:color w:val="auto"/>
                <w:w w:val="98"/>
              </w:rPr>
              <w:t>Issuance of common stock, net of offering</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46,000,000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10,006,269</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69,282,736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(15,856)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(15,854)</w:t>
            </w:r>
          </w:p>
        </w:tc>
        <w:tc>
          <w:tcPr>
            <w:tcW w:w="0" w:type="dxa"/>
            <w:vAlign w:val="bottom"/>
          </w:tcPr>
          <w:p>
            <w:pPr>
              <w:spacing w:after="0"/>
              <w:rPr>
                <w:sz w:val="1"/>
                <w:szCs w:val="1"/>
                <w:color w:val="auto"/>
              </w:rPr>
            </w:pPr>
          </w:p>
        </w:tc>
      </w:tr>
      <w:tr>
        <w:trPr>
          <w:trHeight w:val="118"/>
        </w:trPr>
        <w:tc>
          <w:tcPr>
            <w:tcW w:w="1680" w:type="dxa"/>
            <w:vAlign w:val="bottom"/>
          </w:tcPr>
          <w:p>
            <w:pPr>
              <w:ind w:left="20"/>
              <w:spacing w:after="0"/>
              <w:rPr>
                <w:sz w:val="20"/>
                <w:szCs w:val="20"/>
                <w:color w:val="auto"/>
              </w:rPr>
            </w:pPr>
            <w:r>
              <w:rPr>
                <w:rFonts w:ascii="Arial" w:cs="Arial" w:eastAsia="Arial" w:hAnsi="Arial"/>
                <w:sz w:val="9"/>
                <w:szCs w:val="9"/>
                <w:color w:val="auto"/>
              </w:rPr>
              <w:t>costs and cancellations</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rPr>
              <w:t>Tax receivable agreement liability and</w:t>
            </w: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80" w:type="dxa"/>
            <w:vAlign w:val="bottom"/>
            <w:shd w:val="clear" w:color="auto" w:fill="CCEEFF"/>
          </w:tcPr>
          <w:p>
            <w:pPr>
              <w:ind w:left="20"/>
              <w:spacing w:after="0" w:line="81" w:lineRule="exact"/>
              <w:rPr>
                <w:sz w:val="20"/>
                <w:szCs w:val="20"/>
                <w:color w:val="auto"/>
              </w:rPr>
            </w:pPr>
            <w:r>
              <w:rPr>
                <w:rFonts w:ascii="Arial" w:cs="Arial" w:eastAsia="Arial" w:hAnsi="Arial"/>
                <w:sz w:val="9"/>
                <w:szCs w:val="9"/>
                <w:color w:val="auto"/>
              </w:rPr>
              <w:t>deferred taxes arising from the</w:t>
            </w:r>
          </w:p>
        </w:tc>
        <w:tc>
          <w:tcPr>
            <w:tcW w:w="10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(78,232)</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(78,232)</w:t>
            </w: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reorganization transactions and IPO</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80" w:type="dxa"/>
            <w:vAlign w:val="bottom"/>
          </w:tcPr>
          <w:p>
            <w:pPr>
              <w:ind w:left="20"/>
              <w:spacing w:after="0" w:line="95" w:lineRule="exact"/>
              <w:rPr>
                <w:sz w:val="20"/>
                <w:szCs w:val="20"/>
                <w:color w:val="auto"/>
              </w:rPr>
            </w:pPr>
            <w:r>
              <w:rPr>
                <w:rFonts w:ascii="Arial" w:cs="Arial" w:eastAsia="Arial" w:hAnsi="Arial"/>
                <w:sz w:val="9"/>
                <w:szCs w:val="9"/>
                <w:color w:val="auto"/>
              </w:rPr>
              <w:t>Allocation of equity to non-controlling</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(1,607,529)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1,607,529</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8"/>
        </w:trPr>
        <w:tc>
          <w:tcPr>
            <w:tcW w:w="1680" w:type="dxa"/>
            <w:vAlign w:val="bottom"/>
          </w:tcPr>
          <w:p>
            <w:pPr>
              <w:ind w:left="20"/>
              <w:spacing w:after="0"/>
              <w:rPr>
                <w:sz w:val="20"/>
                <w:szCs w:val="20"/>
                <w:color w:val="auto"/>
              </w:rPr>
            </w:pPr>
            <w:r>
              <w:rPr>
                <w:rFonts w:ascii="Arial" w:cs="Arial" w:eastAsia="Arial" w:hAnsi="Arial"/>
                <w:sz w:val="9"/>
                <w:szCs w:val="9"/>
                <w:color w:val="auto"/>
              </w:rPr>
              <w:t>interests</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(11,909)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(11,909)</w:t>
            </w:r>
          </w:p>
        </w:tc>
        <w:tc>
          <w:tcPr>
            <w:tcW w:w="0" w:type="dxa"/>
            <w:vAlign w:val="bottom"/>
          </w:tcPr>
          <w:p>
            <w:pPr>
              <w:spacing w:after="0"/>
              <w:rPr>
                <w:sz w:val="1"/>
                <w:szCs w:val="1"/>
                <w:color w:val="auto"/>
              </w:rPr>
            </w:pPr>
          </w:p>
        </w:tc>
      </w:tr>
      <w:tr>
        <w:trPr>
          <w:trHeight w:val="128"/>
        </w:trPr>
        <w:tc>
          <w:tcPr>
            <w:tcW w:w="168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(11,435)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(11,435)</w:t>
            </w:r>
          </w:p>
        </w:tc>
        <w:tc>
          <w:tcPr>
            <w:tcW w:w="0" w:type="dxa"/>
            <w:vAlign w:val="bottom"/>
          </w:tcPr>
          <w:p>
            <w:pPr>
              <w:spacing w:after="0"/>
              <w:rPr>
                <w:sz w:val="1"/>
                <w:szCs w:val="1"/>
                <w:color w:val="auto"/>
              </w:rPr>
            </w:pPr>
          </w:p>
        </w:tc>
      </w:tr>
      <w:tr>
        <w:trPr>
          <w:trHeight w:val="102"/>
        </w:trPr>
        <w:tc>
          <w:tcPr>
            <w:tcW w:w="168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88"/>
              </w:rPr>
              <w:t>Stock-based compensation expense under the</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6,763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6,763</w:t>
            </w:r>
          </w:p>
        </w:tc>
        <w:tc>
          <w:tcPr>
            <w:tcW w:w="0" w:type="dxa"/>
            <w:vAlign w:val="bottom"/>
          </w:tcPr>
          <w:p>
            <w:pPr>
              <w:spacing w:after="0"/>
              <w:rPr>
                <w:sz w:val="1"/>
                <w:szCs w:val="1"/>
                <w:color w:val="auto"/>
              </w:rPr>
            </w:pPr>
          </w:p>
        </w:tc>
      </w:tr>
      <w:tr>
        <w:trPr>
          <w:trHeight w:val="121"/>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PRSU Plan</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80" w:type="dxa"/>
            <w:vAlign w:val="bottom"/>
          </w:tcPr>
          <w:p>
            <w:pPr>
              <w:ind w:left="20"/>
              <w:spacing w:after="0" w:line="95" w:lineRule="exact"/>
              <w:rPr>
                <w:sz w:val="20"/>
                <w:szCs w:val="20"/>
                <w:color w:val="auto"/>
              </w:rPr>
            </w:pPr>
            <w:r>
              <w:rPr>
                <w:rFonts w:ascii="Arial" w:cs="Arial" w:eastAsia="Arial" w:hAnsi="Arial"/>
                <w:sz w:val="9"/>
                <w:szCs w:val="9"/>
                <w:color w:val="auto"/>
                <w:w w:val="88"/>
              </w:rPr>
              <w:t>Stock-based compensation expense under the</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20,403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20,403</w:t>
            </w:r>
          </w:p>
        </w:tc>
        <w:tc>
          <w:tcPr>
            <w:tcW w:w="0" w:type="dxa"/>
            <w:vAlign w:val="bottom"/>
          </w:tcPr>
          <w:p>
            <w:pPr>
              <w:spacing w:after="0"/>
              <w:rPr>
                <w:sz w:val="1"/>
                <w:szCs w:val="1"/>
                <w:color w:val="auto"/>
              </w:rPr>
            </w:pPr>
          </w:p>
        </w:tc>
      </w:tr>
      <w:tr>
        <w:trPr>
          <w:trHeight w:val="118"/>
        </w:trPr>
        <w:tc>
          <w:tcPr>
            <w:tcW w:w="1680" w:type="dxa"/>
            <w:vAlign w:val="bottom"/>
          </w:tcPr>
          <w:p>
            <w:pPr>
              <w:ind w:left="20"/>
              <w:spacing w:after="0"/>
              <w:rPr>
                <w:sz w:val="20"/>
                <w:szCs w:val="20"/>
                <w:color w:val="auto"/>
              </w:rPr>
            </w:pPr>
            <w:r>
              <w:rPr>
                <w:rFonts w:ascii="Arial" w:cs="Arial" w:eastAsia="Arial" w:hAnsi="Arial"/>
                <w:sz w:val="9"/>
                <w:szCs w:val="9"/>
                <w:color w:val="auto"/>
              </w:rPr>
              <w:t>Option Plan</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12,828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11,988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24,816</w:t>
            </w:r>
          </w:p>
        </w:tc>
        <w:tc>
          <w:tcPr>
            <w:tcW w:w="0" w:type="dxa"/>
            <w:vAlign w:val="bottom"/>
          </w:tcPr>
          <w:p>
            <w:pPr>
              <w:spacing w:after="0"/>
              <w:rPr>
                <w:sz w:val="1"/>
                <w:szCs w:val="1"/>
                <w:color w:val="auto"/>
              </w:rPr>
            </w:pPr>
          </w:p>
        </w:tc>
      </w:tr>
      <w:tr>
        <w:trPr>
          <w:trHeight w:val="128"/>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(647)</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(1,006)</w:t>
            </w:r>
          </w:p>
        </w:tc>
        <w:tc>
          <w:tcPr>
            <w:tcW w:w="0" w:type="dxa"/>
            <w:vAlign w:val="bottom"/>
          </w:tcPr>
          <w:p>
            <w:pPr>
              <w:spacing w:after="0"/>
              <w:rPr>
                <w:sz w:val="1"/>
                <w:szCs w:val="1"/>
                <w:color w:val="auto"/>
              </w:rPr>
            </w:pPr>
          </w:p>
        </w:tc>
      </w:tr>
      <w:tr>
        <w:trPr>
          <w:trHeight w:val="155"/>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June 30, 2019</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46,000,000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10,006,269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69,282,736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2,846,681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9"/>
                <w:szCs w:val="9"/>
                <w:color w:val="auto"/>
              </w:rPr>
              <w:t>(525)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1,393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1,607,249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4,454,800</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vMerge w:val="restart"/>
          </w:tcPr>
          <w:p>
            <w:pPr>
              <w:ind w:left="20"/>
              <w:spacing w:after="0" w:line="82" w:lineRule="exact"/>
              <w:rPr>
                <w:sz w:val="20"/>
                <w:szCs w:val="20"/>
                <w:color w:val="auto"/>
              </w:rPr>
            </w:pPr>
            <w:r>
              <w:rPr>
                <w:rFonts w:ascii="Arial" w:cs="Arial" w:eastAsia="Arial" w:hAnsi="Arial"/>
                <w:sz w:val="9"/>
                <w:szCs w:val="9"/>
                <w:color w:val="auto"/>
                <w:w w:val="98"/>
              </w:rPr>
              <w:t>Issuance of common stock, net of offering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16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9,753</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3"/>
                <w:szCs w:val="3"/>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8"/>
        </w:trPr>
        <w:tc>
          <w:tcPr>
            <w:tcW w:w="1680" w:type="dxa"/>
            <w:vAlign w:val="bottom"/>
          </w:tcPr>
          <w:p>
            <w:pPr>
              <w:ind w:left="20"/>
              <w:spacing w:after="0"/>
              <w:rPr>
                <w:sz w:val="20"/>
                <w:szCs w:val="20"/>
                <w:color w:val="auto"/>
              </w:rPr>
            </w:pPr>
            <w:r>
              <w:rPr>
                <w:rFonts w:ascii="Arial" w:cs="Arial" w:eastAsia="Arial" w:hAnsi="Arial"/>
                <w:sz w:val="9"/>
                <w:szCs w:val="9"/>
                <w:color w:val="auto"/>
              </w:rPr>
              <w:t>costs and cancellations</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168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(11,772)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(11,772)</w:t>
            </w: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(11,435)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(11,435)</w:t>
            </w:r>
          </w:p>
        </w:tc>
        <w:tc>
          <w:tcPr>
            <w:tcW w:w="0" w:type="dxa"/>
            <w:vAlign w:val="bottom"/>
          </w:tcPr>
          <w:p>
            <w:pPr>
              <w:spacing w:after="0"/>
              <w:rPr>
                <w:sz w:val="1"/>
                <w:szCs w:val="1"/>
                <w:color w:val="auto"/>
              </w:rPr>
            </w:pPr>
          </w:p>
        </w:tc>
      </w:tr>
      <w:tr>
        <w:trPr>
          <w:trHeight w:val="95"/>
        </w:trPr>
        <w:tc>
          <w:tcPr>
            <w:tcW w:w="1680" w:type="dxa"/>
            <w:vAlign w:val="bottom"/>
          </w:tcPr>
          <w:p>
            <w:pPr>
              <w:ind w:left="20"/>
              <w:spacing w:after="0" w:line="95" w:lineRule="exact"/>
              <w:rPr>
                <w:sz w:val="20"/>
                <w:szCs w:val="20"/>
                <w:color w:val="auto"/>
              </w:rPr>
            </w:pPr>
            <w:r>
              <w:rPr>
                <w:rFonts w:ascii="Arial" w:cs="Arial" w:eastAsia="Arial" w:hAnsi="Arial"/>
                <w:sz w:val="9"/>
                <w:szCs w:val="9"/>
                <w:color w:val="auto"/>
                <w:w w:val="88"/>
              </w:rPr>
              <w:t>Stock-based compensation expense under the</w:t>
            </w:r>
          </w:p>
        </w:tc>
        <w:tc>
          <w:tcPr>
            <w:tcW w:w="10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7,136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7,136</w:t>
            </w:r>
          </w:p>
        </w:tc>
        <w:tc>
          <w:tcPr>
            <w:tcW w:w="0" w:type="dxa"/>
            <w:vAlign w:val="bottom"/>
          </w:tcPr>
          <w:p>
            <w:pPr>
              <w:spacing w:after="0"/>
              <w:rPr>
                <w:sz w:val="1"/>
                <w:szCs w:val="1"/>
                <w:color w:val="auto"/>
              </w:rPr>
            </w:pPr>
          </w:p>
        </w:tc>
      </w:tr>
      <w:tr>
        <w:trPr>
          <w:trHeight w:val="118"/>
        </w:trPr>
        <w:tc>
          <w:tcPr>
            <w:tcW w:w="1680" w:type="dxa"/>
            <w:vAlign w:val="bottom"/>
          </w:tcPr>
          <w:p>
            <w:pPr>
              <w:ind w:left="20"/>
              <w:spacing w:after="0"/>
              <w:rPr>
                <w:sz w:val="20"/>
                <w:szCs w:val="20"/>
                <w:color w:val="auto"/>
              </w:rPr>
            </w:pPr>
            <w:r>
              <w:rPr>
                <w:rFonts w:ascii="Arial" w:cs="Arial" w:eastAsia="Arial" w:hAnsi="Arial"/>
                <w:sz w:val="9"/>
                <w:szCs w:val="9"/>
                <w:color w:val="auto"/>
              </w:rPr>
              <w:t>PRSU Plan</w:t>
            </w: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88"/>
              </w:rPr>
              <w:t>Stock-based compensation expense under the</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1,995</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1,995</w:t>
            </w:r>
          </w:p>
        </w:tc>
        <w:tc>
          <w:tcPr>
            <w:tcW w:w="0" w:type="dxa"/>
            <w:vAlign w:val="bottom"/>
          </w:tcPr>
          <w:p>
            <w:pPr>
              <w:spacing w:after="0"/>
              <w:rPr>
                <w:sz w:val="1"/>
                <w:szCs w:val="1"/>
                <w:color w:val="auto"/>
              </w:rPr>
            </w:pPr>
          </w:p>
        </w:tc>
      </w:tr>
      <w:tr>
        <w:trPr>
          <w:trHeight w:val="121"/>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Option Plan</w:t>
            </w: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680" w:type="dxa"/>
            <w:vAlign w:val="bottom"/>
          </w:tcPr>
          <w:p>
            <w:pPr>
              <w:ind w:left="20"/>
              <w:spacing w:after="0"/>
              <w:rPr>
                <w:sz w:val="20"/>
                <w:szCs w:val="20"/>
                <w:color w:val="auto"/>
              </w:rPr>
            </w:pPr>
            <w:r>
              <w:rPr>
                <w:rFonts w:ascii="Arial" w:cs="Arial" w:eastAsia="Arial" w:hAnsi="Arial"/>
                <w:sz w:val="9"/>
                <w:szCs w:val="9"/>
                <w:color w:val="auto"/>
              </w:rPr>
              <w:t>Net income</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29,612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18,966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48,578</w:t>
            </w:r>
          </w:p>
        </w:tc>
        <w:tc>
          <w:tcPr>
            <w:tcW w:w="0" w:type="dxa"/>
            <w:vAlign w:val="bottom"/>
          </w:tcPr>
          <w:p>
            <w:pPr>
              <w:spacing w:after="0"/>
              <w:rPr>
                <w:sz w:val="1"/>
                <w:szCs w:val="1"/>
                <w:color w:val="auto"/>
              </w:rPr>
            </w:pPr>
          </w:p>
        </w:tc>
      </w:tr>
      <w:tr>
        <w:trPr>
          <w:trHeight w:val="136"/>
        </w:trPr>
        <w:tc>
          <w:tcPr>
            <w:tcW w:w="1680" w:type="dxa"/>
            <w:vAlign w:val="bottom"/>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(1,329)</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(737)</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(2,066)</w:t>
            </w: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rPr>
                <w:sz w:val="20"/>
                <w:szCs w:val="20"/>
                <w:color w:val="auto"/>
              </w:rPr>
            </w:pPr>
            <w:r>
              <w:rPr>
                <w:rFonts w:ascii="Arial" w:cs="Arial" w:eastAsia="Arial" w:hAnsi="Arial"/>
                <w:sz w:val="9"/>
                <w:szCs w:val="9"/>
                <w:color w:val="auto"/>
              </w:rPr>
              <w:t>Balance at September 30, 2019</w:t>
            </w: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620" w:type="dxa"/>
            <w:vAlign w:val="bottom"/>
          </w:tcPr>
          <w:p>
            <w:pPr>
              <w:jc w:val="right"/>
              <w:spacing w:after="0"/>
              <w:rPr>
                <w:sz w:val="20"/>
                <w:szCs w:val="20"/>
                <w:color w:val="auto"/>
              </w:rPr>
            </w:pPr>
            <w:r>
              <w:rPr>
                <w:rFonts w:ascii="Arial" w:cs="Arial" w:eastAsia="Arial" w:hAnsi="Arial"/>
                <w:sz w:val="9"/>
                <w:szCs w:val="9"/>
                <w:color w:val="auto"/>
              </w:rPr>
              <w:t>46,009,753</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620" w:type="dxa"/>
            <w:vAlign w:val="bottom"/>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10,006,269</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69,282,736</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9"/>
                <w:szCs w:val="9"/>
                <w:color w:val="auto"/>
              </w:rPr>
              <w:t>2,855,885</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9"/>
                <w:szCs w:val="9"/>
                <w:color w:val="auto"/>
              </w:rPr>
              <w:t>(1,854)</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ind w:right="15"/>
              <w:spacing w:after="0"/>
              <w:rPr>
                <w:sz w:val="20"/>
                <w:szCs w:val="20"/>
                <w:color w:val="auto"/>
              </w:rPr>
            </w:pPr>
            <w:r>
              <w:rPr>
                <w:rFonts w:ascii="Arial" w:cs="Arial" w:eastAsia="Arial" w:hAnsi="Arial"/>
                <w:sz w:val="9"/>
                <w:szCs w:val="9"/>
                <w:color w:val="auto"/>
              </w:rPr>
              <w:t>19,570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9"/>
                <w:szCs w:val="9"/>
                <w:color w:val="auto"/>
              </w:rPr>
              <w:t>1,613,633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4,487,236</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79"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Consolidated Statements of Cash Flows</w:t>
      </w:r>
    </w:p>
    <w:p>
      <w:pPr>
        <w:jc w:val="center"/>
        <w:ind w:left="11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4"/>
          </w:tcPr>
          <w:p>
            <w:pPr>
              <w:jc w:val="right"/>
              <w:ind w:right="988"/>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7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September 30,</w:t>
            </w:r>
          </w:p>
        </w:tc>
      </w:tr>
      <w:tr>
        <w:trPr>
          <w:trHeight w:val="187"/>
        </w:trPr>
        <w:tc>
          <w:tcPr>
            <w:tcW w:w="79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7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151,941</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115,746</w:t>
            </w:r>
          </w:p>
        </w:tc>
      </w:tr>
      <w:tr>
        <w:trPr>
          <w:trHeight w:val="20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10"/>
        </w:trPr>
        <w:tc>
          <w:tcPr>
            <w:tcW w:w="79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113,952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102,928</w:t>
            </w:r>
          </w:p>
        </w:tc>
      </w:tr>
      <w:tr>
        <w:trPr>
          <w:trHeight w:val="22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41,092</w:t>
            </w:r>
          </w:p>
        </w:tc>
      </w:tr>
      <w:tr>
        <w:trPr>
          <w:trHeight w:val="210"/>
        </w:trPr>
        <w:tc>
          <w:tcPr>
            <w:tcW w:w="790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1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34,735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(9,018)</w:t>
            </w:r>
          </w:p>
        </w:tc>
      </w:tr>
      <w:tr>
        <w:trPr>
          <w:trHeight w:val="202"/>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assets:</w:t>
            </w: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10"/>
        </w:trPr>
        <w:tc>
          <w:tcPr>
            <w:tcW w:w="7900" w:type="dxa"/>
            <w:vAlign w:val="bottom"/>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(31,263)</w:t>
            </w:r>
          </w:p>
        </w:tc>
      </w:tr>
      <w:tr>
        <w:trPr>
          <w:trHeight w:val="222"/>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 with clearing organizations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r>
      <w:tr>
        <w:trPr>
          <w:trHeight w:val="210"/>
        </w:trPr>
        <w:tc>
          <w:tcPr>
            <w:tcW w:w="790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(9,421)</w:t>
            </w:r>
          </w:p>
        </w:tc>
      </w:tr>
      <w:tr>
        <w:trPr>
          <w:trHeight w:val="222"/>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 from/payable to affiliates, net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r>
      <w:tr>
        <w:trPr>
          <w:trHeight w:val="210"/>
        </w:trPr>
        <w:tc>
          <w:tcPr>
            <w:tcW w:w="790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(8,241)</w:t>
            </w:r>
          </w:p>
        </w:tc>
      </w:tr>
      <w:tr>
        <w:trPr>
          <w:trHeight w:val="202"/>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86"/>
        </w:trPr>
        <w:tc>
          <w:tcPr>
            <w:tcW w:w="7900" w:type="dxa"/>
            <w:vAlign w:val="bottom"/>
          </w:tcPr>
          <w:p>
            <w:pPr>
              <w:ind w:left="22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tcPr>
          <w:p>
            <w:pPr>
              <w:spacing w:after="0"/>
              <w:rPr>
                <w:sz w:val="16"/>
                <w:szCs w:val="16"/>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24,938</w:t>
            </w: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(25,142)</w:t>
            </w:r>
          </w:p>
        </w:tc>
      </w:tr>
      <w:tr>
        <w:trPr>
          <w:trHeight w:val="210"/>
        </w:trPr>
        <w:tc>
          <w:tcPr>
            <w:tcW w:w="790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5,868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682</w:t>
            </w:r>
          </w:p>
        </w:tc>
      </w:tr>
      <w:tr>
        <w:trPr>
          <w:trHeight w:val="222"/>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6,609</w:t>
            </w:r>
          </w:p>
        </w:tc>
      </w:tr>
      <w:tr>
        <w:trPr>
          <w:trHeight w:val="210"/>
        </w:trPr>
        <w:tc>
          <w:tcPr>
            <w:tcW w:w="7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Employee equity compensation payable</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(16,746)</w:t>
            </w:r>
          </w:p>
        </w:tc>
      </w:tr>
      <w:tr>
        <w:trPr>
          <w:trHeight w:val="202"/>
        </w:trPr>
        <w:tc>
          <w:tcPr>
            <w:tcW w:w="7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303,532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190,465</w:t>
            </w:r>
          </w:p>
        </w:tc>
      </w:tr>
      <w:tr>
        <w:trPr>
          <w:trHeight w:val="170"/>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6"/>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furniture, equipment, software and leasehold improvements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(8,567)</w:t>
            </w:r>
          </w:p>
        </w:tc>
      </w:tr>
      <w:tr>
        <w:trPr>
          <w:trHeight w:val="210"/>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(21,200)</w:t>
            </w:r>
          </w:p>
        </w:tc>
      </w:tr>
      <w:tr>
        <w:trPr>
          <w:trHeight w:val="20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(29,348)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(29,767)</w:t>
            </w:r>
          </w:p>
        </w:tc>
      </w:tr>
      <w:tr>
        <w:trPr>
          <w:trHeight w:val="170"/>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5"/>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9"/>
        </w:trPr>
        <w:tc>
          <w:tcPr>
            <w:tcW w:w="7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Pre-IPO capital distributions</w:t>
            </w:r>
          </w:p>
        </w:tc>
        <w:tc>
          <w:tcPr>
            <w:tcW w:w="1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w:t>
            </w:r>
          </w:p>
        </w:tc>
      </w:tr>
      <w:tr>
        <w:trPr>
          <w:trHeight w:val="210"/>
        </w:trPr>
        <w:tc>
          <w:tcPr>
            <w:tcW w:w="7900" w:type="dxa"/>
            <w:vAlign w:val="bottom"/>
          </w:tcPr>
          <w:p>
            <w:pPr>
              <w:ind w:left="140"/>
              <w:spacing w:after="0"/>
              <w:rPr>
                <w:sz w:val="20"/>
                <w:szCs w:val="20"/>
                <w:color w:val="auto"/>
              </w:rPr>
            </w:pPr>
            <w:r>
              <w:rPr>
                <w:rFonts w:ascii="Arial" w:cs="Arial" w:eastAsia="Arial" w:hAnsi="Arial"/>
                <w:sz w:val="14"/>
                <w:szCs w:val="14"/>
                <w:color w:val="auto"/>
              </w:rPr>
              <w:t>Proceeds from stock-based compensation exercises</w:t>
            </w:r>
          </w:p>
        </w:tc>
        <w:tc>
          <w:tcPr>
            <w:tcW w:w="140" w:type="dxa"/>
            <w:vAlign w:val="bottom"/>
          </w:tcPr>
          <w:p>
            <w:pPr>
              <w:spacing w:after="0"/>
              <w:rPr>
                <w:sz w:val="18"/>
                <w:szCs w:val="18"/>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69,534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issuance of Class A common stock in the IPO and follow-on offerings, net of underwriting discounts</w:t>
            </w: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626,267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1,161,270</w:t>
            </w:r>
          </w:p>
        </w:tc>
      </w:tr>
      <w:tr>
        <w:trPr>
          <w:trHeight w:val="186"/>
        </w:trPr>
        <w:tc>
          <w:tcPr>
            <w:tcW w:w="7900" w:type="dxa"/>
            <w:vAlign w:val="bottom"/>
          </w:tcPr>
          <w:p>
            <w:pPr>
              <w:ind w:left="120"/>
              <w:spacing w:after="0"/>
              <w:rPr>
                <w:sz w:val="20"/>
                <w:szCs w:val="20"/>
                <w:color w:val="auto"/>
              </w:rPr>
            </w:pPr>
            <w:r>
              <w:rPr>
                <w:rFonts w:ascii="Arial" w:cs="Arial" w:eastAsia="Arial" w:hAnsi="Arial"/>
                <w:sz w:val="14"/>
                <w:szCs w:val="14"/>
                <w:color w:val="auto"/>
              </w:rPr>
              <w:t>Purchase of LLC Interests</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(626,267)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(1,161,270)</w:t>
            </w:r>
          </w:p>
        </w:tc>
      </w:tr>
      <w:tr>
        <w:trPr>
          <w:trHeight w:val="219"/>
        </w:trPr>
        <w:tc>
          <w:tcPr>
            <w:tcW w:w="7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Offering costs from issuance of Class A common stock in the IPO and follow-on offerings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(12,306)</w:t>
            </w:r>
          </w:p>
        </w:tc>
      </w:tr>
      <w:tr>
        <w:trPr>
          <w:trHeight w:val="210"/>
        </w:trPr>
        <w:tc>
          <w:tcPr>
            <w:tcW w:w="790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(42,908)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(22,869)</w:t>
            </w:r>
          </w:p>
        </w:tc>
      </w:tr>
      <w:tr>
        <w:trPr>
          <w:trHeight w:val="22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distributions to non-controlling interests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(23,681)</w:t>
            </w:r>
          </w:p>
        </w:tc>
      </w:tr>
      <w:tr>
        <w:trPr>
          <w:trHeight w:val="210"/>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Payroll taxes paid for stock-based compensation exercises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(56,063)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(178,856)</w:t>
            </w:r>
          </w:p>
        </w:tc>
      </w:tr>
      <w:tr>
        <w:trPr>
          <w:trHeight w:val="19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r>
      <w:tr>
        <w:trPr>
          <w:trHeight w:val="202"/>
        </w:trPr>
        <w:tc>
          <w:tcPr>
            <w:tcW w:w="7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216,641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(20,174)</w:t>
            </w:r>
          </w:p>
        </w:tc>
      </w:tr>
      <w:tr>
        <w:trPr>
          <w:trHeight w:val="190"/>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461,711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411,304</w:t>
            </w:r>
          </w:p>
        </w:tc>
      </w:tr>
      <w:tr>
        <w:trPr>
          <w:trHeight w:val="179"/>
        </w:trPr>
        <w:tc>
          <w:tcPr>
            <w:tcW w:w="790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678,352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391,130</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Income taxes paid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17,034</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30,287</w:t>
            </w:r>
          </w:p>
        </w:tc>
      </w:tr>
      <w:tr>
        <w:trPr>
          <w:trHeight w:val="20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0"/>
        </w:trPr>
        <w:tc>
          <w:tcPr>
            <w:tcW w:w="7900" w:type="dxa"/>
            <w:vAlign w:val="bottom"/>
          </w:tcPr>
          <w:p>
            <w:pPr>
              <w:ind w:left="20"/>
              <w:spacing w:after="0"/>
              <w:rPr>
                <w:sz w:val="20"/>
                <w:szCs w:val="20"/>
                <w:color w:val="auto"/>
              </w:rPr>
            </w:pPr>
            <w:r>
              <w:rPr>
                <w:rFonts w:ascii="Arial" w:cs="Arial" w:eastAsia="Arial" w:hAnsi="Arial"/>
                <w:sz w:val="14"/>
                <w:szCs w:val="14"/>
                <w:color w:val="auto"/>
              </w:rPr>
              <w:t>Items arising from LLC Interest ownership changes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171,426</w:t>
            </w:r>
          </w:p>
        </w:tc>
      </w:tr>
      <w:tr>
        <w:trPr>
          <w:trHeight w:val="204"/>
        </w:trPr>
        <w:tc>
          <w:tcPr>
            <w:tcW w:w="7900" w:type="dxa"/>
            <w:vAlign w:val="bottom"/>
          </w:tcPr>
          <w:p>
            <w:pPr>
              <w:ind w:left="140"/>
              <w:spacing w:after="0"/>
              <w:rPr>
                <w:sz w:val="20"/>
                <w:szCs w:val="20"/>
                <w:color w:val="auto"/>
              </w:rPr>
            </w:pPr>
            <w:r>
              <w:rPr>
                <w:rFonts w:ascii="Arial" w:cs="Arial" w:eastAsia="Arial" w:hAnsi="Arial"/>
                <w:sz w:val="14"/>
                <w:szCs w:val="14"/>
                <w:color w:val="auto"/>
              </w:rPr>
              <w:t>Deferred tax asset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296,504</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93,194</w:t>
            </w:r>
          </w:p>
        </w:tc>
      </w:tr>
      <w:tr>
        <w:trPr>
          <w:trHeight w:val="284"/>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as shown on the statements of financial condition:</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 2019</w:t>
            </w:r>
          </w:p>
        </w:tc>
      </w:tr>
      <w:tr>
        <w:trPr>
          <w:trHeight w:val="18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677,352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460,711</w:t>
            </w: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678,352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461,711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0" w:type="dxa"/>
            <w:vAlign w:val="bottom"/>
          </w:tcPr>
          <w:p>
            <w:pPr>
              <w:spacing w:after="0"/>
              <w:rPr>
                <w:sz w:val="22"/>
                <w:szCs w:val="22"/>
                <w:color w:val="auto"/>
              </w:rPr>
            </w:pPr>
          </w:p>
        </w:tc>
        <w:tc>
          <w:tcPr>
            <w:tcW w:w="9520" w:type="dxa"/>
            <w:vAlign w:val="bottom"/>
          </w:tcPr>
          <w:p>
            <w:pPr>
              <w:jc w:val="center"/>
              <w:ind w:left="148"/>
              <w:spacing w:after="0"/>
              <w:rPr>
                <w:sz w:val="20"/>
                <w:szCs w:val="20"/>
                <w:color w:val="auto"/>
              </w:rPr>
            </w:pPr>
            <w:r>
              <w:rPr>
                <w:rFonts w:ascii="Arial" w:cs="Arial" w:eastAsia="Arial" w:hAnsi="Arial"/>
                <w:sz w:val="22"/>
                <w:szCs w:val="22"/>
                <w:b w:val="1"/>
                <w:bCs w:val="1"/>
                <w:color w:val="auto"/>
                <w:w w:val="87"/>
              </w:rPr>
              <w:t>Notes to Consolidated Financial Statements</w:t>
            </w:r>
          </w:p>
        </w:tc>
        <w:tc>
          <w:tcPr>
            <w:tcW w:w="980" w:type="dxa"/>
            <w:vAlign w:val="bottom"/>
          </w:tcPr>
          <w:p>
            <w:pPr>
              <w:spacing w:after="0"/>
              <w:rPr>
                <w:sz w:val="22"/>
                <w:szCs w:val="22"/>
                <w:color w:val="auto"/>
              </w:rPr>
            </w:pPr>
          </w:p>
        </w:tc>
      </w:tr>
      <w:tr>
        <w:trPr>
          <w:trHeight w:val="280"/>
        </w:trPr>
        <w:tc>
          <w:tcPr>
            <w:tcW w:w="740" w:type="dxa"/>
            <w:vAlign w:val="bottom"/>
          </w:tcPr>
          <w:p>
            <w:pPr>
              <w:spacing w:after="0"/>
              <w:rPr>
                <w:sz w:val="24"/>
                <w:szCs w:val="24"/>
                <w:color w:val="auto"/>
              </w:rPr>
            </w:pPr>
          </w:p>
        </w:tc>
        <w:tc>
          <w:tcPr>
            <w:tcW w:w="9520" w:type="dxa"/>
            <w:vAlign w:val="bottom"/>
          </w:tcPr>
          <w:p>
            <w:pPr>
              <w:jc w:val="center"/>
              <w:ind w:left="148"/>
              <w:spacing w:after="0"/>
              <w:rPr>
                <w:sz w:val="20"/>
                <w:szCs w:val="20"/>
                <w:color w:val="auto"/>
              </w:rPr>
            </w:pPr>
            <w:r>
              <w:rPr>
                <w:rFonts w:ascii="Arial" w:cs="Arial" w:eastAsia="Arial" w:hAnsi="Arial"/>
                <w:sz w:val="22"/>
                <w:szCs w:val="22"/>
                <w:b w:val="1"/>
                <w:bCs w:val="1"/>
                <w:color w:val="auto"/>
                <w:w w:val="91"/>
              </w:rPr>
              <w:t>(Unaudited)</w:t>
            </w:r>
          </w:p>
        </w:tc>
        <w:tc>
          <w:tcPr>
            <w:tcW w:w="980" w:type="dxa"/>
            <w:vAlign w:val="bottom"/>
          </w:tcPr>
          <w:p>
            <w:pPr>
              <w:spacing w:after="0"/>
              <w:rPr>
                <w:sz w:val="24"/>
                <w:szCs w:val="24"/>
                <w:color w:val="auto"/>
              </w:rPr>
            </w:pPr>
          </w:p>
        </w:tc>
      </w:tr>
      <w:tr>
        <w:trPr>
          <w:trHeight w:val="302"/>
        </w:trPr>
        <w:tc>
          <w:tcPr>
            <w:tcW w:w="74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26"/>
        </w:trPr>
        <w:tc>
          <w:tcPr>
            <w:tcW w:w="740" w:type="dxa"/>
            <w:vAlign w:val="bottom"/>
          </w:tcPr>
          <w:p>
            <w:pPr>
              <w:spacing w:after="0"/>
              <w:rPr>
                <w:sz w:val="2"/>
                <w:szCs w:val="2"/>
                <w:color w:val="auto"/>
              </w:rPr>
            </w:pPr>
          </w:p>
        </w:tc>
        <w:tc>
          <w:tcPr>
            <w:tcW w:w="95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ind w:left="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Note 1</w:t>
              </w:r>
            </w:hyperlink>
          </w:p>
        </w:tc>
        <w:tc>
          <w:tcPr>
            <w:tcW w:w="9520" w:type="dxa"/>
            <w:vAlign w:val="bottom"/>
          </w:tcPr>
          <w:p>
            <w:pPr>
              <w:ind w:left="14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Organization</w:t>
              </w:r>
            </w:hyperlink>
          </w:p>
        </w:tc>
        <w:tc>
          <w:tcPr>
            <w:tcW w:w="98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Note 2</w:t>
              </w:r>
            </w:hyperlink>
          </w:p>
        </w:tc>
        <w:tc>
          <w:tcPr>
            <w:tcW w:w="9520" w:type="dxa"/>
            <w:vAlign w:val="bottom"/>
          </w:tcPr>
          <w:p>
            <w:pPr>
              <w:ind w:left="140"/>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Significant Accounting Policies</w:t>
              </w:r>
            </w:hyperlink>
          </w:p>
        </w:tc>
        <w:tc>
          <w:tcPr>
            <w:tcW w:w="98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Note 3</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Restricted Cash</w:t>
              </w:r>
            </w:hyperlink>
          </w:p>
        </w:tc>
        <w:tc>
          <w:tcPr>
            <w:tcW w:w="980" w:type="dxa"/>
            <w:vAlign w:val="bottom"/>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Note 4</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Goodwill and Intangible Assets</w:t>
              </w:r>
            </w:hyperlink>
          </w:p>
        </w:tc>
        <w:tc>
          <w:tcPr>
            <w:tcW w:w="980" w:type="dxa"/>
            <w:vAlign w:val="bottom"/>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Note 5</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Revenue</w:t>
              </w:r>
            </w:hyperlink>
          </w:p>
        </w:tc>
        <w:tc>
          <w:tcPr>
            <w:tcW w:w="980" w:type="dxa"/>
            <w:vAlign w:val="bottom"/>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Note 6</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Income Taxes</w:t>
              </w:r>
            </w:hyperlink>
          </w:p>
        </w:tc>
        <w:tc>
          <w:tcPr>
            <w:tcW w:w="980" w:type="dxa"/>
            <w:vAlign w:val="bottom"/>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Note 7</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Tax Receivable Agreement</w:t>
              </w:r>
            </w:hyperlink>
          </w:p>
        </w:tc>
        <w:tc>
          <w:tcPr>
            <w:tcW w:w="98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Note 8</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Stockholders’ Equity</w:t>
              </w:r>
            </w:hyperlink>
          </w:p>
        </w:tc>
        <w:tc>
          <w:tcPr>
            <w:tcW w:w="98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Note 9</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Non-Controlling Interests</w:t>
              </w:r>
            </w:hyperlink>
          </w:p>
        </w:tc>
        <w:tc>
          <w:tcPr>
            <w:tcW w:w="98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Note 10</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Stock-Based Compensation Plans</w:t>
              </w:r>
            </w:hyperlink>
          </w:p>
        </w:tc>
        <w:tc>
          <w:tcPr>
            <w:tcW w:w="98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Note 11</w:t>
              </w:r>
            </w:hyperlink>
          </w:p>
        </w:tc>
        <w:tc>
          <w:tcPr>
            <w:tcW w:w="9520" w:type="dxa"/>
            <w:vAlign w:val="bottom"/>
          </w:tcPr>
          <w:p>
            <w:pPr>
              <w:ind w:left="14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Related Party Transactions</w:t>
              </w:r>
            </w:hyperlink>
          </w:p>
        </w:tc>
        <w:tc>
          <w:tcPr>
            <w:tcW w:w="98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Note 12</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Fair Value of Financial Instruments</w:t>
              </w:r>
            </w:hyperlink>
          </w:p>
        </w:tc>
        <w:tc>
          <w:tcPr>
            <w:tcW w:w="98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Note 13</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Credit Risk</w:t>
              </w:r>
            </w:hyperlink>
          </w:p>
        </w:tc>
        <w:tc>
          <w:tcPr>
            <w:tcW w:w="98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Note 14</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Commitments and Contingencies</w:t>
              </w:r>
            </w:hyperlink>
          </w:p>
        </w:tc>
        <w:tc>
          <w:tcPr>
            <w:tcW w:w="9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Note 15</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Earnings Per Share</w:t>
              </w:r>
            </w:hyperlink>
          </w:p>
        </w:tc>
        <w:tc>
          <w:tcPr>
            <w:tcW w:w="980" w:type="dxa"/>
            <w:vAlign w:val="bottom"/>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Note 16</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Regulatory Capital Requirements</w:t>
              </w:r>
            </w:hyperlink>
          </w:p>
        </w:tc>
        <w:tc>
          <w:tcPr>
            <w:tcW w:w="98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Note 17</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Business Segment and Geographic Information</w:t>
              </w:r>
            </w:hyperlink>
          </w:p>
        </w:tc>
        <w:tc>
          <w:tcPr>
            <w:tcW w:w="98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70"/>
        </w:trPr>
        <w:tc>
          <w:tcPr>
            <w:tcW w:w="74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Note 18</w:t>
              </w:r>
            </w:hyperlink>
          </w:p>
        </w:tc>
        <w:tc>
          <w:tcPr>
            <w:tcW w:w="9520" w:type="dxa"/>
            <w:vAlign w:val="bottom"/>
          </w:tcPr>
          <w:p>
            <w:pPr>
              <w:ind w:left="14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Subsequent Events</w:t>
              </w:r>
            </w:hyperlink>
          </w:p>
        </w:tc>
        <w:tc>
          <w:tcPr>
            <w:tcW w:w="980" w:type="dxa"/>
            <w:vAlign w:val="bottom"/>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918"/>
        </w:trPr>
        <w:tc>
          <w:tcPr>
            <w:tcW w:w="740" w:type="dxa"/>
            <w:vAlign w:val="bottom"/>
          </w:tcPr>
          <w:p>
            <w:pPr>
              <w:spacing w:after="0"/>
              <w:rPr>
                <w:sz w:val="24"/>
                <w:szCs w:val="24"/>
                <w:color w:val="auto"/>
              </w:rPr>
            </w:pPr>
          </w:p>
        </w:tc>
        <w:tc>
          <w:tcPr>
            <w:tcW w:w="9520" w:type="dxa"/>
            <w:vAlign w:val="bottom"/>
          </w:tcPr>
          <w:p>
            <w:pPr>
              <w:jc w:val="center"/>
              <w:ind w:left="168"/>
              <w:spacing w:after="0"/>
              <w:rPr>
                <w:sz w:val="20"/>
                <w:szCs w:val="20"/>
                <w:color w:val="auto"/>
              </w:rPr>
            </w:pPr>
            <w:r>
              <w:rPr>
                <w:rFonts w:ascii="Arial" w:cs="Arial" w:eastAsia="Arial" w:hAnsi="Arial"/>
                <w:sz w:val="18"/>
                <w:szCs w:val="18"/>
                <w:color w:val="auto"/>
                <w:w w:val="89"/>
              </w:rPr>
              <w:t>12</w:t>
            </w:r>
          </w:p>
        </w:tc>
        <w:tc>
          <w:tcPr>
            <w:tcW w:w="980" w:type="dxa"/>
            <w:vAlign w:val="bottom"/>
          </w:tcPr>
          <w:p>
            <w:pPr>
              <w:spacing w:after="0"/>
              <w:rPr>
                <w:sz w:val="24"/>
                <w:szCs w:val="24"/>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9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for the purpose of completing certain reorganization transactions in order to carry on the business of Tradeweb Markets LLC (“TWM LLC”) and conducting an initial public offering (“IPO”) as described below under “—Initial Public Offering” and “—Reorganization Transactions.”</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Corporation is a consolidating subsidiary of BCP York Holdings, (“BCP”) a company owned by certain investment funds affiliated with The Blackstone Group Inc. (f/k/a The Blackstone Group L.P.) (“Blackstone”), through BCP’s majority ownership interest in Refinitiv Holdings Limited (the “Parent” and, unless otherwise stated or the context otherwise requires, together with all of its subsidiaries, “Refinitiv”). As of September 30, 2020, Refinitiv owns a majority ownership interest in the Company (as defined below).</w:t>
      </w:r>
    </w:p>
    <w:p>
      <w:pPr>
        <w:spacing w:after="0" w:line="187"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consolidated financial statements. As of September 30, 2020, Tradeweb Markets Inc. owns 82.6% of TWM LLC and the Continuing LLC Owners (defined below) own the remaining 17.4% of TWM LLC.</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(as defined below), and TWM LLC and its consolidated subsidiaries prior to the completion of the Reorganization Transactions.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70" w:lineRule="exact"/>
        <w:rPr>
          <w:sz w:val="20"/>
          <w:szCs w:val="20"/>
          <w:color w:val="auto"/>
        </w:rPr>
      </w:pPr>
    </w:p>
    <w:p>
      <w:pPr>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Securities Exchange Act of 1934 and a member of FINRA. DW is also registered as an introducing broker with the CFTC and NFA.</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Securities Exchange Act of 1934 and a member of FINRA.</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April 8, 2019, the Corporation completed its IPO of 46,000,000 shares of Class A common stock, par value $0.00001 per share, of the Corporation (the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membership interests of TWM LLC from certain existing equity holders of TWM LLC (and the corresponding shares of common stock were cancelled as described below), at a purchase price per interest equal to the public offering price of $27.00, less the underwriting discounts and commissions payable thereon. See Note 8 –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225"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Prior to the closing of the IPO, a series of reorganization transactions (the “Reorganization Transactions”) was completed among the Corporation, TWM LLC and the owners of TWM LLC prior to the Reorganization Transactions (collectively, the “Original LLC Owners”), including the following parties:</w:t>
      </w:r>
    </w:p>
    <w:p>
      <w:pPr>
        <w:spacing w:after="0" w:line="12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investment and commercial banks (collectively, the “Bank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members of management;</w:t>
      </w:r>
    </w:p>
    <w:p>
      <w:pPr>
        <w:spacing w:after="0" w:line="225" w:lineRule="exact"/>
        <w:rPr>
          <w:rFonts w:ascii="Arial" w:cs="Arial" w:eastAsia="Arial" w:hAnsi="Arial"/>
          <w:sz w:val="18"/>
          <w:szCs w:val="18"/>
          <w:color w:val="auto"/>
        </w:rPr>
      </w:pPr>
    </w:p>
    <w:p>
      <w:pPr>
        <w:ind w:left="660" w:right="40" w:hanging="328"/>
        <w:spacing w:after="0" w:line="29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Refinitiv Direct Owner, (i) prior to June 28, 2019, a direct subsidiary of Refinitiv that owned interests in an entity that held membership interests of TWM LLC prior to the Reorganization Transactions and contributed such entity to the Corporation (the “Refinitiv Contribution”) in exchange for shares of Class B common stock, par value $0.00001 per share, of the Corporation (the “Class B common stock”) in connection with the completion of the Reorganization Transactions and (ii) on and after June 28, 2019, an indirect subsidiary of Refinitiv that owns shares of Class B common stock which shares were contributed by the direct subsidiary of Refinitiv referred to in the foregoing clause (i); and</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indirect subsidiary (the “Refinitiv LLC Owner” and, together with the Refinitiv Direct Owner, the “Refinitiv Owners”) of Refinitiv.</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used herein, references to “Continuing LLC Owners” refer collectively to (i) those Original LLC Owners, including the Refinitiv LLC Owner, certain Bank Stockholders and members of management, that continue to own LLC Interests (as defined below) after the completion of the IPO and Reorganization Transactions,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and that may redeem or exchange their LLC Interests for shares of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Reorganization Transactions occurred:</w:t>
      </w:r>
    </w:p>
    <w:p>
      <w:pPr>
        <w:spacing w:after="0" w:line="225" w:lineRule="exact"/>
        <w:rPr>
          <w:sz w:val="20"/>
          <w:szCs w:val="20"/>
          <w:color w:val="auto"/>
        </w:rPr>
      </w:pPr>
    </w:p>
    <w:p>
      <w:pPr>
        <w:jc w:val="both"/>
        <w:ind w:left="660" w:right="20" w:hanging="328"/>
        <w:spacing w:after="0" w:line="31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TWM LLC’s limited liability company agreement (the “TWM LLC Agreement”) was amended and restated to, among other things, (i) provide for a new single class of common membership interests in TWM LLC (“LLC Interests”), (ii) exchange all of the then existing membership interests in TWM LLC for LLC Interests and (iii) appoint the Corporation as the sole manager of TWM LLC. See Note 8 – Stockholders’ Equity.</w:t>
      </w:r>
    </w:p>
    <w:p>
      <w:pPr>
        <w:spacing w:after="0" w:line="148" w:lineRule="exact"/>
        <w:rPr>
          <w:rFonts w:ascii="Arial" w:cs="Arial" w:eastAsia="Arial" w:hAnsi="Arial"/>
          <w:sz w:val="16"/>
          <w:szCs w:val="16"/>
          <w:color w:val="auto"/>
        </w:rPr>
      </w:pPr>
    </w:p>
    <w:p>
      <w:pPr>
        <w:ind w:left="660" w:right="4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amended and restated to, among other things, provide for Class A common stock, Class B common stock, Class C common stock and Class D common stock. See Note 8 – Stockholders’ Equity.</w:t>
      </w:r>
    </w:p>
    <w:p>
      <w:pPr>
        <w:spacing w:after="0" w:line="170"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(and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3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result of the Refinitiv Contribution (described above), the Corporation received 96,933,192 LLC Interests and the Refinitiv Direct Owner received 96,933,192 shares of Class B common stock. See Note 8 – Stockholders’ Equity.</w:t>
      </w:r>
    </w:p>
    <w:p>
      <w:pPr>
        <w:spacing w:after="0" w:line="170"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Corporation’s board of directors adopted a new omnibus equity incentive plan, (the “Omnibus Equity Plan”), under which equity awards may be made in respect of shares of the Corporation’s Class A common stock. It also assumed sponsorship of an option plan and PRSU plan formerly sponsored by TWM LLC. See Note 10 – Stock-Based Compensation Plans.</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Corporation entered into a tax receivable agreement (the “Tax Receivable Agreement”) with TWM LLC and the Continuing LLC Owners. See Note 7 – Tax Receivable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LSEG Transaction</w:t>
      </w:r>
    </w:p>
    <w:p>
      <w:pPr>
        <w:spacing w:after="0" w:line="225"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On August 1, 2019, London Stock Exchange Group plc announced that it has agreed to definitive terms with a consortium including certain investment funds affiliated with Blackstone as well as Thomson Reuters Corporation ("TR") to acquire the Refinitiv business in an all share transaction (the “LSEG Transaction”). The LSEG Transaction is subject to customary regulatory approvals and closing conditions, and is expected to close in the first quarter of 2021. There can be no assurance that the LSEG transaction will be consummated on the expected timing or at all.</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consolidated financial statements have been presented in conformity with accounting principles generally accepted in the United States of America. All adjustments, which are, in the opinion of management, necessary to a fair statement of the results for the interim periods presented, are normal and recurring in nature. Operating results for interim periods are not necessarily indicative of the results that may be expected for the full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 and the difference may be material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have been eliminated in consolidation.</w:t>
      </w:r>
    </w:p>
    <w:p>
      <w:pPr>
        <w:spacing w:after="0" w:line="17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discussed in Note 1—Organization, as a result of the Reorganization Transactions, Tradeweb Markets Inc. consolidates TWM LLC and TWM LLC is considered to be the predecessor to Tradeweb Markets Inc. for financial reporting purposes. As a result, the consolidated financial statements for periods prior to the Reorganization Transactions have been adjusted to combine the previously separate entities for presentation purposes. However, Tradeweb Markets Inc. had no business transactions or activities and no substantial assets or liabilities prior to the Reorganization Transactions. As such, for periods prior to the completion of the Reorganization Transactions, the consolidated financial statements represent the historical financial condition and results of operations of TWM LLC and its subsidiaries. For periods after the completion of the Reorganization Transactions, the consolidated financial statements represent the financial condition and results of operations of the Company and report a non-controlling interest related to the LLC Interests held by the Continuing LLC Owners.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22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 xml:space="preserve">A majority interest of Refinitiv (formerly the Thomson Reuters Financial &amp; Risk Business) was acquired by BCP on October 1, 2018 (the “Refinitiv Transaction”) from TR. The Refinitiv Transaction was accounted for by Refinitiv in accordance with the acquisition method of accounting pursuant to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Under pushdown accounting, the excess of the fair value of the Company above the fair value accounting basis of the net assets and liabilities of the Company is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our long-lived and indefinite-lived intangible assets, including software development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of less than three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Once determined uncollectable, aged balances are written off as credit loss expense, which is included in general and administrative expenses on the consolidated statements of income. See Note 13 – Credit Risk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Receivable from and payable to brokers and dealers and clearing organizations consists of proceeds from transactions which failed to settle due to the inability of a transaction party to deliver or receive the transacted security. These securities transactions are generally collateralized by those securities.</w:t>
      </w:r>
    </w:p>
    <w:p>
      <w:pPr>
        <w:spacing w:after="0" w:line="12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At times, transactions executed on the Company’s wholesale platform fail to settle due to the inability of a transaction party to deliver or receive the transacted security. Until the failed transaction settles, a receivable from (and a matching payable to) brokers and dealers and clearing organizations is recognized for the proceeds from the unsettled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Deposits with clearing organizations are comprised of cash deposits. Due to the short-term nature of these deposits, the recorded value has been determined to approximate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Furniture, equipment, purchased software and leasehold improvements are tested for impairment whenever events or changes in circumstances suggest that an asset’s carrying value may not be fully recoverable in accordance with ASC 360, </w:t>
      </w:r>
      <w:r>
        <w:rPr>
          <w:rFonts w:ascii="Arial" w:cs="Arial" w:eastAsia="Arial" w:hAnsi="Arial"/>
          <w:sz w:val="17"/>
          <w:szCs w:val="17"/>
          <w:i w:val="1"/>
          <w:iCs w:val="1"/>
          <w:color w:val="auto"/>
        </w:rPr>
        <w:t>Property, Plant and Equipment.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The Company capitalizes costs associated with the development of internal use software at the point at which the conceptual formulation, design and testing of possible software project alternatives have been completed,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 Company capitalizes employee compensation and related benefits and third party consulting costs incurred during the application development stage which directly contribute to such development. Such costs are amortized on a straight-line basis over three years. Costs capitalized as part of the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Goodwill is the excess of the fair value of the Company above the fair value accounting basis of the net assets and liabilities of the Company under pushdown accounting. Goodwill is also the cost of acquired companies in excess of the fair value of identifiable net assets at the acquisition date. Goodwill is not amortized, but in accordance with ASC 350, goodwill is tested for impairment annually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73" w:lineRule="exact"/>
        <w:rPr>
          <w:sz w:val="20"/>
          <w:szCs w:val="20"/>
          <w:color w:val="auto"/>
        </w:rPr>
      </w:pPr>
    </w:p>
    <w:p>
      <w:pPr>
        <w:jc w:val="both"/>
        <w:ind w:right="100"/>
        <w:spacing w:after="0" w:line="236" w:lineRule="auto"/>
        <w:rPr>
          <w:sz w:val="20"/>
          <w:szCs w:val="20"/>
          <w:color w:val="auto"/>
        </w:rPr>
      </w:pPr>
      <w:r>
        <w:rPr>
          <w:rFonts w:ascii="Arial" w:cs="Arial" w:eastAsia="Arial" w:hAnsi="Arial"/>
          <w:sz w:val="18"/>
          <w:szCs w:val="18"/>
          <w:color w:val="auto"/>
        </w:rPr>
        <w:t>In 2019, the Company changed the annual date on which goodwill is tested for impairment from July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to October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to align with the annual impairment testing date of the Company’s Parent. This change did not accelerate, delay, avoid or cause an impairment charge, nor did this change result in adjustments to any previously issued financial statements. Goodwill was last assessed on October 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Intangible assets with a finite life are amortized over the estimated lives, ranging from seven to twelve years,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IPO and Follow-On Offering Costs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 began incurring costs in connection with the filing of a Registration Statement on Form S-1 for an IPO in 2018 and Registration Statements on Form S-1 for follow-on offerings in 2019 and 2020. IPO and follow-on offering costs consist of legal, accounting, and other costs directly related to the Company’s efforts to raise capital. In accordance with ASC 505-10-25, </w:t>
      </w:r>
      <w:r>
        <w:rPr>
          <w:rFonts w:ascii="Arial" w:cs="Arial" w:eastAsia="Arial" w:hAnsi="Arial"/>
          <w:sz w:val="18"/>
          <w:szCs w:val="18"/>
          <w:i w:val="1"/>
          <w:iCs w:val="1"/>
          <w:color w:val="auto"/>
        </w:rPr>
        <w:t>Equity</w:t>
      </w:r>
      <w:r>
        <w:rPr>
          <w:rFonts w:ascii="Arial" w:cs="Arial" w:eastAsia="Arial" w:hAnsi="Arial"/>
          <w:sz w:val="18"/>
          <w:szCs w:val="18"/>
          <w:color w:val="auto"/>
        </w:rPr>
        <w:t>, these costs are recognized in additional paid-in capital within the consolidated statements of financial condition when the offering is effective. At September 30, 2020, $15.9 million of deferred costs related to the IPO and $5.1 million of deferred costs related to the follow-on offerings were recognized within additional paid-in capital on the consolidated statements of financial condition. See Note 8 –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Revenues and expenses denominated in foreign currencies are translated at the rate of exchange prevailing at the transaction date. Assets and liabilities denominated in foreign currencies are translated at the rate prevailing at the consolidated statements of financial condition date. Foreign currency re-measurement gains or losses on transactions in nonfunctional currencies are recognized in the consolidated statements of income. Gains or losses on translation in the financial statements of a non-U.S. operation, when the functional currency is other than the U.S. dollar, are included as a component of comprehensive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future.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 records uncertain tax positions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8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consolidated statements of income. Accrued interest and penalties are included within accounts payable, accrued expenses and other liabilities in the consolidated statements of financial condition.</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The Company accounts for stock-based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ASC 718 focuses primarily on accounting for a transaction in which an entity obtains employee services in exchange for stock-based payments. Under ASC 718, the stock-based payments received by the employees of the Company are accounted for either as equity awards or as liability awards.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8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in accordance with ASC 505. Changes in the equity instrument's fair value during the requisite service period are recognized as compensation cost over that period.</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periods following the Reorganization Transactions and the IPO, the fair value of new equity instrument grants is determined based on the price of the Company’s Class A common stock on the grant date.</w:t>
      </w:r>
    </w:p>
    <w:p>
      <w:pPr>
        <w:spacing w:after="0" w:line="17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Under ASC 718, the grant-date fair value of stock-based awards that do not require future service (i.e., vested awards) are expensed immediately. The grant-date fair value of stock-based awards that require future service, and are graded-vesting awards, are amortized over the relevant service period on a straight-line basis, with each tranche separately measured. The grant-date fair value of stock-based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9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Prior to the IPO, the Company awarded options to management and other employees (collectively, the “Special Option Award”) under the Amended and Restated Tradeweb Markets Inc. Option Plan (the “Option Plan”). In accounting for the options issued under the Option Plan, compensation expense is measured and recognized for all awards based on their estimated fair values measured as of the grant date. Costs related to these options are recognized as an expense in the consolidated statements of income over the requisite service period, with an offsetting increase to additional paid-in capital. The non-cash stock-based compensation expense associated with the Special Option Award began being expensed in the second quarter of 2019.</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Determining the appropriate fair value model and calculating the fair value of the stock-based awards requires the input of highly subjective assumptions, including the expected life of the stock-based awards and the stock price volatility. The Company uses the Black-Scholes pricing model to value some of its stock-based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securities that qualify as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participating securities were converted into or exchanged or exercised for TWM LLC’s shares, in the pre-IPO period, and the Corporation’s Class A or Class B common stock, in the post-IPO period, using the treasury stock method, as applicable.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participating securities for purposes of the computation of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The fair value hierarchy under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23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48"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 Adopted</w:t>
      </w:r>
    </w:p>
    <w:p>
      <w:pPr>
        <w:spacing w:after="0" w:line="229" w:lineRule="exact"/>
        <w:rPr>
          <w:sz w:val="20"/>
          <w:szCs w:val="20"/>
          <w:color w:val="auto"/>
        </w:rPr>
      </w:pPr>
    </w:p>
    <w:p>
      <w:pPr>
        <w:ind w:right="160"/>
        <w:spacing w:after="0" w:line="220" w:lineRule="exact"/>
        <w:rPr>
          <w:sz w:val="20"/>
          <w:szCs w:val="20"/>
          <w:color w:val="auto"/>
        </w:rPr>
      </w:pPr>
      <w:r>
        <w:rPr>
          <w:rFonts w:ascii="Arial" w:cs="Arial" w:eastAsia="Arial" w:hAnsi="Arial"/>
          <w:sz w:val="17"/>
          <w:szCs w:val="17"/>
          <w:color w:val="auto"/>
        </w:rPr>
        <w:t>In June 2016, the Financial Accounting Standards Board (“FASB”) issued ASU 2016</w:t>
      </w:r>
      <w:r>
        <w:rPr>
          <w:rFonts w:ascii="MS PGothic" w:cs="MS PGothic" w:eastAsia="MS PGothic" w:hAnsi="MS PGothic"/>
          <w:sz w:val="17"/>
          <w:szCs w:val="17"/>
          <w:color w:val="auto"/>
        </w:rPr>
        <w:t>‑</w:t>
      </w:r>
      <w:r>
        <w:rPr>
          <w:rFonts w:ascii="Arial" w:cs="Arial" w:eastAsia="Arial" w:hAnsi="Arial"/>
          <w:sz w:val="17"/>
          <w:szCs w:val="17"/>
          <w:color w:val="auto"/>
        </w:rPr>
        <w:t xml:space="preserve">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The ASU provides new guidance for estimating credit losses on certain types of financial instruments by introducing an approach based on expected losses. ASU 2016-13 was adopted on January 1, 2020 using the modified retrospective method of adoption. The adoption of this ASU did not have a material impact on the Company’s consolidated financial statements. See Note 13 – Credit Risk for additional information.</w:t>
      </w:r>
    </w:p>
    <w:p>
      <w:pPr>
        <w:spacing w:after="0" w:line="204" w:lineRule="exact"/>
        <w:rPr>
          <w:sz w:val="20"/>
          <w:szCs w:val="20"/>
          <w:color w:val="auto"/>
        </w:rPr>
      </w:pPr>
    </w:p>
    <w:p>
      <w:pPr>
        <w:ind w:right="180"/>
        <w:spacing w:after="0" w:line="220" w:lineRule="exact"/>
        <w:rPr>
          <w:sz w:val="20"/>
          <w:szCs w:val="20"/>
          <w:color w:val="auto"/>
        </w:rPr>
      </w:pPr>
      <w:r>
        <w:rPr>
          <w:rFonts w:ascii="Arial" w:cs="Arial" w:eastAsia="Arial" w:hAnsi="Arial"/>
          <w:sz w:val="17"/>
          <w:szCs w:val="17"/>
          <w:color w:val="auto"/>
        </w:rPr>
        <w:t>In January 2017, the FASB issued ASU 2017</w:t>
      </w:r>
      <w:r>
        <w:rPr>
          <w:rFonts w:ascii="MS PGothic" w:cs="MS PGothic" w:eastAsia="MS PGothic" w:hAnsi="MS PGothic"/>
          <w:sz w:val="17"/>
          <w:szCs w:val="17"/>
          <w:color w:val="auto"/>
        </w:rPr>
        <w:t>‑</w:t>
      </w:r>
      <w:r>
        <w:rPr>
          <w:rFonts w:ascii="Arial" w:cs="Arial" w:eastAsia="Arial" w:hAnsi="Arial"/>
          <w:sz w:val="17"/>
          <w:szCs w:val="17"/>
          <w:color w:val="auto"/>
        </w:rPr>
        <w:t xml:space="preserve">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 ASU simplifies the quantitative goodwill impairment test by eliminating the second step of the test. Under this ASU, impairment will be measured by comparing the estimated fair value of the reporting unit with its carrying value. The new guidance does not amend the optional qualitative assessment of goodwill impairment. ASU 2017-4 was adopted on January 1, 2020. The adoption of this ASU did not impact the Company’s consolidated financial statements.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The amendments in this ASU simplify the accounting for income taxes by removing certain exceptions for investments, intraperiod allocations and interim calculations and include additional guidance in order to reduce complexity in accounting for income taxes. ASU 2019-12 is effective for annual periods beginning after December 15, 2020, with early adoption permitted. ASU 2019-12 was early adopted on January 1, 2020. The adoption of this ASU did not have a material impact on the Company’s consolidated financial statements.</w:t>
      </w:r>
    </w:p>
    <w:p>
      <w:pPr>
        <w:spacing w:after="0" w:line="18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In February 2016, the FASB issued ASU 2016-2,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lessees to recognize a right-of-use asset and a lease liability for all leases with an initial term in excess of twelve months. The asset reflects the present value of unpaid lease payments coupled with initial direct costs, prepaid lease payments and lease incentives. The amount of the lease liability is</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9" w:name="page20"/>
    <w:bookmarkEnd w:id="19"/>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calculated as the present value of unpaid lease payments. ASU 2016-2 was adopted on January 1, 2019 using the modified retrospective method of adoption. Upon adoption, the Company:</w:t>
      </w:r>
    </w:p>
    <w:p>
      <w:pPr>
        <w:spacing w:after="0" w:line="170"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Recorded right-of-use assets of $31.8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Recorded a lease liability of $39.6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Eliminated deferred rent of $4.9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Eliminated leasehold interests of $2.9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Elected to take the optional package of practical expedients, which allows for no reassessment of</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lease classification for any expired or existing leases,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initial direct costs for any existing leases.</w:t>
      </w:r>
    </w:p>
    <w:p>
      <w:pPr>
        <w:spacing w:after="0" w:line="206"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September 30, 2020 and December 31, 2019, cash in the amount of $1.0 million has been segregated in the PAB reserve account exceeding the requirements pursuant to SEC Rule 15c3-3.</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 September 30, 2020 and December 31, 2019 was $2.7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with an indefinite useful life consisted of the following at September 30, 2020 and December 31, 2019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55"/>
              <w:spacing w:after="0"/>
              <w:rPr>
                <w:sz w:val="20"/>
                <w:szCs w:val="20"/>
                <w:color w:val="auto"/>
              </w:rPr>
            </w:pPr>
            <w:r>
              <w:rPr>
                <w:rFonts w:ascii="Arial" w:cs="Arial" w:eastAsia="Arial" w:hAnsi="Arial"/>
                <w:sz w:val="14"/>
                <w:szCs w:val="14"/>
                <w:b w:val="1"/>
                <w:bCs w:val="1"/>
                <w:color w:val="auto"/>
              </w:rPr>
              <w:t>Amount</w:t>
            </w:r>
          </w:p>
        </w:tc>
      </w:tr>
      <w:tr>
        <w:trPr>
          <w:trHeight w:val="25"/>
        </w:trPr>
        <w:tc>
          <w:tcPr>
            <w:tcW w:w="10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168,800</w:t>
            </w:r>
          </w:p>
        </w:tc>
      </w:tr>
      <w:tr>
        <w:trPr>
          <w:trHeight w:val="270"/>
        </w:trPr>
        <w:tc>
          <w:tcPr>
            <w:tcW w:w="10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Tradename</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154,300</w:t>
            </w:r>
          </w:p>
        </w:tc>
      </w:tr>
      <w:tr>
        <w:trPr>
          <w:trHeight w:val="248"/>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323,100</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that are subject to amortization consisted of the following at September 30, 2020 and December 31, 2019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September 30, 2020</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December 31, 2019</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66"/>
        </w:trPr>
        <w:tc>
          <w:tcPr>
            <w:tcW w:w="246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 Carrying</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w w:val="99"/>
              </w:rPr>
              <w:t>Net Carrying</w:t>
            </w:r>
          </w:p>
        </w:tc>
      </w:tr>
      <w:tr>
        <w:trPr>
          <w:trHeight w:val="186"/>
        </w:trPr>
        <w:tc>
          <w:tcPr>
            <w:tcW w:w="246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40" w:type="dxa"/>
            <w:vAlign w:val="bottom"/>
          </w:tcPr>
          <w:p>
            <w:pPr>
              <w:jc w:val="right"/>
              <w:ind w:right="257"/>
              <w:spacing w:after="0"/>
              <w:rPr>
                <w:sz w:val="20"/>
                <w:szCs w:val="20"/>
                <w:color w:val="auto"/>
              </w:rPr>
            </w:pPr>
            <w:r>
              <w:rPr>
                <w:rFonts w:ascii="Arial" w:cs="Arial" w:eastAsia="Arial" w:hAnsi="Arial"/>
                <w:sz w:val="14"/>
                <w:szCs w:val="14"/>
                <w:b w:val="1"/>
                <w:bCs w:val="1"/>
                <w:color w:val="auto"/>
              </w:rPr>
              <w:t>Amount</w:t>
            </w:r>
          </w:p>
        </w:tc>
      </w:tr>
      <w:tr>
        <w:trPr>
          <w:trHeight w:val="25"/>
        </w:trPr>
        <w:tc>
          <w:tcPr>
            <w:tcW w:w="2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12 years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831,513</w:t>
            </w:r>
          </w:p>
        </w:tc>
      </w:tr>
      <w:tr>
        <w:trPr>
          <w:trHeight w:val="270"/>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Content and data</w:t>
            </w:r>
          </w:p>
        </w:tc>
        <w:tc>
          <w:tcPr>
            <w:tcW w:w="1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8"/>
              </w:rPr>
              <w:t>7 years</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154,400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110,286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154,400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126,828</w:t>
            </w:r>
          </w:p>
        </w:tc>
      </w:tr>
      <w:tr>
        <w:trPr>
          <w:trHeight w:val="248"/>
        </w:trPr>
        <w:tc>
          <w:tcPr>
            <w:tcW w:w="2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1,082,600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1,082,600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958,341</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Amortization expense for definite-lived intangible assets was $24.9 million for each of the three months ended September 30, 2020 and 2019, respectively, and $74.6 million for each of the nine months ended September 30, 2020 and 2019.</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recorded at a point in time when the trade occurs and is generally billed monthly.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are viewer fees earned monthly from institutional investors accessing fixed income market data. The frequency of subscription fee billings varies from monthly to annually, depending on contract terms. Fees received by the Company which are not yet earned are included in deferred revenue on the consolidated statements of financial condition until the revenue recognition criteria has been met.</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income for brokerage transactions are recognized and recorded on a trade-date basis. Commission revenue is collected by the Company when the trade settles or is billed monthly.</w:t>
      </w:r>
    </w:p>
    <w:p>
      <w:pPr>
        <w:spacing w:after="0" w:line="18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earns fees from Refinitiv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 Significant judgements used in accounting for this contract include:</w:t>
      </w:r>
    </w:p>
    <w:p>
      <w:pPr>
        <w:spacing w:after="0" w:line="14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Some revenues earned by the Company have fixed fee components, such as monthly minimums or fixed monthly fees, and variable components, such as transaction based fees. The breakdown of revenues between fixed and variable revenues, in thousands, for the three and nine months ended September 30, 2020 and 2019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24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r>
      <w:tr>
        <w:trPr>
          <w:trHeight w:val="195"/>
        </w:trPr>
        <w:tc>
          <w:tcPr>
            <w:tcW w:w="4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2020</w:t>
            </w:r>
          </w:p>
        </w:tc>
        <w:tc>
          <w:tcPr>
            <w:tcW w:w="240" w:type="dxa"/>
            <w:vAlign w:val="bottom"/>
          </w:tcPr>
          <w:p>
            <w:pPr>
              <w:spacing w:after="0"/>
              <w:rPr>
                <w:sz w:val="16"/>
                <w:szCs w:val="16"/>
                <w:color w:val="auto"/>
              </w:rPr>
            </w:pPr>
          </w:p>
        </w:tc>
        <w:tc>
          <w:tcPr>
            <w:tcW w:w="24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 2019</w:t>
            </w:r>
          </w:p>
        </w:tc>
      </w:tr>
      <w:tr>
        <w:trPr>
          <w:trHeight w:val="190"/>
        </w:trPr>
        <w:tc>
          <w:tcPr>
            <w:tcW w:w="4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4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2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Fixed</w:t>
            </w:r>
          </w:p>
        </w:tc>
      </w:tr>
      <w:tr>
        <w:trPr>
          <w:trHeight w:val="25"/>
        </w:trPr>
        <w:tc>
          <w:tcPr>
            <w:tcW w:w="48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800" w:type="dxa"/>
            <w:vAlign w:val="bottom"/>
          </w:tcPr>
          <w:p>
            <w:pPr>
              <w:ind w:left="120"/>
              <w:spacing w:after="0"/>
              <w:rPr>
                <w:sz w:val="20"/>
                <w:szCs w:val="20"/>
                <w:color w:val="auto"/>
              </w:rPr>
            </w:pPr>
            <w:r>
              <w:rPr>
                <w:rFonts w:ascii="Arial" w:cs="Arial" w:eastAsia="Arial" w:hAnsi="Arial"/>
                <w:sz w:val="18"/>
                <w:szCs w:val="18"/>
                <w:color w:val="auto"/>
              </w:rPr>
              <w:t>Transaction fees</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94,122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26,460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87,574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25,172</w:t>
            </w:r>
          </w:p>
        </w:tc>
        <w:tc>
          <w:tcPr>
            <w:tcW w:w="20" w:type="dxa"/>
            <w:vAlign w:val="bottom"/>
          </w:tcPr>
          <w:p>
            <w:pPr>
              <w:spacing w:after="0"/>
              <w:rPr>
                <w:sz w:val="19"/>
                <w:szCs w:val="19"/>
                <w:color w:val="auto"/>
              </w:rPr>
            </w:pPr>
          </w:p>
        </w:tc>
      </w:tr>
      <w:tr>
        <w:trPr>
          <w:trHeight w:val="229"/>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Subscription Fees including Refinitiv market data fees</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48,198</w:t>
            </w:r>
          </w:p>
        </w:tc>
        <w:tc>
          <w:tcPr>
            <w:tcW w:w="20" w:type="dxa"/>
            <w:vAlign w:val="bottom"/>
          </w:tcPr>
          <w:p>
            <w:pPr>
              <w:spacing w:after="0"/>
              <w:rPr>
                <w:sz w:val="19"/>
                <w:szCs w:val="19"/>
                <w:color w:val="auto"/>
              </w:rPr>
            </w:pPr>
          </w:p>
        </w:tc>
      </w:tr>
      <w:tr>
        <w:trPr>
          <w:trHeight w:val="230"/>
        </w:trPr>
        <w:tc>
          <w:tcPr>
            <w:tcW w:w="4800" w:type="dxa"/>
            <w:vAlign w:val="bottom"/>
          </w:tcPr>
          <w:p>
            <w:pPr>
              <w:ind w:left="120"/>
              <w:spacing w:after="0"/>
              <w:rPr>
                <w:sz w:val="20"/>
                <w:szCs w:val="20"/>
                <w:color w:val="auto"/>
              </w:rPr>
            </w:pPr>
            <w:r>
              <w:rPr>
                <w:rFonts w:ascii="Arial" w:cs="Arial" w:eastAsia="Arial" w:hAnsi="Arial"/>
                <w:sz w:val="18"/>
                <w:szCs w:val="18"/>
                <w:color w:val="auto"/>
              </w:rPr>
              <w:t>Commissions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9,750</w:t>
            </w:r>
          </w:p>
        </w:tc>
        <w:tc>
          <w:tcPr>
            <w:tcW w:w="20" w:type="dxa"/>
            <w:vAlign w:val="bottom"/>
          </w:tcPr>
          <w:p>
            <w:pPr>
              <w:spacing w:after="0"/>
              <w:rPr>
                <w:sz w:val="19"/>
                <w:szCs w:val="19"/>
                <w:color w:val="auto"/>
              </w:rPr>
            </w:pPr>
          </w:p>
        </w:tc>
      </w:tr>
      <w:tr>
        <w:trPr>
          <w:trHeight w:val="230"/>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9"/>
                <w:szCs w:val="19"/>
                <w:color w:val="auto"/>
              </w:rPr>
            </w:pPr>
          </w:p>
        </w:tc>
      </w:tr>
      <w:tr>
        <w:trPr>
          <w:trHeight w:val="223"/>
        </w:trPr>
        <w:tc>
          <w:tcPr>
            <w:tcW w:w="4800" w:type="dxa"/>
            <w:vAlign w:val="bottom"/>
          </w:tcPr>
          <w:p>
            <w:pPr>
              <w:ind w:left="120"/>
              <w:spacing w:after="0"/>
              <w:rPr>
                <w:sz w:val="20"/>
                <w:szCs w:val="20"/>
                <w:color w:val="auto"/>
              </w:rPr>
            </w:pPr>
            <w:r>
              <w:rPr>
                <w:rFonts w:ascii="Arial" w:cs="Arial" w:eastAsia="Arial" w:hAnsi="Arial"/>
                <w:sz w:val="18"/>
                <w:szCs w:val="18"/>
                <w:color w:val="auto"/>
              </w:rPr>
              <w:t>Gross revenue</w:t>
            </w:r>
          </w:p>
        </w:tc>
        <w:tc>
          <w:tcPr>
            <w:tcW w:w="9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124,136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115,941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85,040</w:t>
            </w:r>
          </w:p>
        </w:tc>
        <w:tc>
          <w:tcPr>
            <w:tcW w:w="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5"/>
        </w:trPr>
        <w:tc>
          <w:tcPr>
            <w:tcW w:w="4800" w:type="dxa"/>
            <w:vAlign w:val="bottom"/>
          </w:tcPr>
          <w:p>
            <w:pPr>
              <w:spacing w:after="0"/>
              <w:rPr>
                <w:sz w:val="24"/>
                <w:szCs w:val="24"/>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6"/>
                <w:szCs w:val="16"/>
                <w:color w:val="auto"/>
              </w:rPr>
            </w:pPr>
          </w:p>
        </w:tc>
        <w:tc>
          <w:tcPr>
            <w:tcW w:w="244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Nine Months Ended</w:t>
            </w:r>
          </w:p>
        </w:tc>
      </w:tr>
      <w:tr>
        <w:trPr>
          <w:trHeight w:val="195"/>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2020</w:t>
            </w:r>
          </w:p>
        </w:tc>
        <w:tc>
          <w:tcPr>
            <w:tcW w:w="260" w:type="dxa"/>
            <w:vAlign w:val="bottom"/>
          </w:tcPr>
          <w:p>
            <w:pPr>
              <w:spacing w:after="0"/>
              <w:rPr>
                <w:sz w:val="16"/>
                <w:szCs w:val="16"/>
                <w:color w:val="auto"/>
              </w:rPr>
            </w:pPr>
          </w:p>
        </w:tc>
        <w:tc>
          <w:tcPr>
            <w:tcW w:w="244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September 30, 2019</w:t>
            </w:r>
          </w:p>
        </w:tc>
      </w:tr>
      <w:tr>
        <w:trPr>
          <w:trHeight w:val="179"/>
        </w:trPr>
        <w:tc>
          <w:tcPr>
            <w:tcW w:w="57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89"/>
              </w:rPr>
              <w:t>(in thousands)</w:t>
            </w:r>
          </w:p>
        </w:tc>
        <w:tc>
          <w:tcPr>
            <w:tcW w:w="880" w:type="dxa"/>
            <w:vAlign w:val="bottom"/>
            <w:tcBorders>
              <w:top w:val="single" w:sz="8" w:color="auto"/>
            </w:tcBorders>
          </w:tcPr>
          <w:p>
            <w:pPr>
              <w:spacing w:after="0"/>
              <w:rPr>
                <w:sz w:val="15"/>
                <w:szCs w:val="15"/>
                <w:color w:val="auto"/>
              </w:rPr>
            </w:pPr>
          </w:p>
        </w:tc>
      </w:tr>
      <w:tr>
        <w:trPr>
          <w:trHeight w:val="192"/>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2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20" w:type="dxa"/>
            <w:vAlign w:val="bottom"/>
          </w:tcPr>
          <w:p>
            <w:pPr>
              <w:spacing w:after="0"/>
              <w:rPr>
                <w:sz w:val="16"/>
                <w:szCs w:val="16"/>
                <w:color w:val="auto"/>
              </w:rPr>
            </w:pPr>
          </w:p>
        </w:tc>
        <w:tc>
          <w:tcPr>
            <w:tcW w:w="880" w:type="dxa"/>
            <w:vAlign w:val="bottom"/>
          </w:tcPr>
          <w:p>
            <w:pPr>
              <w:jc w:val="right"/>
              <w:ind w:right="393"/>
              <w:spacing w:after="0"/>
              <w:rPr>
                <w:sz w:val="20"/>
                <w:szCs w:val="20"/>
                <w:color w:val="auto"/>
              </w:rPr>
            </w:pPr>
            <w:r>
              <w:rPr>
                <w:rFonts w:ascii="Arial" w:cs="Arial" w:eastAsia="Arial" w:hAnsi="Arial"/>
                <w:sz w:val="14"/>
                <w:szCs w:val="14"/>
                <w:b w:val="1"/>
                <w:bCs w:val="1"/>
                <w:color w:val="auto"/>
              </w:rPr>
              <w:t>Fixed</w:t>
            </w:r>
          </w:p>
        </w:tc>
      </w:tr>
      <w:tr>
        <w:trPr>
          <w:trHeight w:val="21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5700" w:type="dxa"/>
            <w:vAlign w:val="bottom"/>
          </w:tcPr>
          <w:p>
            <w:pPr>
              <w:ind w:left="120"/>
              <w:spacing w:after="0"/>
              <w:rPr>
                <w:sz w:val="20"/>
                <w:szCs w:val="20"/>
                <w:color w:val="auto"/>
              </w:rPr>
            </w:pPr>
            <w:r>
              <w:rPr>
                <w:rFonts w:ascii="Arial" w:cs="Arial" w:eastAsia="Arial" w:hAnsi="Arial"/>
                <w:sz w:val="18"/>
                <w:szCs w:val="18"/>
                <w:color w:val="auto"/>
              </w:rPr>
              <w:t>Transaction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305,848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77,704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246,066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73,272</w:t>
            </w:r>
          </w:p>
        </w:tc>
      </w:tr>
      <w:tr>
        <w:trPr>
          <w:trHeight w:val="230"/>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Subscription Fees including Refinitiv market data fees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143,320</w:t>
            </w:r>
          </w:p>
        </w:tc>
      </w:tr>
      <w:tr>
        <w:trPr>
          <w:trHeight w:val="229"/>
        </w:trPr>
        <w:tc>
          <w:tcPr>
            <w:tcW w:w="5700" w:type="dxa"/>
            <w:vAlign w:val="bottom"/>
          </w:tcPr>
          <w:p>
            <w:pPr>
              <w:ind w:left="120"/>
              <w:spacing w:after="0"/>
              <w:rPr>
                <w:sz w:val="20"/>
                <w:szCs w:val="20"/>
                <w:color w:val="auto"/>
              </w:rPr>
            </w:pPr>
            <w:r>
              <w:rPr>
                <w:rFonts w:ascii="Arial" w:cs="Arial" w:eastAsia="Arial" w:hAnsi="Arial"/>
                <w:sz w:val="18"/>
                <w:szCs w:val="18"/>
                <w:color w:val="auto"/>
              </w:rPr>
              <w:t>Commissions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78,785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29,415</w:t>
            </w:r>
          </w:p>
        </w:tc>
      </w:tr>
      <w:tr>
        <w:trPr>
          <w:trHeight w:val="229"/>
        </w:trPr>
        <w:tc>
          <w:tcPr>
            <w:tcW w:w="5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r>
      <w:tr>
        <w:trPr>
          <w:trHeight w:val="223"/>
        </w:trPr>
        <w:tc>
          <w:tcPr>
            <w:tcW w:w="5700" w:type="dxa"/>
            <w:vAlign w:val="bottom"/>
          </w:tcPr>
          <w:p>
            <w:pPr>
              <w:ind w:left="120"/>
              <w:spacing w:after="0"/>
              <w:rPr>
                <w:sz w:val="20"/>
                <w:szCs w:val="20"/>
                <w:color w:val="auto"/>
              </w:rPr>
            </w:pPr>
            <w:r>
              <w:rPr>
                <w:rFonts w:ascii="Arial" w:cs="Arial" w:eastAsia="Arial" w:hAnsi="Arial"/>
                <w:sz w:val="18"/>
                <w:szCs w:val="18"/>
                <w:color w:val="auto"/>
              </w:rPr>
              <w:t>Gross revenue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397,671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261,912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326,873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251,385</w:t>
            </w:r>
          </w:p>
        </w:tc>
      </w:tr>
      <w:tr>
        <w:trPr>
          <w:trHeight w:val="21"/>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recognized revenue and remaining balance is shown below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6"/>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87"/>
              </w:rPr>
              <w:t>23,990</w:t>
            </w: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260" w:type="dxa"/>
            <w:vAlign w:val="bottom"/>
          </w:tcPr>
          <w:p>
            <w:pPr>
              <w:spacing w:after="0"/>
              <w:rPr>
                <w:sz w:val="19"/>
                <w:szCs w:val="19"/>
                <w:color w:val="auto"/>
              </w:rPr>
            </w:pPr>
          </w:p>
        </w:tc>
        <w:tc>
          <w:tcPr>
            <w:tcW w:w="1040" w:type="dxa"/>
            <w:vAlign w:val="bottom"/>
          </w:tcPr>
          <w:p>
            <w:pPr>
              <w:jc w:val="center"/>
              <w:ind w:left="314"/>
              <w:spacing w:after="0"/>
              <w:rPr>
                <w:sz w:val="20"/>
                <w:szCs w:val="20"/>
                <w:color w:val="auto"/>
              </w:rPr>
            </w:pPr>
            <w:r>
              <w:rPr>
                <w:rFonts w:ascii="Arial" w:cs="Arial" w:eastAsia="Arial" w:hAnsi="Arial"/>
                <w:sz w:val="18"/>
                <w:szCs w:val="18"/>
                <w:color w:val="auto"/>
                <w:w w:val="87"/>
              </w:rPr>
              <w:t>87,153</w:t>
            </w: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w w:val="92"/>
              </w:rPr>
              <w:t>(81,286)</w:t>
            </w:r>
          </w:p>
        </w:tc>
      </w:tr>
      <w:tr>
        <w:trPr>
          <w:trHeight w:val="223"/>
        </w:trPr>
        <w:tc>
          <w:tcPr>
            <w:tcW w:w="9940" w:type="dxa"/>
            <w:vAlign w:val="bottom"/>
          </w:tcPr>
          <w:p>
            <w:pPr>
              <w:ind w:left="20"/>
              <w:spacing w:after="0"/>
              <w:rPr>
                <w:sz w:val="20"/>
                <w:szCs w:val="20"/>
                <w:color w:val="auto"/>
              </w:rPr>
            </w:pPr>
            <w:r>
              <w:rPr>
                <w:rFonts w:ascii="Arial" w:cs="Arial" w:eastAsia="Arial" w:hAnsi="Arial"/>
                <w:sz w:val="18"/>
                <w:szCs w:val="18"/>
                <w:color w:val="auto"/>
              </w:rPr>
              <w:t>Deferred revenue balance - September 30, 2020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87"/>
              </w:rPr>
              <w:t>29,857</w:t>
            </w: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provision for income taxes includes U.S. federal, state, local and foreign taxes. The Company’s effective tax rate for the nine months ended September 30, 2020 and 2019 was approximately 20.8% and 15.6%, respectively.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effective tax rate for the nine months ended September 30, 2020 differed from the U.S. federal statutory rate of 21.0% primarily due to the effect of non-controlling interests and the tax impact of the exercise of equity compensation, partially offset by state, local and foreign taxes. The effective tax rate for the nine months ended September 30, 2019 differed from the U.S. federal statutory rate of 21.0% primarily due to the effect of non-controlling interests and other discrete items, partially offset by state and local taxes.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Company’s effective tax rate for the three months ended September 30, 2020 and 2019 was approximately 19.1% and 17.5%, respectively.</w:t>
      </w:r>
    </w:p>
    <w:p>
      <w:pPr>
        <w:spacing w:after="0" w:line="26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effective tax rate for the three months ended September 30, 2020 differed from the U.S. federal statutory rate of 21.0% primarily due to the effect of non-controlling interests and the tax impact of the exercise of equity compensation, partially offset by state, local and foreign taxes. The effective tax rate for the three months ended September 30, 2019 differed from the U.S. federal statutory rate of 21.0% primarily due to the effect of non-controlling interests, partially offset by state, local and foreign taxes and other discrete items.</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a result of the Reorganization Transactions, 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increase over time as the Continuing LLC Owners redeem or exchange their LLC Interests for shares of Class A common stock or Class B common stock, as applicable, or the Corporation purchases LLC Interests from the Continuing LLC Owners.</w:t>
      </w:r>
    </w:p>
    <w:p>
      <w:pPr>
        <w:spacing w:after="0" w:line="21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Company's consolidated effective tax rate will vary from period to period depending on redemptions, exchanges or purchases of LLC Interests as described above, changes in the geographic mix of its earnings and changes in tax legislation and tax rates.</w:t>
      </w:r>
    </w:p>
    <w:p>
      <w:pPr>
        <w:spacing w:after="0" w:line="198"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7 – Tax Receivable Agreement. The tax benefit has been recognized in deferred tax assets on the September 30, 2020 consolidated statement of financial condition.</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a result of the Refinitiv Contribution, the Company assumed the tax liabilities of the contributed entity. The contributed entity is under audit by the State of New Jersey for the tax years 2012 – 2015 and is appealing a tax assessment from an audit by the State of New Jersey for the tax years 2008 – 2011. At September 30, 2020, the tax liability related to the Refinitiv Contribution is $2.7 million and is included within accounts payable, accrued expenses and other liabilities on the consolidated statement of financial condition.</w:t>
      </w:r>
    </w:p>
    <w:p>
      <w:pPr>
        <w:spacing w:after="0" w:line="215"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The Company is indemnified by Refinitiv for tax liabilities that were assumed by the Company as a result of the Refinitiv Contribution. At September 30, 2020, $2.7 million is included in other assets on the consolidated statement of financial condition related to this indemnification.</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Tax Receivable Agreement</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Reorganization Transactions, the Corporation entered into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annually based on the actual tax savings realized by the Corporation in its previous tax year.</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As of December 31, 2019, the liability was $240.8 million, primarily due to the purchase of LLC Interests by the Corporation using the net proceeds of the IPO and the October 2019 follow-on offering, as well as additional exchanges of LLC Interests by Continuing LLC Owners. During 2020, the liability increased to $373.0 million, primarily due to the April 2020 follow-on offering and additional exchanges of LLC Interests by Continuing LLC Owners. Substantially all payments due under the tax receivable agreement are payable over the fifteen years following the purchase of LLC Interests from Continuing LLC Owners or redemption or exchanges by Continuing LLC Owners of LLC Interests.</w:t>
      </w:r>
    </w:p>
    <w:p>
      <w:pPr>
        <w:spacing w:after="0" w:line="20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or exchange,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21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geographic mix of the Company’s earnings, changes in tax legislation and tax rates or other factors that may impact the Corporation’s tax savings will be reflected in income before taxes on the consolidated statement of income in the period in which the change occurs.</w:t>
      </w:r>
    </w:p>
    <w:p>
      <w:pPr>
        <w:spacing w:after="0" w:line="17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Reorganization Transactions</w:t>
      </w:r>
    </w:p>
    <w:p>
      <w:pPr>
        <w:spacing w:after="0" w:line="22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As described in Note 1 – Organization, in April 2019, the Corporation completed its IPO of 46,000,000 shares of Class A common stock at a public offering price of $27.00, which included 6,000,000 shares of Class A common stock issued pursuant to the underwriters’ option to purchase additional shares of Class A common stock. The Corporation received $1.2 billion in net proceeds, after deducting underwriting discounts and commissions but before deducting offering expenses, which were used to purchase LLC Interests from certain of the Bank Stockholders (and the corresponding shares of common stock were cancelled as described below), at a purchase price per interest equal to the public offering price of $27.00, less the underwriting discounts and commissions payable thereon.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the Reorganization Transactions described below were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April 3, 2019, the certificate of incorporation of Tradeweb Markets Inc. was amended and restated to, among other things, provide for the authorization of (i) 250,000,000 shares of preferred stock with a par value of $0.00001 per share (ii) 1,000,000,000 shares of Class A common stock with a par value of $0.00001 per share; (iii) 450,000,000 shares of Class B common stock with a par value of $0.00001 per share; (iv) 350,000,000 shares of Class C common stock with a par value of $0.00001 per share; and (v) 300,000,000 shares of Class D common stock with a par value of $0.00001 per share.</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share of Class A common stock and Class C common stock entitles its holder to one vote on all matters presented to the Corporation’s stockholders generally. Each share of Class B common stock and Class D common stock entitles its holder to ten votes on all matters presented to the Corporation’s stockholders generally. The holders of Class C common stock and Class D common stock have no economic interests in the Corporation (where “economic interests” means the right to receive any dividends or distributions, whether cash or stock, in connection with common stock). These attributes are summarized in the following table: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gridSpan w:val="2"/>
          </w:tcPr>
          <w:p>
            <w:pPr>
              <w:ind w:left="2940"/>
              <w:spacing w:after="0"/>
              <w:rPr>
                <w:sz w:val="20"/>
                <w:szCs w:val="20"/>
                <w:color w:val="auto"/>
              </w:rPr>
            </w:pPr>
            <w:r>
              <w:rPr>
                <w:rFonts w:ascii="Arial" w:cs="Arial" w:eastAsia="Arial" w:hAnsi="Arial"/>
                <w:sz w:val="14"/>
                <w:szCs w:val="14"/>
                <w:b w:val="1"/>
                <w:bCs w:val="1"/>
                <w:color w:val="auto"/>
              </w:rPr>
              <w:t>Class of</w:t>
            </w:r>
          </w:p>
        </w:tc>
        <w:tc>
          <w:tcPr>
            <w:tcW w:w="3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Par</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Economic</w:t>
            </w:r>
          </w:p>
        </w:tc>
      </w:tr>
      <w:tr>
        <w:trPr>
          <w:trHeight w:val="186"/>
        </w:trPr>
        <w:tc>
          <w:tcPr>
            <w:tcW w:w="6480" w:type="dxa"/>
            <w:vAlign w:val="bottom"/>
            <w:gridSpan w:val="2"/>
          </w:tcPr>
          <w:p>
            <w:pPr>
              <w:ind w:left="2720"/>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600" w:type="dxa"/>
            <w:vAlign w:val="bottom"/>
            <w:gridSpan w:val="2"/>
          </w:tcPr>
          <w:p>
            <w:pPr>
              <w:ind w:left="580"/>
              <w:spacing w:after="0"/>
              <w:rPr>
                <w:sz w:val="20"/>
                <w:szCs w:val="20"/>
                <w:color w:val="auto"/>
              </w:rPr>
            </w:pPr>
            <w:r>
              <w:rPr>
                <w:rFonts w:ascii="Arial" w:cs="Arial" w:eastAsia="Arial" w:hAnsi="Arial"/>
                <w:sz w:val="14"/>
                <w:szCs w:val="14"/>
                <w:b w:val="1"/>
                <w:bCs w:val="1"/>
                <w:color w:val="auto"/>
              </w:rPr>
              <w:t>Votes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r>
      <w:tr>
        <w:trPr>
          <w:trHeight w:val="26"/>
        </w:trPr>
        <w:tc>
          <w:tcPr>
            <w:tcW w:w="6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Class B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29"/>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C common stock</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Class D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0.00001</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Holders of outstanding shares of Class A common stock, Class B common stock, Class C common stock and Class D common stock will vote together as a single class on all matters presented to the Corporation’s stockholders for their vote or approval, except as otherwise required by applicable law.</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Holders of Class B common stock may from time to time exchange all or a portion of their shares of Class B common stock for newly issued shares of Class A common stock on a one-for-one basis (in which case their shares of Class B common stock will be cancelled on a one-for-one basis upon any such issuance). Continuing LLC Owners that hold shares of Class D common stock may from time to time exchange all or a portion of their shares of Class D common stock for newly issued shares of Class C common stock on a one-for-one basis (in which case their shares of Class D common stock will be cancelled on a one-for-one basis upon such issuance). In addition, with respect to each Bank Stockholder that holds shares of Class D common stock, immediately prior to the occurrence of any event that would cause the combined voting power held by such Bank Stockholder to exceed 4.9%, the minimum number of shares of Class D common stock of such Bank Stockholder that would need to convert into shares of Class C common stock such that the combined voting power held by such Bank Stockholder would not exceed 4.9% will automatically convert into shares of Class C common stock.</w:t>
      </w:r>
    </w:p>
    <w:p>
      <w:pPr>
        <w:spacing w:after="0" w:line="16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Each share of Class B common stock will automatically convert into one share of Class A common stock and each share of Class D common stock will automatically convert into one share of Class C common stock (i) immediately prior to any sale or other transfer of such share by a holder or its permitted transferees to a non-permitted transferee or (ii) once the Refinitiv Owners and their affiliates together no longer beneficially own a number of shares of common stock and LLC Interests that together entitle them to at least 10% of TWM LLC’s economic interest. Holders of LLC Interests that receive shares of Class C common stock upon any such conversion may continue to elect to have their LLC Interests redeemed for newly issued shares of Class A common stock as described below (in which case their shares of Class C common stock will be cancelled on a one-for-one basis upon such issuance).</w:t>
      </w:r>
    </w:p>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the Corporation’s board of directors adopted the Omnibus Equity Plan, under which equity awards may be made in respect of shares of Class A common stock. It also assumed sponsorship of the Option Plan and a PRSU plan formerly sponsored by TWM LLC. See Note 10 – Stock-Based Compensation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 of Tradeweb Markets LLC</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April 4, 2019, the TWM LLC Agreement was amended and restated to, among other things, (i) provide for the LLC Interests, (ii) exchange all of the then existing membership interests in TWM LLC for LLC Interests and (iii) appoint the Corporation as the sole manager of TWM LLC.</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of the shares of TWM LLC outstanding prior to the Reorganization Transactions were exchanged for 222,222,197 LLC Interests. TWM LLC’s outstanding shares prior to the Reorganization Transactions consisted of the following classes of shares: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8980" w:type="dxa"/>
            <w:vAlign w:val="bottom"/>
          </w:tcPr>
          <w:p>
            <w:pPr>
              <w:spacing w:after="0"/>
              <w:rPr>
                <w:sz w:val="16"/>
                <w:szCs w:val="16"/>
                <w:color w:val="auto"/>
              </w:rPr>
            </w:pPr>
          </w:p>
        </w:tc>
        <w:tc>
          <w:tcPr>
            <w:tcW w:w="1520" w:type="dxa"/>
            <w:vAlign w:val="bottom"/>
          </w:tcPr>
          <w:p>
            <w:pPr>
              <w:jc w:val="right"/>
              <w:ind w:right="453"/>
              <w:spacing w:after="0"/>
              <w:rPr>
                <w:sz w:val="20"/>
                <w:szCs w:val="20"/>
                <w:color w:val="auto"/>
              </w:rPr>
            </w:pPr>
            <w:r>
              <w:rPr>
                <w:rFonts w:ascii="Arial" w:cs="Arial" w:eastAsia="Arial" w:hAnsi="Arial"/>
                <w:sz w:val="14"/>
                <w:szCs w:val="14"/>
                <w:b w:val="1"/>
                <w:bCs w:val="1"/>
                <w:color w:val="auto"/>
              </w:rPr>
              <w:t>Shares</w:t>
            </w:r>
          </w:p>
        </w:tc>
      </w:tr>
      <w:tr>
        <w:trPr>
          <w:trHeight w:val="26"/>
        </w:trPr>
        <w:tc>
          <w:tcPr>
            <w:tcW w:w="740" w:type="dxa"/>
            <w:vAlign w:val="bottom"/>
            <w:tcBorders>
              <w:bottom w:val="single" w:sz="8" w:color="CCEEFF"/>
            </w:tcBorders>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w:t>
            </w:r>
          </w:p>
        </w:tc>
        <w:tc>
          <w:tcPr>
            <w:tcW w:w="8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146,333</w:t>
            </w:r>
          </w:p>
        </w:tc>
      </w:tr>
      <w:tr>
        <w:trPr>
          <w:trHeight w:val="270"/>
        </w:trPr>
        <w:tc>
          <w:tcPr>
            <w:tcW w:w="740" w:type="dxa"/>
            <w:vAlign w:val="bottom"/>
          </w:tcPr>
          <w:p>
            <w:pPr>
              <w:ind w:left="20"/>
              <w:spacing w:after="0"/>
              <w:rPr>
                <w:sz w:val="20"/>
                <w:szCs w:val="20"/>
                <w:color w:val="auto"/>
              </w:rPr>
            </w:pPr>
            <w:r>
              <w:rPr>
                <w:rFonts w:ascii="Arial" w:cs="Arial" w:eastAsia="Arial" w:hAnsi="Arial"/>
                <w:sz w:val="18"/>
                <w:szCs w:val="18"/>
                <w:color w:val="auto"/>
              </w:rPr>
              <w:t>Class C</w:t>
            </w:r>
          </w:p>
        </w:tc>
        <w:tc>
          <w:tcPr>
            <w:tcW w:w="89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0"/>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P (A)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r>
      <w:tr>
        <w:trPr>
          <w:trHeight w:val="270"/>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Class P (C)</w:t>
            </w: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Class P-1</w:t>
            </w:r>
          </w:p>
        </w:tc>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r>
      <w:tr>
        <w:trPr>
          <w:trHeight w:val="270"/>
        </w:trPr>
        <w:tc>
          <w:tcPr>
            <w:tcW w:w="740" w:type="dxa"/>
            <w:vAlign w:val="bottom"/>
          </w:tcPr>
          <w:p>
            <w:pPr>
              <w:ind w:left="20"/>
              <w:spacing w:after="0"/>
              <w:rPr>
                <w:sz w:val="20"/>
                <w:szCs w:val="20"/>
                <w:color w:val="auto"/>
              </w:rPr>
            </w:pPr>
            <w:r>
              <w:rPr>
                <w:rFonts w:ascii="Arial" w:cs="Arial" w:eastAsia="Arial" w:hAnsi="Arial"/>
                <w:sz w:val="18"/>
                <w:szCs w:val="18"/>
                <w:color w:val="auto"/>
                <w:w w:val="89"/>
              </w:rPr>
              <w:t>Class P-1</w:t>
            </w:r>
          </w:p>
        </w:tc>
        <w:tc>
          <w:tcPr>
            <w:tcW w:w="8980" w:type="dxa"/>
            <w:vAlign w:val="bottom"/>
          </w:tcPr>
          <w:p>
            <w:pPr>
              <w:ind w:left="20"/>
              <w:spacing w:after="0"/>
              <w:rPr>
                <w:sz w:val="20"/>
                <w:szCs w:val="20"/>
                <w:color w:val="auto"/>
              </w:rPr>
            </w:pPr>
            <w:r>
              <w:rPr>
                <w:rFonts w:ascii="Arial" w:cs="Arial" w:eastAsia="Arial" w:hAnsi="Arial"/>
                <w:sz w:val="18"/>
                <w:szCs w:val="18"/>
                <w:color w:val="auto"/>
              </w:rPr>
              <w:t>(C)</w:t>
            </w:r>
          </w:p>
        </w:tc>
        <w:tc>
          <w:tcPr>
            <w:tcW w:w="1520" w:type="dxa"/>
            <w:vAlign w:val="bottom"/>
          </w:tcPr>
          <w:p>
            <w:pPr>
              <w:jc w:val="right"/>
              <w:spacing w:after="0"/>
              <w:rPr>
                <w:sz w:val="20"/>
                <w:szCs w:val="20"/>
                <w:color w:val="auto"/>
              </w:rPr>
            </w:pPr>
            <w:r>
              <w:rPr>
                <w:rFonts w:ascii="Arial" w:cs="Arial" w:eastAsia="Arial" w:hAnsi="Arial"/>
                <w:sz w:val="18"/>
                <w:szCs w:val="18"/>
                <w:color w:val="auto"/>
              </w:rPr>
              <w:t>232</w:t>
            </w: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TWM LLC Agreement requires that TWM LLC at all times maintain (i) a one-to-one ratio between the number of shares of Class A common stock and Class B common stock issued by the Corporation and the number of LLC Interests owned by the Corporation and (ii) a one-to-one ratio between the number of shares of Class C common stock and Class D common stock issued by the Corporation and the number of LLC Interests owned by the holders of such Class C common stock and Class D common stock.</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LLC Interests held by Continuing LLC Owners are redeemable in accordance with the TWM LLC Agreement, at the election of such holders, for newly issued shares of Class A common stock or Class B common stock, as the case may be, on a one-for-one basis (and such holders’ shares of Class C common stock or Class D common stock, as the case may be, will be cancelled on a one-for-one basis upon any such issuance). In the event of such election by a Continuing LLC Owner, the Corporation may, at its option, effect a direct exchange of Class A common stock or Class B common stock for such LLC Interests of such Continuing LLC Owner in lieu of such redemption. In addition, the Corporation’s board of directors may, at its option, instead of the foregoing redemptions or exchanges of LLC Interests, cause the Corporation to make a cash payment equal to the volume weighted average market price of one share of Class A common stock for each LLC Interest redeemed or exchanged (subject to customary adjustments, including for stock splits, stock dividends and reclassifications) in accordance with the terms of the TWM LLC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and Cancellation of Common Stock</w:t>
      </w:r>
    </w:p>
    <w:p>
      <w:pPr>
        <w:spacing w:after="0" w:line="225" w:lineRule="exact"/>
        <w:rPr>
          <w:sz w:val="20"/>
          <w:szCs w:val="20"/>
          <w:color w:val="auto"/>
        </w:rPr>
      </w:pPr>
    </w:p>
    <w:p>
      <w:pPr>
        <w:ind w:left="660" w:right="1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of the Refinitiv Contribution, the Corporation received 96,933,192 LLC Interests and the Refinitiv Direct Owner received 96,933,192 shares of Class B common stock.</w:t>
      </w:r>
    </w:p>
    <w:p>
      <w:pPr>
        <w:spacing w:after="0" w:line="170" w:lineRule="exact"/>
        <w:rPr>
          <w:rFonts w:ascii="Arial" w:cs="Arial" w:eastAsia="Arial" w:hAnsi="Arial"/>
          <w:sz w:val="18"/>
          <w:szCs w:val="18"/>
          <w:color w:val="auto"/>
        </w:rPr>
      </w:pPr>
    </w:p>
    <w:p>
      <w:pPr>
        <w:ind w:left="660" w:right="16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Corporation issued 20,000,000 shares of Class C common stock and 105,289,005 shares of Class D common stock to the Original LLC Owners that received LLC Interests on a one-to-one basis with the number of LLC Interests they owned immediately following the amendment and restatement of the TWM LLC Agreement for nominal consideration (the Corporation subsequently cancelled 9,993,731 shares of such Class C common stock and 36,006,269 shares of such Class D common stock in connection with the Corporation’s purchase of LLC Interests from certain of the Bank Stockholders using the net proceeds of the IPO).</w:t>
      </w:r>
    </w:p>
    <w:p>
      <w:pPr>
        <w:spacing w:after="0" w:line="18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Following the completion of the Reorganization Transactions, including the IPO and the application of the proceeds therefrom as described above, (i) the investors in the IPO collectively owned 46,000,000 shares of Class A common stock, representing 2.7% of the combined voting power of all of the Corporation’s common stock and, through the Corporation’s ownership of LLC Interests, 20.7% of the economic interest in TWM LLC; (ii) the Refinitiv Direct Owner owned 96,933,192 shares of Class B common stock, representing 56.4% of the combined voting power of all of the Corporation’s common stock and, through the Corporation’s ownership of LLC Interests, 43.6% of the economic interest in TWM LLC; (iii) the Refinitiv LLC Owner owned 22,988,329 shares of Class D common stock, representing 13.4% of the combined voting power of all of the Corporation’s common stock, and 22,988,329 LLC Interests, representing 10.3% of the economic interest in TWM LLC, (iv) the Continuing LLC Owners (other than the Refinitiv LLC Owner) collectively owned 10,006,269 shares of Class C common stock and 46,294,407 shares of Class D common stock, representing 27.5% of the combined voting power of all of the Corporation’s common stock, and 56,300,676 LLC Interests, representing 25.3% of the economic interest in TWM LLC; and (v) the Corporation owned 142,933,192 LLC Interests, representing 64.3% of the economic interest in TWM LLC.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2019 Follow-On Offering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fourth quarter of 2019, Tradeweb Markets Inc. completed an underwritten follow-on offering of 19,881,059 shares of Class A Common stock at a public offering price of $42.00 per share, which included 2,593,181 shares of Class A common stock issued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underwriters’ option to purchase additional shares of Class A common stock. Tradeweb Markets Inc. received net proceeds of $810.0 million, after deducting underwriting discounts and commissions but before deducting estimated offering expenses, which were used to purchase (i) 19,835,666 issued and outstanding LLC Interests from certain of the Bank Stockholders and certain of our executive officers (and the corresponding shares of Class C common stock and/or Class D common stock held by such holders were cancelled) and (ii) 45,393 issued and outstanding shares of Class A common stock from certain of our executive officers (which shares of Class A common stock were cancelled), at a purchase price per interest and share equal to the public offering price of $42.00, less the underwriting discounts and commissions payable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2020 Follow-On Offering</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the second quarter of 2020, Tradeweb Markets Inc. completed an underwritten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certain of our executive officers (and the corresponding shares of Class C common stock and/or Class D common stock held by such holders were cancelled) and (ii) 596,418 issued and outstanding shares of Class A common stock from certain of our executive officers (which shares of Class A common stock were cancelled), at a purchase price per interest and share equal to the public offering price of $50.25, less the underwriting discounts and commissions payable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Redemptions and Exchanges of LLC Interests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the IPO, the October 2019 follow-on offering and the April 2020 follow-on offering transactions described above, certain Continuing LLC Owners may, from time to time, exercise their redemption rights under the TWM LLC Agreement, pursuant to which LLC Interests are exchanged for newly-issued shares of Class A common stock. Simultaneously, and in connection with these exchanges, shares of Class C and/or Class D common stock are surrendered by the Continuing LLC Owners and cancelled. In connection with these exchanges, Tradeweb Markets Inc. receives LLC Interests, increasing its total ownership interest in TWM LLC.</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 Reorganization Transactions, the IPO, the October 2019 follow-on offering, the April 2020 follow-on offering and other exchanges and equity activity, as of September 30, 2020:</w:t>
      </w:r>
    </w:p>
    <w:p>
      <w:pPr>
        <w:spacing w:after="0" w:line="170" w:lineRule="exact"/>
        <w:rPr>
          <w:sz w:val="20"/>
          <w:szCs w:val="20"/>
          <w:color w:val="auto"/>
        </w:rPr>
      </w:pPr>
    </w:p>
    <w:p>
      <w:pPr>
        <w:ind w:left="660" w:right="160" w:hanging="328"/>
        <w:spacing w:after="0" w:line="263" w:lineRule="auto"/>
        <w:tabs>
          <w:tab w:leader="none" w:pos="6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public investors collectively owned 90,985,582 shares of the Company's Class A common stock, representing 6.5% of the combined voting power of Tradeweb Markets Inc.’s issued and outstanding common stock and indirectly, through Tradeweb Markets Inc., owned 40.0% of the economic interest in TWM LLC;</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5"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Refinitiv collectively owned 96,933,192 shares of the Company's Class B common stock and 22,988,329 shares of the Company's Class D common stock, representing 85.1% of the combined voting power of Tradeweb Markets Inc.’s issued and outstanding common stock and directly and indirectly, through Tradeweb Markets Inc., owned 52.7% of the economic interest in TWM LLC; and</w:t>
      </w:r>
    </w:p>
    <w:p>
      <w:pPr>
        <w:spacing w:after="0" w:line="183" w:lineRule="exact"/>
        <w:rPr>
          <w:rFonts w:ascii="Arial" w:cs="Arial" w:eastAsia="Arial" w:hAnsi="Arial"/>
          <w:sz w:val="18"/>
          <w:szCs w:val="18"/>
          <w:color w:val="auto"/>
        </w:rPr>
      </w:pPr>
    </w:p>
    <w:p>
      <w:pPr>
        <w:ind w:left="660" w:right="80" w:hanging="328"/>
        <w:spacing w:after="0" w:line="311" w:lineRule="auto"/>
        <w:tabs>
          <w:tab w:leader="none" w:pos="6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Bank Stockholders that continue to own LLC Interests collectively owned 5,109,991 shares of the Company's Class C common stock and 11,285,182 shares of the Company's Class D common stock, representing 8.4% of the combined voting power of Tradeweb Markets Inc.’s issued and outstanding common stock and directly and indirectly, through Tradeweb Markets Inc., owned 7.2% of the economic interest in TWM LLC.</w:t>
      </w:r>
    </w:p>
    <w:p>
      <w:pPr>
        <w:spacing w:after="0" w:line="144" w:lineRule="exact"/>
        <w:rPr>
          <w:rFonts w:ascii="Arial" w:cs="Arial" w:eastAsia="Arial" w:hAnsi="Arial"/>
          <w:sz w:val="16"/>
          <w:szCs w:val="16"/>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consolidated financial statements. The non-controlling interests balance reported on the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6" w:name="page27"/>
    <w:bookmarkEnd w:id="26"/>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720" w:type="dxa"/>
            <w:vAlign w:val="bottom"/>
            <w:gridSpan w:val="4"/>
          </w:tcPr>
          <w:p>
            <w:pPr>
              <w:ind w:left="1220"/>
              <w:spacing w:after="0"/>
              <w:rPr>
                <w:sz w:val="20"/>
                <w:szCs w:val="20"/>
                <w:color w:val="auto"/>
              </w:rPr>
            </w:pPr>
            <w:r>
              <w:rPr>
                <w:rFonts w:ascii="Arial" w:cs="Arial" w:eastAsia="Arial" w:hAnsi="Arial"/>
                <w:sz w:val="14"/>
                <w:szCs w:val="14"/>
                <w:b w:val="1"/>
                <w:bCs w:val="1"/>
                <w:color w:val="auto"/>
              </w:rPr>
              <w:t>September 30, 2020</w:t>
            </w:r>
          </w:p>
        </w:tc>
        <w:tc>
          <w:tcPr>
            <w:tcW w:w="3600" w:type="dxa"/>
            <w:vAlign w:val="bottom"/>
            <w:gridSpan w:val="3"/>
          </w:tcPr>
          <w:p>
            <w:pPr>
              <w:jc w:val="right"/>
              <w:ind w:right="1117"/>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1800" w:type="dxa"/>
            <w:vAlign w:val="bottom"/>
            <w:tcBorders>
              <w:top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LLC</w:t>
            </w:r>
          </w:p>
        </w:tc>
        <w:tc>
          <w:tcPr>
            <w:tcW w:w="1820" w:type="dxa"/>
            <w:vAlign w:val="bottom"/>
            <w:tcBorders>
              <w:top w:val="single" w:sz="8" w:color="auto"/>
            </w:tcBorders>
          </w:tcPr>
          <w:p>
            <w:pPr>
              <w:jc w:val="right"/>
              <w:ind w:right="497"/>
              <w:spacing w:after="0" w:line="135"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1"/>
                <w:szCs w:val="11"/>
                <w:color w:val="auto"/>
              </w:rPr>
            </w:pPr>
          </w:p>
        </w:tc>
        <w:tc>
          <w:tcPr>
            <w:tcW w:w="1780" w:type="dxa"/>
            <w:vAlign w:val="bottom"/>
            <w:tcBorders>
              <w:top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LLC</w:t>
            </w:r>
          </w:p>
        </w:tc>
        <w:tc>
          <w:tcPr>
            <w:tcW w:w="1820" w:type="dxa"/>
            <w:vAlign w:val="bottom"/>
            <w:tcBorders>
              <w:top w:val="single" w:sz="8" w:color="auto"/>
            </w:tcBorders>
          </w:tcPr>
          <w:p>
            <w:pPr>
              <w:jc w:val="right"/>
              <w:ind w:right="497"/>
              <w:spacing w:after="0" w:line="135" w:lineRule="exact"/>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88"/>
        </w:trPr>
        <w:tc>
          <w:tcPr>
            <w:tcW w:w="392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Interests</w:t>
            </w:r>
          </w:p>
        </w:tc>
        <w:tc>
          <w:tcPr>
            <w:tcW w:w="1820" w:type="dxa"/>
            <w:vAlign w:val="bottom"/>
          </w:tcPr>
          <w:p>
            <w:pPr>
              <w:jc w:val="right"/>
              <w:ind w:right="75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Interests</w:t>
            </w:r>
          </w:p>
        </w:tc>
        <w:tc>
          <w:tcPr>
            <w:tcW w:w="1820" w:type="dxa"/>
            <w:vAlign w:val="bottom"/>
          </w:tcPr>
          <w:p>
            <w:pPr>
              <w:jc w:val="right"/>
              <w:ind w:right="7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7"/>
        </w:trPr>
        <w:tc>
          <w:tcPr>
            <w:tcW w:w="392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w w:val="93"/>
              </w:rPr>
              <w:t>Number of LLC Interests held by Tradeweb Markets</w:t>
            </w:r>
          </w:p>
        </w:tc>
        <w:tc>
          <w:tcPr>
            <w:tcW w:w="1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187,918,774</w:t>
            </w:r>
          </w:p>
        </w:tc>
        <w:tc>
          <w:tcPr>
            <w:tcW w:w="10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82.6 %</w:t>
            </w:r>
          </w:p>
        </w:tc>
        <w:tc>
          <w:tcPr>
            <w:tcW w:w="10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142,942,945</w:t>
            </w:r>
          </w:p>
        </w:tc>
        <w:tc>
          <w:tcPr>
            <w:tcW w:w="10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1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20"/>
              <w:spacing w:after="0" w:line="176" w:lineRule="exact"/>
              <w:rPr>
                <w:sz w:val="20"/>
                <w:szCs w:val="20"/>
                <w:color w:val="auto"/>
              </w:rPr>
            </w:pPr>
            <w:r>
              <w:rPr>
                <w:rFonts w:ascii="Arial" w:cs="Arial" w:eastAsia="Arial" w:hAnsi="Arial"/>
                <w:sz w:val="18"/>
                <w:szCs w:val="18"/>
                <w:color w:val="auto"/>
              </w:rPr>
              <w:t>Number of LLC Interests held by non-controlling</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39,513,246</w:t>
            </w:r>
          </w:p>
        </w:tc>
        <w:tc>
          <w:tcPr>
            <w:tcW w:w="10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79,289,005</w:t>
            </w:r>
          </w:p>
        </w:tc>
        <w:tc>
          <w:tcPr>
            <w:tcW w:w="10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1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LLC Interests outstanding</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227,432,020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222,231,950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 See Note 8 – Stockholders’ Equity.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on equity due to changes in the Corporation’s ownership interest in Tradeweb Markets LLC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214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3"/>
        </w:trPr>
        <w:tc>
          <w:tcPr>
            <w:tcW w:w="6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Non-Controlling</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53"/>
        </w:trPr>
        <w:tc>
          <w:tcPr>
            <w:tcW w:w="63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36,812</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42,440</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non-controlling interests as a result of ownership changes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4"/>
              </w:rPr>
              <w:t>(1,478)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(1,607,456)</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4"/>
              </w:rPr>
              <w:t>(1,478)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(1,607,456)</w:t>
            </w:r>
          </w:p>
        </w:tc>
        <w:tc>
          <w:tcPr>
            <w:tcW w:w="0" w:type="dxa"/>
            <w:vAlign w:val="bottom"/>
          </w:tcPr>
          <w:p>
            <w:pPr>
              <w:spacing w:after="0"/>
              <w:rPr>
                <w:sz w:val="1"/>
                <w:szCs w:val="1"/>
                <w:color w:val="auto"/>
              </w:rPr>
            </w:pPr>
          </w:p>
        </w:tc>
      </w:tr>
      <w:tr>
        <w:trPr>
          <w:trHeight w:val="156"/>
        </w:trPr>
        <w:tc>
          <w:tcPr>
            <w:tcW w:w="63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Change from net income attributable to Tradeweb Markets Inc. and transfers (to)</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35,334</w:t>
            </w:r>
          </w:p>
        </w:tc>
        <w:tc>
          <w:tcPr>
            <w:tcW w:w="8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29,685</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534,575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(1,565,016)</w:t>
            </w:r>
          </w:p>
        </w:tc>
        <w:tc>
          <w:tcPr>
            <w:tcW w:w="0" w:type="dxa"/>
            <w:vAlign w:val="bottom"/>
          </w:tcPr>
          <w:p>
            <w:pPr>
              <w:spacing w:after="0"/>
              <w:rPr>
                <w:sz w:val="1"/>
                <w:szCs w:val="1"/>
                <w:color w:val="auto"/>
              </w:rPr>
            </w:pPr>
          </w:p>
        </w:tc>
      </w:tr>
      <w:tr>
        <w:trPr>
          <w:trHeight w:val="222"/>
        </w:trPr>
        <w:tc>
          <w:tcPr>
            <w:tcW w:w="632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from non-controlling interests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Stock-Based Compensation Plans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Omnibus Equity Plan, the Company is authorized to issue up to 8,841,864 new shares of Class A common stock to employees, officers and non-employee directors. Under this plan, the Company may grant awards in respect of shares of Class A common stock, including performance-based restricted share units (“PRSUs”), stock options, restricted stock units (“RSUs”) and dividend equivalent rights. The awards may have performance-based and time-based vesting conditions. Stock options have a maximum contractual term of 10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PRSUs (Equity-Settled)</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Equity-settled PRSUs are promises to issue shares of Class A common stock at the end of a three-year cliff vesting period. The fair value of the equity-settled PRSUs is calculated on the grant date using the stock price of the Class A common stock. The number of shares a participant will receive upon vesting is determined in part based on a performance modifier, which is adjusted in accordance with the financial performance of the Company in the grant year. The performance modifier may vary between 0% (minimum) and 200% (maximum) of the target (100%) award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equity-settled PRSUs of the Company: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8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w w:val="96"/>
              </w:rPr>
              <w:t>Three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6"/>
                <w:szCs w:val="16"/>
                <w:color w:val="auto"/>
              </w:rPr>
            </w:pPr>
          </w:p>
        </w:tc>
      </w:tr>
      <w:tr>
        <w:trPr>
          <w:trHeight w:val="194"/>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9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PRSUs (Equity-Settled)</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27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PRSUs (equity-settled) granted</w:t>
            </w:r>
          </w:p>
        </w:tc>
        <w:tc>
          <w:tcPr>
            <w:tcW w:w="10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360,609</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776,603</w:t>
            </w:r>
          </w:p>
        </w:tc>
      </w:tr>
      <w:tr>
        <w:trPr>
          <w:trHeight w:val="27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Weighted-average grant-date fair value</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38.87</w:t>
            </w:r>
          </w:p>
        </w:tc>
        <w:tc>
          <w:tcPr>
            <w:tcW w:w="80" w:type="dxa"/>
            <w:vAlign w:val="bottom"/>
          </w:tcPr>
          <w:p>
            <w:pPr>
              <w:spacing w:after="0"/>
              <w:rPr>
                <w:sz w:val="23"/>
                <w:szCs w:val="23"/>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21.65</w:t>
            </w: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PRSUs (equity-settled) compensation expense (in</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thousands)</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19,577</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18,807</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amount of unrecognized compensation expense for equity-settled PRSUs is $36.0 million, which is expected to be recognized over a weighted-average period of 1.74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PRSUs (Cash-Settled)</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previously granted cash-settled PRSUs, some of which are still outstanding and are accounted for as liability awards. The Company measures the cost of employee services received in exchange for the award based on the fair value of the Company and the value of accumulated dividend rights associated with each award. The fair value of that award is remeasured subsequently at each reporting date through to settlement. Changes in the award's fair value during the requisite service period is recognized as compensation cost over that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cash-settled PRSUs: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6"/>
                <w:szCs w:val="16"/>
                <w:color w:val="auto"/>
              </w:rPr>
            </w:pPr>
          </w:p>
        </w:tc>
      </w:tr>
      <w:tr>
        <w:trPr>
          <w:trHeight w:val="195"/>
        </w:trPr>
        <w:tc>
          <w:tcPr>
            <w:tcW w:w="3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96"/>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PRSUs (Cash-Settled)</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 (cash-settled) granted</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Weighted-average grant-date fair value</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PRSUs (cash-settled) compensation expense</w:t>
            </w:r>
          </w:p>
        </w:tc>
        <w:tc>
          <w:tcPr>
            <w:tcW w:w="122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(in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amount of unrecognized compensation expense is $0.1 million, which is expected to be recognized over a weighted-average period of 0.25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Prior to the IPO, the Company awarded options to management and other employees under the Option Plan. Each option award vests one half based solely on the passage of time and one half only if the Company achieves certain performance targets. The time vesting portion of the options has a four-year graded vesting schedule, with accelerated vesting for time-based options granted prior to the IPO with vesting dates of January 1, 2021 and 2022 upon the completion of the IPO. In the post-IPO period, the Company awarded options under the Option Plan with a four year-graded vesting schedule. One half of these awards vest solely based on the passage of time, without accelerated vesting, and one half vest only if the Company achieves certain performance targets. The Company may elect to net-settle exercised options by reducing the shares of Class A common stock to be issued upon such exercise by the number of shares of Class A common stock having a fair market value on the date of exercise equal to the aggregate option price. The Company can also elect, upon exercise, to reduce the shares to be issued by the number of shares having a fair market value on the date of exercise equal to employee payroll taxes. The Company may then pay these employee payroll taxes from the Company’s cash.</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accounting for the options issued under the Option Plan, the Company measures and recognizes compensation expense for all awards based on their estimated fair values measured as of the grant date. These options are exercisable only any time following the closing of an initial public offering or during a 15-day period following a change in control of the Company (and certain other sales of equity by the Company’s shareholders). As a result, expense recognition commenced upon the completion of the IPO in April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options: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6"/>
                <w:szCs w:val="16"/>
                <w:color w:val="auto"/>
              </w:rPr>
            </w:pPr>
          </w:p>
        </w:tc>
      </w:tr>
      <w:tr>
        <w:trPr>
          <w:trHeight w:val="195"/>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88"/>
        </w:trPr>
        <w:tc>
          <w:tcPr>
            <w:tcW w:w="408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224"/>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Options granted</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386,115</w:t>
            </w: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Weighted-average grant-date fair value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 compensation expense (in thousands)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22,398</w:t>
            </w:r>
          </w:p>
        </w:tc>
      </w:tr>
    </w:tbl>
    <w:p>
      <w:pPr>
        <w:spacing w:after="0" w:line="20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amount of unrecognized compensation expense for options is $4.4 million, which is expected to be recognized over a weighted-average period of 1.83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2020, the Company expanded its restricted stock unit (“RSU”) grants under the Omnibus Equity Plan to employees. Previously, RSU grants were limited to non-employee directors. RSUs are promises to issue shares of Class A common stock at the end of a vesting period. RSUs granted to employees vest one-third each year over a three-year period. RSUs granted to non-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employee directors vest after one year. The fair value of the RSUs is calculated on the grant date using the stock price of the Class A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RSUs: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6"/>
                <w:szCs w:val="16"/>
                <w:color w:val="auto"/>
              </w:rPr>
            </w:pPr>
          </w:p>
        </w:tc>
      </w:tr>
      <w:tr>
        <w:trPr>
          <w:trHeight w:val="195"/>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88"/>
        </w:trPr>
        <w:tc>
          <w:tcPr>
            <w:tcW w:w="4080" w:type="dxa"/>
            <w:vAlign w:val="bottom"/>
            <w:gridSpan w:val="2"/>
          </w:tcPr>
          <w:p>
            <w:pPr>
              <w:ind w:left="20"/>
              <w:spacing w:after="0"/>
              <w:rPr>
                <w:sz w:val="20"/>
                <w:szCs w:val="20"/>
                <w:color w:val="auto"/>
              </w:rPr>
            </w:pPr>
            <w:r>
              <w:rPr>
                <w:rFonts w:ascii="Arial" w:cs="Arial" w:eastAsia="Arial" w:hAnsi="Arial"/>
                <w:sz w:val="14"/>
                <w:szCs w:val="14"/>
                <w:b w:val="1"/>
                <w:bCs w:val="1"/>
                <w:color w:val="auto"/>
              </w:rPr>
              <w:t>RSUs</w:t>
            </w:r>
          </w:p>
        </w:tc>
        <w:tc>
          <w:tcPr>
            <w:tcW w:w="420" w:type="dxa"/>
            <w:vAlign w:val="bottom"/>
          </w:tcPr>
          <w:p>
            <w:pPr>
              <w:spacing w:after="0"/>
              <w:rPr>
                <w:sz w:val="16"/>
                <w:szCs w:val="16"/>
                <w:color w:val="auto"/>
              </w:rPr>
            </w:pPr>
          </w:p>
        </w:tc>
        <w:tc>
          <w:tcPr>
            <w:tcW w:w="1300" w:type="dxa"/>
            <w:vAlign w:val="bottom"/>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224"/>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RSUs granted</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493,878</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Weighted-average grant-date fair value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38.91</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RSUs compensation expense (in thousands)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amount of unrecognized compensation expense is $15.6 million, which is expected to be recognized over a weighted-average period of 2.44 years.</w:t>
      </w:r>
    </w:p>
    <w:p>
      <w:pPr>
        <w:spacing w:after="0" w:line="244"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enters into transactions with Refinitiv and its affiliates which are considered to be related party transactions. The Company also enters into transactions with the Bank Stockholders and their respective affiliates. Prior to the Reorganization Transactions, the Bank Stockholders were collectively considered to be related parties of the Company. As a result of the Reorganization Transactions, they are no longer considered to be related parties. As a result, the related party transactions listed below include transactions with affiliates of Refinitiv for all periods presented and only includes transactions with affiliates of the Bank Stockholders for pre-IPO periods.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At September 30, 2020 and December 31, 2019, the following balances with such affiliates were included in the consolidated statements of financial condition in the following line items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 2019</w:t>
            </w:r>
          </w:p>
        </w:tc>
      </w:tr>
      <w:tr>
        <w:trPr>
          <w:trHeight w:val="256"/>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2,525</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4,733</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affiliates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balances with such affiliates were included in the consolidated statements of income in the following line items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3"/>
          </w:tcPr>
          <w:p>
            <w:pPr>
              <w:jc w:val="center"/>
              <w:ind w:left="595"/>
              <w:spacing w:after="0"/>
              <w:rPr>
                <w:sz w:val="20"/>
                <w:szCs w:val="20"/>
                <w:color w:val="auto"/>
              </w:rPr>
            </w:pPr>
            <w:r>
              <w:rPr>
                <w:rFonts w:ascii="Arial" w:cs="Arial" w:eastAsia="Arial" w:hAnsi="Arial"/>
                <w:sz w:val="14"/>
                <w:szCs w:val="14"/>
                <w:b w:val="1"/>
                <w:bCs w:val="1"/>
                <w:color w:val="auto"/>
                <w:w w:val="94"/>
              </w:rPr>
              <w:t>Nine Months Ended</w:t>
            </w:r>
          </w:p>
        </w:tc>
        <w:tc>
          <w:tcPr>
            <w:tcW w:w="1080" w:type="dxa"/>
            <w:vAlign w:val="bottom"/>
          </w:tcPr>
          <w:p>
            <w:pPr>
              <w:spacing w:after="0"/>
              <w:rPr>
                <w:sz w:val="16"/>
                <w:szCs w:val="16"/>
                <w:color w:val="auto"/>
              </w:rPr>
            </w:pPr>
          </w:p>
        </w:tc>
      </w:tr>
      <w:tr>
        <w:trPr>
          <w:trHeight w:val="195"/>
        </w:trPr>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tcBorders>
              <w:bottom w:val="single" w:sz="8" w:color="auto"/>
            </w:tcBorders>
          </w:tcPr>
          <w:p>
            <w:pPr>
              <w:spacing w:after="0"/>
              <w:rPr>
                <w:sz w:val="16"/>
                <w:szCs w:val="16"/>
                <w:color w:val="auto"/>
              </w:rPr>
            </w:pPr>
          </w:p>
        </w:tc>
      </w:tr>
      <w:tr>
        <w:trPr>
          <w:trHeight w:val="187"/>
        </w:trPr>
        <w:tc>
          <w:tcPr>
            <w:tcW w:w="14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r>
      <w:tr>
        <w:trPr>
          <w:trHeight w:val="211"/>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140" w:type="dxa"/>
            <w:vAlign w:val="bottom"/>
          </w:tcPr>
          <w:p>
            <w:pPr>
              <w:spacing w:after="0"/>
              <w:rPr>
                <w:sz w:val="23"/>
                <w:szCs w:val="23"/>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 xml:space="preserve">Transaction fees </w:t>
            </w:r>
            <w:r>
              <w:rPr>
                <w:rFonts w:ascii="Arial" w:cs="Arial" w:eastAsia="Arial" w:hAnsi="Arial"/>
                <w:sz w:val="23"/>
                <w:szCs w:val="23"/>
                <w:color w:val="auto"/>
                <w:vertAlign w:val="superscript"/>
              </w:rPr>
              <w:t>(1)</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1420" w:type="dxa"/>
            <w:vAlign w:val="bottom"/>
            <w:gridSpan w:val="3"/>
          </w:tcPr>
          <w:p>
            <w:pPr>
              <w:ind w:left="400"/>
              <w:spacing w:after="0"/>
              <w:rPr>
                <w:sz w:val="20"/>
                <w:szCs w:val="20"/>
                <w:color w:val="auto"/>
              </w:rPr>
            </w:pPr>
            <w:r>
              <w:rPr>
                <w:rFonts w:ascii="Arial" w:cs="Arial" w:eastAsia="Arial" w:hAnsi="Arial"/>
                <w:sz w:val="18"/>
                <w:szCs w:val="18"/>
                <w:color w:val="auto"/>
              </w:rPr>
              <w:t>—  $</w:t>
            </w:r>
          </w:p>
        </w:tc>
        <w:tc>
          <w:tcPr>
            <w:tcW w:w="156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2040" w:type="dxa"/>
            <w:vAlign w:val="bottom"/>
            <w:gridSpan w:val="3"/>
          </w:tcPr>
          <w:p>
            <w:pPr>
              <w:ind w:left="106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59,643</w:t>
            </w:r>
          </w:p>
        </w:tc>
      </w:tr>
      <w:tr>
        <w:trPr>
          <w:trHeight w:val="270"/>
        </w:trPr>
        <w:tc>
          <w:tcPr>
            <w:tcW w:w="140" w:type="dxa"/>
            <w:vAlign w:val="bottom"/>
            <w:shd w:val="clear" w:color="auto" w:fill="CCEEFF"/>
          </w:tcPr>
          <w:p>
            <w:pPr>
              <w:spacing w:after="0"/>
              <w:rPr>
                <w:sz w:val="23"/>
                <w:szCs w:val="23"/>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1060" w:type="dxa"/>
            <w:vAlign w:val="bottom"/>
            <w:shd w:val="clear" w:color="auto" w:fill="CCEEFF"/>
          </w:tcPr>
          <w:p>
            <w:pPr>
              <w:spacing w:after="0"/>
              <w:rPr>
                <w:sz w:val="23"/>
                <w:szCs w:val="23"/>
                <w:color w:val="auto"/>
              </w:rPr>
            </w:pPr>
          </w:p>
        </w:tc>
        <w:tc>
          <w:tcPr>
            <w:tcW w:w="14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r>
      <w:tr>
        <w:trPr>
          <w:trHeight w:val="270"/>
        </w:trPr>
        <w:tc>
          <w:tcPr>
            <w:tcW w:w="140" w:type="dxa"/>
            <w:vAlign w:val="bottom"/>
          </w:tcPr>
          <w:p>
            <w:pPr>
              <w:spacing w:after="0"/>
              <w:rPr>
                <w:sz w:val="23"/>
                <w:szCs w:val="23"/>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 xml:space="preserve">Commissions </w:t>
            </w:r>
            <w:r>
              <w:rPr>
                <w:rFonts w:ascii="Arial" w:cs="Arial" w:eastAsia="Arial" w:hAnsi="Arial"/>
                <w:sz w:val="23"/>
                <w:szCs w:val="23"/>
                <w:color w:val="auto"/>
                <w:vertAlign w:val="superscript"/>
              </w:rPr>
              <w:t>(1)</w:t>
            </w:r>
          </w:p>
        </w:tc>
        <w:tc>
          <w:tcPr>
            <w:tcW w:w="1060" w:type="dxa"/>
            <w:vAlign w:val="bottom"/>
          </w:tcPr>
          <w:p>
            <w:pPr>
              <w:spacing w:after="0"/>
              <w:rPr>
                <w:sz w:val="23"/>
                <w:szCs w:val="23"/>
                <w:color w:val="auto"/>
              </w:rPr>
            </w:pPr>
          </w:p>
        </w:tc>
        <w:tc>
          <w:tcPr>
            <w:tcW w:w="142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16,186</w:t>
            </w:r>
          </w:p>
        </w:tc>
      </w:tr>
      <w:tr>
        <w:trPr>
          <w:trHeight w:val="270"/>
        </w:trPr>
        <w:tc>
          <w:tcPr>
            <w:tcW w:w="140" w:type="dxa"/>
            <w:vAlign w:val="bottom"/>
            <w:shd w:val="clear" w:color="auto" w:fill="CCEEFF"/>
          </w:tcPr>
          <w:p>
            <w:pPr>
              <w:spacing w:after="0"/>
              <w:rPr>
                <w:sz w:val="23"/>
                <w:szCs w:val="23"/>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(2)</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43,466</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40,252</w:t>
            </w:r>
          </w:p>
        </w:tc>
      </w:tr>
      <w:tr>
        <w:trPr>
          <w:trHeight w:val="270"/>
        </w:trPr>
        <w:tc>
          <w:tcPr>
            <w:tcW w:w="408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Income and Expenses:</w:t>
            </w:r>
            <w:r>
              <w:rPr>
                <w:rFonts w:ascii="Arial" w:cs="Arial" w:eastAsia="Arial" w:hAnsi="Arial"/>
                <w:sz w:val="23"/>
                <w:szCs w:val="23"/>
                <w:b w:val="1"/>
                <w:bCs w:val="1"/>
                <w:color w:val="auto"/>
                <w:vertAlign w:val="superscript"/>
              </w:rPr>
              <w:t>(3)</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140" w:type="dxa"/>
            <w:vAlign w:val="bottom"/>
            <w:shd w:val="clear" w:color="auto" w:fill="CCEEFF"/>
          </w:tcPr>
          <w:p>
            <w:pPr>
              <w:spacing w:after="0"/>
              <w:rPr>
                <w:sz w:val="23"/>
                <w:szCs w:val="23"/>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spacing w:after="0"/>
              <w:rPr>
                <w:sz w:val="23"/>
                <w:szCs w:val="23"/>
                <w:color w:val="auto"/>
              </w:rPr>
            </w:pPr>
          </w:p>
        </w:tc>
        <w:tc>
          <w:tcPr>
            <w:tcW w:w="14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03"/>
        </w:trPr>
        <w:tc>
          <w:tcPr>
            <w:tcW w:w="140" w:type="dxa"/>
            <w:vAlign w:val="bottom"/>
          </w:tcPr>
          <w:p>
            <w:pPr>
              <w:spacing w:after="0"/>
              <w:rPr>
                <w:sz w:val="17"/>
                <w:szCs w:val="17"/>
                <w:color w:val="auto"/>
              </w:rPr>
            </w:pPr>
          </w:p>
        </w:tc>
        <w:tc>
          <w:tcPr>
            <w:tcW w:w="3940" w:type="dxa"/>
            <w:vAlign w:val="bottom"/>
            <w:gridSpan w:val="2"/>
          </w:tcPr>
          <w:p>
            <w:pPr>
              <w:spacing w:after="0" w:line="202" w:lineRule="exact"/>
              <w:rPr>
                <w:sz w:val="20"/>
                <w:szCs w:val="20"/>
                <w:color w:val="auto"/>
              </w:rPr>
            </w:pPr>
            <w:r>
              <w:rPr>
                <w:rFonts w:ascii="Arial" w:cs="Arial" w:eastAsia="Arial" w:hAnsi="Arial"/>
                <w:sz w:val="18"/>
                <w:szCs w:val="18"/>
                <w:color w:val="auto"/>
              </w:rPr>
              <w:t xml:space="preserve">Shared Services Fees: </w:t>
            </w:r>
            <w:r>
              <w:rPr>
                <w:rFonts w:ascii="Arial" w:cs="Arial" w:eastAsia="Arial" w:hAnsi="Arial"/>
                <w:sz w:val="23"/>
                <w:szCs w:val="23"/>
                <w:color w:val="auto"/>
                <w:vertAlign w:val="superscript"/>
              </w:rPr>
              <w:t>(4)</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0"/>
        </w:trPr>
        <w:tc>
          <w:tcPr>
            <w:tcW w:w="140" w:type="dxa"/>
            <w:vAlign w:val="bottom"/>
            <w:shd w:val="clear" w:color="auto" w:fill="CCEEFF"/>
          </w:tcPr>
          <w:p>
            <w:pPr>
              <w:spacing w:after="0"/>
              <w:rPr>
                <w:sz w:val="23"/>
                <w:szCs w:val="23"/>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70"/>
        </w:trPr>
        <w:tc>
          <w:tcPr>
            <w:tcW w:w="140" w:type="dxa"/>
            <w:vAlign w:val="bottom"/>
          </w:tcPr>
          <w:p>
            <w:pPr>
              <w:spacing w:after="0"/>
              <w:rPr>
                <w:sz w:val="23"/>
                <w:szCs w:val="23"/>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3"/>
                <w:szCs w:val="23"/>
                <w:color w:val="auto"/>
              </w:rPr>
            </w:pPr>
          </w:p>
        </w:tc>
        <w:tc>
          <w:tcPr>
            <w:tcW w:w="142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(596)</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0"/>
        </w:trPr>
        <w:tc>
          <w:tcPr>
            <w:tcW w:w="140" w:type="dxa"/>
            <w:vAlign w:val="bottom"/>
            <w:shd w:val="clear" w:color="auto" w:fill="CCEEFF"/>
          </w:tcPr>
          <w:p>
            <w:pPr>
              <w:spacing w:after="0"/>
              <w:rPr>
                <w:sz w:val="23"/>
                <w:szCs w:val="23"/>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w:t>
            </w:r>
          </w:p>
        </w:tc>
        <w:tc>
          <w:tcPr>
            <w:tcW w:w="1060" w:type="dxa"/>
            <w:vAlign w:val="bottom"/>
            <w:shd w:val="clear" w:color="auto" w:fill="CCEEFF"/>
          </w:tcPr>
          <w:p>
            <w:pPr>
              <w:spacing w:after="0"/>
              <w:rPr>
                <w:sz w:val="23"/>
                <w:szCs w:val="23"/>
                <w:color w:val="auto"/>
              </w:rPr>
            </w:pPr>
          </w:p>
        </w:tc>
        <w:tc>
          <w:tcPr>
            <w:tcW w:w="142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bl>
    <w:p>
      <w:pPr>
        <w:spacing w:after="0" w:line="7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pre-IPO periods, represents fees and commissions from affiliates of the Bank Stockholders.</w:t>
      </w:r>
    </w:p>
    <w:p>
      <w:pPr>
        <w:spacing w:after="0" w:line="13"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pre-IPO periods, represents interest income from money market funds invested with and savings accounts deposited with affiliates of the Bank Stockholders.</w:t>
      </w:r>
    </w:p>
    <w:p>
      <w:pPr>
        <w:spacing w:after="0" w:line="1" w:lineRule="exact"/>
        <w:rPr>
          <w:rFonts w:ascii="Arial" w:cs="Arial" w:eastAsia="Arial" w:hAnsi="Arial"/>
          <w:sz w:val="14"/>
          <w:szCs w:val="14"/>
          <w:color w:val="auto"/>
        </w:rPr>
      </w:pPr>
    </w:p>
    <w:p>
      <w:pPr>
        <w:ind w:left="340" w:right="760" w:hanging="332"/>
        <w:spacing w:after="0" w:line="255"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maintains a shared services agreement with Refinitiv. Under the terms of the agreement, Refinitiv provides the Company with certain real estate, payroll, benefits administration, insurance, content, financial reporting and tax support.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reimburses affiliates of Refinitiv for expenses paid on behalf of the Company for various services including salaries and bonuses, marketing, professional fees, communications, data costs and certain other administrative services. For the three and nine months ended September 30, 2020, the Company reimbursed such affiliates a net amount of approximately $0.1 million and $1.3 million, respectively, for these expenses. For the three and nine months ended September 30, 2019, the Company reimbursed such affiliates approximately $1.2 million and $5.5 million, respectively, for these expenses.</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engaged Blackstone Advisory Partners L.P., an affiliate of Blackstone, to provide certain financial consulting services in connection with the IPO, the October 2019 follow-on offering and the April 2020 follow-on offering for fees of $1.0 million, $0.5 million, and $0.5 million, respectively, which fees, with respect to the October 2019 follow-on offering and the April 2020 follow-on offering, were reimbursed by the underwriters. $2.0 million is included in additional paid-in capital on the September 30, 2020 consolidated statement of financial condition related to these offering costs.</w:t>
      </w:r>
    </w:p>
    <w:p>
      <w:pPr>
        <w:spacing w:after="0" w:line="1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Certain financial instruments that are carried on the consolidated statements of financial condition are carried at amounts that approximate fair value. These instruments include receivables from/payables to brokers and dealers and clearing organizations, deposits with clearing organizations and accounts receivable.</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instruments that are classified within level 2 or level 3 of the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active Markets</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Identical</w:t>
            </w: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Unobservable</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Successor</w:t>
            </w:r>
          </w:p>
        </w:tc>
        <w:tc>
          <w:tcPr>
            <w:tcW w:w="180" w:type="dxa"/>
            <w:vAlign w:val="bottom"/>
          </w:tcPr>
          <w:p>
            <w:pPr>
              <w:spacing w:after="0"/>
              <w:rPr>
                <w:sz w:val="16"/>
                <w:szCs w:val="16"/>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4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As of September 30, 2020</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32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585,435</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585,435</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585,435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of December 31, 2019</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219,158</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219,158</w:t>
            </w: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219,158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Credit Risk</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65"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4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From time to time, the Company enters into agreements to repurchase to facilitate the clearance of securities.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Fixed Income Clearing Corporation (“FICC”). The FICC requires dealer netting members to maintain a minimum of $25 million in equity capital and $10 million in excess net capital (as defined in Rule 15c3-1 under the Securities Exchange Act of 1934). The FICC operates a continuous net settlement system, whereby as trades are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0" w:name="page31"/>
    <w:bookmarkEnd w:id="30"/>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submitted and compared the FICC becomes the counterparty. The FICC also marks to market collateral on a daily basis, requiring member firms to pay or receive margin amounts as part of their daily funds settlement.</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may be exposed to credit risk regarding its receivables, which are primarily receivables from financial institutions, including investment managers and broker-dealers. At September 30, 2020, the Company maintained an allowance for credit losses of $0.1 million with regard to these receivables. At December 31, 2019, the allowance for doubtful accounts was $0.2 million.</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The Company has evaluated its loss assumptions as a result of the COVID-19 pandemic and determined the current estimate of expected credit losses remains reasonable due to continued strong collections and no deterioration in our accounts receivable aging.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Once determined uncollectable, aged balances are written off as credit loss expense. This determination is based on careful analysis of individual receivables and aging schedules, which are disaggregated based on the risk characteristics described above. Based on current policy, this generally occurs when the receivable hits 360 days past due.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activity in the allowance for credit losses for accounts receivable for the period ended September 30,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13"/>
              <w:spacing w:after="0"/>
              <w:rPr>
                <w:sz w:val="20"/>
                <w:szCs w:val="20"/>
                <w:color w:val="auto"/>
              </w:rPr>
            </w:pPr>
            <w:r>
              <w:rPr>
                <w:rFonts w:ascii="Arial" w:cs="Arial" w:eastAsia="Arial" w:hAnsi="Arial"/>
                <w:sz w:val="14"/>
                <w:szCs w:val="14"/>
                <w:b w:val="1"/>
                <w:bCs w:val="1"/>
                <w:color w:val="auto"/>
              </w:rPr>
              <w:t>Amount</w:t>
            </w:r>
          </w:p>
        </w:tc>
      </w:tr>
      <w:tr>
        <w:trPr>
          <w:trHeight w:val="25"/>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prior to adoption of ASC 326 - December 31,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9940" w:type="dxa"/>
            <w:vAlign w:val="bottom"/>
          </w:tcPr>
          <w:p>
            <w:pPr>
              <w:ind w:left="20"/>
              <w:spacing w:after="0"/>
              <w:rPr>
                <w:sz w:val="20"/>
                <w:szCs w:val="20"/>
                <w:color w:val="auto"/>
              </w:rPr>
            </w:pPr>
            <w:r>
              <w:rPr>
                <w:rFonts w:ascii="Arial" w:cs="Arial" w:eastAsia="Arial" w:hAnsi="Arial"/>
                <w:sz w:val="18"/>
                <w:szCs w:val="18"/>
                <w:color w:val="auto"/>
              </w:rPr>
              <w:t>Current-period provision for expected credit losses</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0"/>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 collected</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 September 30, 2020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has been named as a defendant, along with other financial institutions, in antitrust class actions (consolidated into two actions) relating to trading practices in United States Treasury securities auctions. The Company has filed a motion to dismiss the actions, believes it has substantial defenses to the other plaintiff's claims and intends to defend itself vigorously. Additionally, the Company was dismissed from a class action relating to an interest rate swaps matter in 2017, but that matter continues against the remaining defendant financial institutions.</w:t>
      </w:r>
    </w:p>
    <w:p>
      <w:pPr>
        <w:spacing w:after="0" w:line="17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predict the timing or outcomes of, or estimate the amount of loss, or range of loss, if any, related to its pending legal proceedings, including the matter described above, and therefore does not have any contingency reserves established for any of these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April 8, 2019, the Company entered into a five year, $500 million senior secured revolving credit facility (“Credit Facility”) with a syndicate of banks. The Credit Facility provides additional borrowing capacity to be used to fund ongoing working capital needs, letters of credit and for general corporate purposes, including potential future acquisitions and expansions.</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November 7, 2019, TWM LLC entered into an amendment to the Revolving Credit Facility among TWM LLC and the lenders party thereto, which revised the Revolving Credit Facility to permit the pending LSEG Transaction. The amendment did not otherwise impact the terms of the Revolving Credit Facility and did not impact the amount of borrowings available to TWM LLC under the Revolving Credit Facility.</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there were no amounts outstanding under the Credit Facility.</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April 2019, the Company completed the Reorganization Transactions and the IPO, which, among other things, resulted in the Corporation becoming the successor of TWM LLC for financial reporting purposes. As a result, earnings per share information for the pre-IPO period is not comparable to earnings per share information for the post-IPO period. Thus, earnings per share information is being presented separately for the pre-IPO and post-IPO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basic and diluted earnings per share calculations for Tradeweb Markets Inc. (post-IPO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6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95"/>
              </w:rPr>
              <w:t>Three Months Ended</w:t>
            </w:r>
          </w:p>
        </w:tc>
        <w:tc>
          <w:tcPr>
            <w:tcW w:w="2440" w:type="dxa"/>
            <w:vAlign w:val="bottom"/>
            <w:gridSpan w:val="3"/>
          </w:tcPr>
          <w:p>
            <w:pPr>
              <w:jc w:val="center"/>
              <w:ind w:left="1008"/>
              <w:spacing w:after="0"/>
              <w:rPr>
                <w:sz w:val="20"/>
                <w:szCs w:val="20"/>
                <w:color w:val="auto"/>
              </w:rPr>
            </w:pPr>
            <w:r>
              <w:rPr>
                <w:rFonts w:ascii="Arial" w:cs="Arial" w:eastAsia="Arial" w:hAnsi="Arial"/>
                <w:sz w:val="14"/>
                <w:szCs w:val="14"/>
                <w:b w:val="1"/>
                <w:bCs w:val="1"/>
                <w:color w:val="auto"/>
                <w:w w:val="94"/>
              </w:rPr>
              <w:t>Nine Months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6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w w:val="91"/>
              </w:rPr>
              <w:t>September 30,</w:t>
            </w:r>
          </w:p>
        </w:tc>
        <w:tc>
          <w:tcPr>
            <w:tcW w:w="2440" w:type="dxa"/>
            <w:vAlign w:val="bottom"/>
            <w:gridSpan w:val="3"/>
          </w:tcPr>
          <w:p>
            <w:pPr>
              <w:jc w:val="center"/>
              <w:ind w:left="1008"/>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7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5160" w:type="dxa"/>
            <w:vAlign w:val="bottom"/>
            <w:gridSpan w:val="3"/>
          </w:tcPr>
          <w:p>
            <w:pPr>
              <w:ind w:left="20"/>
              <w:spacing w:after="0"/>
              <w:rPr>
                <w:sz w:val="20"/>
                <w:szCs w:val="20"/>
                <w:color w:val="auto"/>
              </w:rPr>
            </w:pPr>
            <w:r>
              <w:rPr>
                <w:rFonts w:ascii="Arial" w:cs="Arial" w:eastAsia="Arial" w:hAnsi="Arial"/>
                <w:sz w:val="14"/>
                <w:szCs w:val="14"/>
                <w:b w:val="1"/>
                <w:bCs w:val="1"/>
                <w:color w:val="auto"/>
              </w:rPr>
              <w:t>EPS: Post-IPO net income attributable to Tradeweb Markets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6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60" w:type="dxa"/>
            <w:vAlign w:val="bottom"/>
            <w:gridSpan w:val="5"/>
            <w:vMerge w:val="continue"/>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Numerator: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Post-IPO net income attributable to Tradeweb Markets</w:t>
      </w:r>
    </w:p>
    <w:p>
      <w:pPr>
        <w:spacing w:after="0" w:line="35" w:lineRule="exact"/>
        <w:rPr>
          <w:sz w:val="20"/>
          <w:szCs w:val="20"/>
          <w:color w:val="auto"/>
        </w:rPr>
      </w:pPr>
    </w:p>
    <w:p>
      <w:pPr>
        <w:ind w:left="20"/>
        <w:spacing w:after="0"/>
        <w:tabs>
          <w:tab w:leader="none" w:pos="4100" w:val="left"/>
        </w:tabs>
        <w:rPr>
          <w:sz w:val="20"/>
          <w:szCs w:val="20"/>
          <w:color w:val="auto"/>
        </w:rPr>
      </w:pPr>
      <w:r>
        <w:rPr>
          <w:rFonts w:ascii="Arial" w:cs="Arial" w:eastAsia="Arial" w:hAnsi="Arial"/>
          <w:sz w:val="13"/>
          <w:szCs w:val="13"/>
          <w:color w:val="auto"/>
        </w:rPr>
        <w:t>Inc.</w:t>
      </w:r>
      <w:r>
        <w:rPr>
          <w:sz w:val="20"/>
          <w:szCs w:val="20"/>
          <w:color w:val="auto"/>
        </w:rPr>
        <w:tab/>
      </w:r>
      <w:r>
        <w:rPr>
          <w:rFonts w:ascii="Arial" w:cs="Arial" w:eastAsia="Arial" w:hAnsi="Arial"/>
          <w:sz w:val="13"/>
          <w:szCs w:val="13"/>
          <w:color w:val="auto"/>
        </w:rPr>
        <w:t>$</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Denominator:</w:t>
      </w:r>
    </w:p>
    <w:p>
      <w:pPr>
        <w:spacing w:after="0" w:line="63" w:lineRule="exact"/>
        <w:rPr>
          <w:sz w:val="20"/>
          <w:szCs w:val="20"/>
          <w:color w:val="auto"/>
        </w:rPr>
      </w:pPr>
    </w:p>
    <w:p>
      <w:pPr>
        <w:ind w:left="20" w:right="680"/>
        <w:spacing w:after="0" w:line="277" w:lineRule="auto"/>
        <w:rPr>
          <w:sz w:val="20"/>
          <w:szCs w:val="20"/>
          <w:color w:val="auto"/>
        </w:rPr>
      </w:pPr>
      <w:r>
        <w:rPr>
          <w:rFonts w:ascii="Arial" w:cs="Arial" w:eastAsia="Arial" w:hAnsi="Arial"/>
          <w:sz w:val="18"/>
          <w:szCs w:val="18"/>
          <w:color w:val="auto"/>
        </w:rPr>
        <w:t>Weighted average shares of Class A and Class B common stock outstanding - Basic</w:t>
      </w:r>
    </w:p>
    <w:p>
      <w:pPr>
        <w:spacing w:after="0" w:line="8" w:lineRule="exact"/>
        <w:rPr>
          <w:sz w:val="20"/>
          <w:szCs w:val="20"/>
          <w:color w:val="auto"/>
        </w:rPr>
      </w:pPr>
    </w:p>
    <w:p>
      <w:pPr>
        <w:ind w:left="140" w:right="1220"/>
        <w:spacing w:after="0" w:line="315" w:lineRule="auto"/>
        <w:rPr>
          <w:sz w:val="20"/>
          <w:szCs w:val="20"/>
          <w:color w:val="auto"/>
        </w:rPr>
      </w:pPr>
      <w:r>
        <w:rPr>
          <w:rFonts w:ascii="Arial" w:cs="Arial" w:eastAsia="Arial" w:hAnsi="Arial"/>
          <w:sz w:val="18"/>
          <w:szCs w:val="18"/>
          <w:color w:val="auto"/>
        </w:rPr>
        <w:t>Dilutive effect of equity-settled PRSUs Dilutive effect of options Dilutive effect of 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400"/>
        <w:spacing w:after="0"/>
        <w:tabs>
          <w:tab w:leader="none" w:pos="1060" w:val="left"/>
          <w:tab w:leader="none" w:pos="2200" w:val="left"/>
          <w:tab w:leader="none" w:pos="2880" w:val="left"/>
          <w:tab w:leader="none" w:pos="3920" w:val="left"/>
          <w:tab w:leader="none" w:pos="4680" w:val="left"/>
          <w:tab w:leader="none" w:pos="5820" w:val="left"/>
        </w:tabs>
        <w:rPr>
          <w:sz w:val="20"/>
          <w:szCs w:val="20"/>
          <w:color w:val="auto"/>
        </w:rPr>
      </w:pPr>
      <w:r>
        <w:rPr>
          <w:rFonts w:ascii="Arial" w:cs="Arial" w:eastAsia="Arial" w:hAnsi="Arial"/>
          <w:sz w:val="18"/>
          <w:szCs w:val="18"/>
          <w:color w:val="auto"/>
        </w:rPr>
        <w:t>36,812</w:t>
        <w:tab/>
        <w:t>$</w:t>
      </w:r>
      <w:r>
        <w:rPr>
          <w:sz w:val="20"/>
          <w:szCs w:val="20"/>
          <w:color w:val="auto"/>
        </w:rPr>
        <w:tab/>
      </w:r>
      <w:r>
        <w:rPr>
          <w:rFonts w:ascii="Arial" w:cs="Arial" w:eastAsia="Arial" w:hAnsi="Arial"/>
          <w:sz w:val="18"/>
          <w:szCs w:val="18"/>
          <w:color w:val="auto"/>
        </w:rPr>
        <w:t>29,612</w:t>
        <w:tab/>
        <w:t>$</w:t>
      </w:r>
      <w:r>
        <w:rPr>
          <w:sz w:val="20"/>
          <w:szCs w:val="20"/>
          <w:color w:val="auto"/>
        </w:rPr>
        <w:tab/>
      </w:r>
      <w:r>
        <w:rPr>
          <w:rFonts w:ascii="Arial" w:cs="Arial" w:eastAsia="Arial" w:hAnsi="Arial"/>
          <w:sz w:val="18"/>
          <w:szCs w:val="18"/>
          <w:color w:val="auto"/>
        </w:rPr>
        <w:t>111,236</w:t>
        <w:tab/>
        <w:t>$</w:t>
      </w:r>
      <w:r>
        <w:rPr>
          <w:sz w:val="20"/>
          <w:szCs w:val="20"/>
          <w:color w:val="auto"/>
        </w:rPr>
        <w:tab/>
      </w:r>
      <w:r>
        <w:rPr>
          <w:rFonts w:ascii="Arial" w:cs="Arial" w:eastAsia="Arial" w:hAnsi="Arial"/>
          <w:sz w:val="15"/>
          <w:szCs w:val="15"/>
          <w:color w:val="auto"/>
        </w:rPr>
        <w:t>42,440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14605</wp:posOffset>
            </wp:positionV>
            <wp:extent cx="713232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349250</wp:posOffset>
            </wp:positionV>
            <wp:extent cx="713232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370"/>
              <w:spacing w:after="0"/>
              <w:rPr>
                <w:sz w:val="20"/>
                <w:szCs w:val="20"/>
                <w:color w:val="auto"/>
              </w:rPr>
            </w:pPr>
            <w:r>
              <w:rPr>
                <w:rFonts w:ascii="Arial" w:cs="Arial" w:eastAsia="Arial" w:hAnsi="Arial"/>
                <w:sz w:val="18"/>
                <w:szCs w:val="18"/>
                <w:color w:val="auto"/>
                <w:w w:val="87"/>
              </w:rPr>
              <w:t>187,774,170</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142,935,206</w:t>
            </w:r>
          </w:p>
        </w:tc>
        <w:tc>
          <w:tcPr>
            <w:tcW w:w="1820" w:type="dxa"/>
            <w:vAlign w:val="bottom"/>
          </w:tcPr>
          <w:p>
            <w:pPr>
              <w:jc w:val="right"/>
              <w:ind w:right="370"/>
              <w:spacing w:after="0"/>
              <w:rPr>
                <w:sz w:val="20"/>
                <w:szCs w:val="20"/>
                <w:color w:val="auto"/>
              </w:rPr>
            </w:pPr>
            <w:r>
              <w:rPr>
                <w:rFonts w:ascii="Arial" w:cs="Arial" w:eastAsia="Arial" w:hAnsi="Arial"/>
                <w:sz w:val="18"/>
                <w:szCs w:val="18"/>
                <w:color w:val="auto"/>
              </w:rPr>
              <w:t>177,257,994</w:t>
            </w:r>
          </w:p>
        </w:tc>
        <w:tc>
          <w:tcPr>
            <w:tcW w:w="1340" w:type="dxa"/>
            <w:vAlign w:val="bottom"/>
          </w:tcPr>
          <w:p>
            <w:pPr>
              <w:jc w:val="right"/>
              <w:spacing w:after="0"/>
              <w:rPr>
                <w:sz w:val="20"/>
                <w:szCs w:val="20"/>
                <w:color w:val="auto"/>
              </w:rPr>
            </w:pPr>
            <w:r>
              <w:rPr>
                <w:rFonts w:ascii="Arial" w:cs="Arial" w:eastAsia="Arial" w:hAnsi="Arial"/>
                <w:sz w:val="18"/>
                <w:szCs w:val="18"/>
                <w:color w:val="auto"/>
              </w:rPr>
              <w:t>142,934,221</w:t>
            </w:r>
          </w:p>
        </w:tc>
      </w:tr>
      <w:tr>
        <w:trPr>
          <w:trHeight w:val="270"/>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2,584,192</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2,492,381</w:t>
            </w:r>
          </w:p>
        </w:tc>
        <w:tc>
          <w:tcPr>
            <w:tcW w:w="1820" w:type="dxa"/>
            <w:vAlign w:val="bottom"/>
          </w:tcPr>
          <w:p>
            <w:pPr>
              <w:jc w:val="right"/>
              <w:ind w:right="370"/>
              <w:spacing w:after="0"/>
              <w:rPr>
                <w:sz w:val="20"/>
                <w:szCs w:val="20"/>
                <w:color w:val="auto"/>
              </w:rPr>
            </w:pPr>
            <w:r>
              <w:rPr>
                <w:rFonts w:ascii="Arial" w:cs="Arial" w:eastAsia="Arial" w:hAnsi="Arial"/>
                <w:sz w:val="18"/>
                <w:szCs w:val="18"/>
                <w:color w:val="auto"/>
              </w:rPr>
              <w:t>2,371,727</w:t>
            </w:r>
          </w:p>
        </w:tc>
        <w:tc>
          <w:tcPr>
            <w:tcW w:w="1340" w:type="dxa"/>
            <w:vAlign w:val="bottom"/>
          </w:tcPr>
          <w:p>
            <w:pPr>
              <w:jc w:val="right"/>
              <w:spacing w:after="0"/>
              <w:rPr>
                <w:sz w:val="20"/>
                <w:szCs w:val="20"/>
                <w:color w:val="auto"/>
              </w:rPr>
            </w:pPr>
            <w:r>
              <w:rPr>
                <w:rFonts w:ascii="Arial" w:cs="Arial" w:eastAsia="Arial" w:hAnsi="Arial"/>
                <w:sz w:val="18"/>
                <w:szCs w:val="18"/>
                <w:color w:val="auto"/>
              </w:rPr>
              <w:t>2,355,938</w:t>
            </w:r>
          </w:p>
        </w:tc>
      </w:tr>
      <w:tr>
        <w:trPr>
          <w:trHeight w:val="270"/>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4,402,391</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5,935,056</w:t>
            </w:r>
          </w:p>
        </w:tc>
        <w:tc>
          <w:tcPr>
            <w:tcW w:w="1820" w:type="dxa"/>
            <w:vAlign w:val="bottom"/>
          </w:tcPr>
          <w:p>
            <w:pPr>
              <w:jc w:val="right"/>
              <w:ind w:right="370"/>
              <w:spacing w:after="0"/>
              <w:rPr>
                <w:sz w:val="20"/>
                <w:szCs w:val="20"/>
                <w:color w:val="auto"/>
              </w:rPr>
            </w:pPr>
            <w:r>
              <w:rPr>
                <w:rFonts w:ascii="Arial" w:cs="Arial" w:eastAsia="Arial" w:hAnsi="Arial"/>
                <w:sz w:val="18"/>
                <w:szCs w:val="18"/>
                <w:color w:val="auto"/>
              </w:rPr>
              <w:t>5,264,106</w:t>
            </w:r>
          </w:p>
        </w:tc>
        <w:tc>
          <w:tcPr>
            <w:tcW w:w="1340" w:type="dxa"/>
            <w:vAlign w:val="bottom"/>
          </w:tcPr>
          <w:p>
            <w:pPr>
              <w:jc w:val="right"/>
              <w:spacing w:after="0"/>
              <w:rPr>
                <w:sz w:val="20"/>
                <w:szCs w:val="20"/>
                <w:color w:val="auto"/>
              </w:rPr>
            </w:pPr>
            <w:r>
              <w:rPr>
                <w:rFonts w:ascii="Arial" w:cs="Arial" w:eastAsia="Arial" w:hAnsi="Arial"/>
                <w:sz w:val="18"/>
                <w:szCs w:val="18"/>
                <w:color w:val="auto"/>
              </w:rPr>
              <w:t>5,868,601</w:t>
            </w:r>
          </w:p>
        </w:tc>
      </w:tr>
      <w:tr>
        <w:trPr>
          <w:trHeight w:val="268"/>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194,942</w:t>
            </w:r>
          </w:p>
        </w:tc>
        <w:tc>
          <w:tcPr>
            <w:tcW w:w="18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70"/>
              <w:spacing w:after="0"/>
              <w:rPr>
                <w:sz w:val="20"/>
                <w:szCs w:val="20"/>
                <w:color w:val="auto"/>
              </w:rPr>
            </w:pPr>
            <w:r>
              <w:rPr>
                <w:rFonts w:ascii="Arial" w:cs="Arial" w:eastAsia="Arial" w:hAnsi="Arial"/>
                <w:sz w:val="18"/>
                <w:szCs w:val="18"/>
                <w:color w:val="auto"/>
              </w:rPr>
              <w:t>132,281</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-340995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00" w:space="640"/>
            <w:col w:w="64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4100" w:type="dxa"/>
            <w:vAlign w:val="bottom"/>
            <w:tcBorders>
              <w:top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Weighted average shares of Class A and Class B</w:t>
            </w:r>
          </w:p>
        </w:tc>
        <w:tc>
          <w:tcPr>
            <w:tcW w:w="4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outstanding - Diluted</w:t>
            </w: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194,955,695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151,362,643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185,026,108</w:t>
            </w: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151,158,760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 - 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0.60</w:t>
            </w:r>
          </w:p>
        </w:tc>
        <w:tc>
          <w:tcPr>
            <w:tcW w:w="50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basic and diluted earnings per share calculations for Tradeweb Markets LLC (pre-IPO period):</w:t>
      </w:r>
    </w:p>
    <w:p>
      <w:pPr>
        <w:spacing w:after="0" w:line="136" w:lineRule="exact"/>
        <w:rPr>
          <w:sz w:val="20"/>
          <w:szCs w:val="20"/>
          <w:color w:val="auto"/>
        </w:rPr>
      </w:pPr>
    </w:p>
    <w:p>
      <w:pPr>
        <w:jc w:val="right"/>
        <w:ind w:right="240"/>
        <w:spacing w:after="0"/>
        <w:rPr>
          <w:sz w:val="20"/>
          <w:szCs w:val="20"/>
          <w:color w:val="auto"/>
        </w:rPr>
      </w:pPr>
      <w:r>
        <w:rPr>
          <w:rFonts w:ascii="Arial" w:cs="Arial" w:eastAsia="Arial" w:hAnsi="Arial"/>
          <w:sz w:val="14"/>
          <w:szCs w:val="14"/>
          <w:b w:val="1"/>
          <w:bCs w:val="1"/>
          <w:color w:val="auto"/>
        </w:rPr>
        <w:t>Nine Months Ended</w:t>
      </w:r>
    </w:p>
    <w:p>
      <w:pPr>
        <w:spacing w:after="0" w:line="28" w:lineRule="exact"/>
        <w:rPr>
          <w:sz w:val="20"/>
          <w:szCs w:val="20"/>
          <w:color w:val="auto"/>
        </w:rPr>
      </w:pPr>
    </w:p>
    <w:p>
      <w:pPr>
        <w:ind w:left="9780"/>
        <w:spacing w:after="0"/>
        <w:rPr>
          <w:sz w:val="20"/>
          <w:szCs w:val="20"/>
          <w:color w:val="auto"/>
        </w:rPr>
      </w:pPr>
      <w:r>
        <w:rPr>
          <w:rFonts w:ascii="Arial" w:cs="Arial" w:eastAsia="Arial" w:hAnsi="Arial"/>
          <w:sz w:val="13"/>
          <w:szCs w:val="13"/>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80" w:type="dxa"/>
            <w:vAlign w:val="bottom"/>
          </w:tcPr>
          <w:p>
            <w:pPr>
              <w:spacing w:after="0"/>
              <w:rPr>
                <w:sz w:val="20"/>
                <w:szCs w:val="20"/>
                <w:color w:val="auto"/>
              </w:rPr>
            </w:pPr>
            <w:r>
              <w:rPr>
                <w:rFonts w:ascii="Arial" w:cs="Arial" w:eastAsia="Arial" w:hAnsi="Arial"/>
                <w:sz w:val="14"/>
                <w:szCs w:val="14"/>
                <w:b w:val="1"/>
                <w:bCs w:val="1"/>
                <w:color w:val="auto"/>
              </w:rPr>
              <w:t>EPS: Pre-IPO net income attributable to Tradeweb Markets</w:t>
            </w:r>
          </w:p>
        </w:tc>
        <w:tc>
          <w:tcPr>
            <w:tcW w:w="4340" w:type="dxa"/>
            <w:vAlign w:val="bottom"/>
            <w:vMerge w:val="restart"/>
          </w:tcPr>
          <w:p>
            <w:pPr>
              <w:ind w:left="1180"/>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0" w:type="dxa"/>
            <w:vAlign w:val="bottom"/>
          </w:tcPr>
          <w:p>
            <w:pPr>
              <w:spacing w:after="0"/>
              <w:rPr>
                <w:sz w:val="1"/>
                <w:szCs w:val="1"/>
                <w:color w:val="auto"/>
              </w:rPr>
            </w:pPr>
          </w:p>
        </w:tc>
      </w:tr>
      <w:tr>
        <w:trPr>
          <w:trHeight w:val="218"/>
        </w:trPr>
        <w:tc>
          <w:tcPr>
            <w:tcW w:w="4880" w:type="dxa"/>
            <w:vAlign w:val="bottom"/>
          </w:tcPr>
          <w:p>
            <w:pPr>
              <w:spacing w:after="0" w:line="217" w:lineRule="exact"/>
              <w:rPr>
                <w:sz w:val="20"/>
                <w:szCs w:val="20"/>
                <w:color w:val="auto"/>
              </w:rPr>
            </w:pPr>
            <w:r>
              <w:rPr>
                <w:rFonts w:ascii="Arial" w:cs="Arial" w:eastAsia="Arial" w:hAnsi="Arial"/>
                <w:sz w:val="25"/>
                <w:szCs w:val="25"/>
                <w:b w:val="1"/>
                <w:bCs w:val="1"/>
                <w:color w:val="auto"/>
                <w:vertAlign w:val="subscript"/>
              </w:rPr>
              <w:t>LLC</w:t>
            </w:r>
            <w:r>
              <w:rPr>
                <w:rFonts w:ascii="Arial" w:cs="Arial" w:eastAsia="Arial" w:hAnsi="Arial"/>
                <w:sz w:val="9"/>
                <w:szCs w:val="9"/>
                <w:b w:val="1"/>
                <w:bCs w:val="1"/>
                <w:color w:val="auto"/>
              </w:rPr>
              <w:t>(1)</w:t>
            </w:r>
          </w:p>
        </w:tc>
        <w:tc>
          <w:tcPr>
            <w:tcW w:w="4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u w:val="single" w:color="auto"/>
          <w:color w:val="auto"/>
        </w:rPr>
        <w:t>Numerator: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Pre-IPO net income attributable to Tradeweb Markets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LLC Interests outstanding - Basic</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Dilutive effect of equity-settled PRSUs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150" w:hanging="1150"/>
        <w:spacing w:after="0"/>
        <w:tabs>
          <w:tab w:leader="none" w:pos="1150" w:val="left"/>
        </w:tabs>
        <w:numPr>
          <w:ilvl w:val="0"/>
          <w:numId w:val="21"/>
        </w:numPr>
        <w:rPr>
          <w:rFonts w:ascii="Arial" w:cs="Arial" w:eastAsia="Arial" w:hAnsi="Arial"/>
          <w:sz w:val="15"/>
          <w:szCs w:val="15"/>
          <w:color w:val="auto"/>
        </w:rPr>
      </w:pPr>
      <w:r>
        <w:rPr>
          <w:rFonts w:ascii="Arial" w:cs="Arial" w:eastAsia="Arial" w:hAnsi="Arial"/>
          <w:sz w:val="15"/>
          <w:szCs w:val="15"/>
          <w:color w:val="auto"/>
        </w:rPr>
        <w:t>42,352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222,222,197</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1,098,260</w:t>
      </w:r>
    </w:p>
    <w:p>
      <w:pPr>
        <w:spacing w:after="0" w:line="21" w:lineRule="exact"/>
        <w:rPr>
          <w:sz w:val="20"/>
          <w:szCs w:val="20"/>
          <w:color w:val="auto"/>
        </w:rPr>
      </w:pPr>
    </w:p>
    <w:p>
      <w:pPr>
        <w:sectPr>
          <w:pgSz w:w="11900" w:h="16838" w:orient="portrait"/>
          <w:cols w:equalWidth="0" w:num="2">
            <w:col w:w="8810" w:space="720"/>
            <w:col w:w="171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9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LLC Interests outstanding - Diluted</w:t>
            </w: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223,320,457</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9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 - 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52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right="380" w:hanging="332"/>
        <w:spacing w:after="0" w:line="257"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Earnings per share and weighted average shares outstanding for the pre-IPO period has been computed to give effect to the Reorganization Transactions, including the amendment and restatement of the TWM LLC Agreement to, among other things, (i) provide for LLC Interests and (ii) exchange all of the then existing membership interests in TWM LLC for LLC interests.</w:t>
      </w:r>
    </w:p>
    <w:p>
      <w:pPr>
        <w:spacing w:after="0" w:line="21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For the three and nine months ended September 30, 2020, there were approximately 179,508 and 264,882 weighted-average options and RSUs, respectively, that were anti-dilutive. As a result, these shares, which are still outstanding, were excluded from the computation of diluted earnings per share. For the three and nine months ended September 30, 2019, there were approximately 247,491 and 126,667 weighted-average options and equity-settled PRSUs, respectively, that were anti-dilutive and thus excluded from the computation of diluted earnings per share.</w:t>
      </w:r>
    </w:p>
    <w:p>
      <w:pPr>
        <w:spacing w:after="0" w:line="17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such holders, for shares of Class A or Class B common stock of Tradeweb Markets Inc. After evaluating the potential dilutive effect under the if-converted method, the 39,513,246 and 48,397,598 weighted-average LLC Interests for the assumed exchange of non-controlling interests, for the three and nine months ended September 30, 2020, respectively, were determined to be anti-dilutive and thus were excluded from the computation of diluted earnings per share for the post-IPO periods.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participating securities for purposes of the computation of earnings per share.</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Regulatory Capital Requirements</w:t>
      </w:r>
    </w:p>
    <w:p>
      <w:pPr>
        <w:spacing w:after="0" w:line="22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TWL, DW and TWD are subject to the Uniform Net Capital Rule 15c3-1 under the Securities Exchange Act of 1934. TEL is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September 30, 2020 and December 31, 2019, the regulatory capital requirements and regulatory capital for TWL, DW, TWD, TEL, TWJ and TWEU are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TWL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DW</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TWD</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TEL</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TWJ</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TWEU</w:t>
            </w:r>
          </w:p>
        </w:tc>
        <w:tc>
          <w:tcPr>
            <w:tcW w:w="40" w:type="dxa"/>
            <w:vAlign w:val="bottom"/>
          </w:tcPr>
          <w:p>
            <w:pPr>
              <w:spacing w:after="0"/>
              <w:rPr>
                <w:sz w:val="17"/>
                <w:szCs w:val="17"/>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40" w:type="dxa"/>
            <w:vAlign w:val="bottom"/>
          </w:tcPr>
          <w:p>
            <w:pPr>
              <w:spacing w:after="0"/>
              <w:rPr>
                <w:sz w:val="23"/>
                <w:szCs w:val="23"/>
                <w:color w:val="auto"/>
              </w:rPr>
            </w:pPr>
          </w:p>
        </w:tc>
      </w:tr>
      <w:tr>
        <w:trPr>
          <w:trHeight w:val="27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Regulatory Capital Requirement</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40" w:type="dxa"/>
            <w:vAlign w:val="bottom"/>
          </w:tcPr>
          <w:p>
            <w:pPr>
              <w:spacing w:after="0"/>
              <w:rPr>
                <w:sz w:val="23"/>
                <w:szCs w:val="23"/>
                <w:color w:val="auto"/>
              </w:rPr>
            </w:pPr>
          </w:p>
        </w:tc>
      </w:tr>
      <w:tr>
        <w:trPr>
          <w:trHeight w:val="24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40" w:type="dxa"/>
            <w:vAlign w:val="bottom"/>
          </w:tcPr>
          <w:p>
            <w:pPr>
              <w:spacing w:after="0"/>
              <w:rPr>
                <w:sz w:val="21"/>
                <w:szCs w:val="2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TWL</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DW</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TWD</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TEL</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TWJ</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TWEU</w:t>
            </w: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r>
      <w:tr>
        <w:trPr>
          <w:trHeight w:val="27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Regulatory Capital Requirement</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4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SEFs, TW SEF and DW SEF are required to maintain adequate financial resources and liquid financial assets in accordance with CFTC regulations. The required and maintained financial resources and liquid financial assets at September 30, 2020 and December 31, 2019 are as follows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As of September 30,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As of December 31, 2019</w:t>
            </w:r>
          </w:p>
        </w:tc>
      </w:t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DW SEF</w:t>
            </w: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TW SEF</w:t>
            </w:r>
          </w:p>
        </w:tc>
        <w:tc>
          <w:tcPr>
            <w:tcW w:w="240" w:type="dxa"/>
            <w:vAlign w:val="bottom"/>
          </w:tcPr>
          <w:p>
            <w:pPr>
              <w:spacing w:after="0"/>
              <w:rPr>
                <w:sz w:val="16"/>
                <w:szCs w:val="16"/>
                <w:color w:val="auto"/>
              </w:rPr>
            </w:pPr>
          </w:p>
        </w:tc>
        <w:tc>
          <w:tcPr>
            <w:tcW w:w="1060" w:type="dxa"/>
            <w:vAlign w:val="bottom"/>
          </w:tcPr>
          <w:p>
            <w:pPr>
              <w:jc w:val="right"/>
              <w:ind w:right="293"/>
              <w:spacing w:after="0"/>
              <w:rPr>
                <w:sz w:val="20"/>
                <w:szCs w:val="20"/>
                <w:color w:val="auto"/>
              </w:rPr>
            </w:pPr>
            <w:r>
              <w:rPr>
                <w:rFonts w:ascii="Arial" w:cs="Arial" w:eastAsia="Arial" w:hAnsi="Arial"/>
                <w:sz w:val="14"/>
                <w:szCs w:val="14"/>
                <w:b w:val="1"/>
                <w:bCs w:val="1"/>
                <w:color w:val="auto"/>
              </w:rPr>
              <w:t>DW SEF</w:t>
            </w:r>
          </w:p>
        </w:tc>
      </w:tr>
      <w:tr>
        <w:trPr>
          <w:trHeight w:val="26"/>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r>
      <w:tr>
        <w:trPr>
          <w:trHeight w:val="27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Financial Resources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r>
      <w:tr>
        <w:trPr>
          <w:trHeight w:val="27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Liquid Financial Assets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Business Segment and Geographic Information</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 Information regarding revenue by client sector is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6"/>
                <w:szCs w:val="16"/>
                <w:color w:val="auto"/>
              </w:rPr>
            </w:pPr>
          </w:p>
        </w:tc>
      </w:tr>
      <w:tr>
        <w:trPr>
          <w:trHeight w:val="195"/>
        </w:trPr>
        <w:tc>
          <w:tcPr>
            <w:tcW w:w="4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87"/>
        </w:trPr>
        <w:tc>
          <w:tcPr>
            <w:tcW w:w="40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r>
      <w:tr>
        <w:trPr>
          <w:trHeight w:val="231"/>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w:t>
            </w:r>
          </w:p>
        </w:tc>
        <w:tc>
          <w:tcPr>
            <w:tcW w:w="10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70"/>
        </w:trPr>
        <w:tc>
          <w:tcPr>
            <w:tcW w:w="408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131,860</w:t>
            </w:r>
          </w:p>
        </w:tc>
        <w:tc>
          <w:tcPr>
            <w:tcW w:w="100" w:type="dxa"/>
            <w:vAlign w:val="bottom"/>
          </w:tcPr>
          <w:p>
            <w:pPr>
              <w:spacing w:after="0"/>
              <w:rPr>
                <w:sz w:val="23"/>
                <w:szCs w:val="23"/>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120,858</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407,464</w:t>
            </w:r>
          </w:p>
        </w:tc>
        <w:tc>
          <w:tcPr>
            <w:tcW w:w="120" w:type="dxa"/>
            <w:vAlign w:val="bottom"/>
          </w:tcPr>
          <w:p>
            <w:pPr>
              <w:spacing w:after="0"/>
              <w:rPr>
                <w:sz w:val="23"/>
                <w:szCs w:val="23"/>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341,167</w:t>
            </w:r>
          </w:p>
        </w:tc>
      </w:tr>
      <w:tr>
        <w:trPr>
          <w:trHeight w:val="27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10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44,959</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43,040</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136,967</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124,416</w:t>
            </w:r>
          </w:p>
        </w:tc>
      </w:tr>
      <w:tr>
        <w:trPr>
          <w:trHeight w:val="270"/>
        </w:trPr>
        <w:tc>
          <w:tcPr>
            <w:tcW w:w="4080" w:type="dxa"/>
            <w:vAlign w:val="bottom"/>
          </w:tcPr>
          <w:p>
            <w:pPr>
              <w:ind w:left="140"/>
              <w:spacing w:after="0"/>
              <w:rPr>
                <w:sz w:val="20"/>
                <w:szCs w:val="20"/>
                <w:color w:val="auto"/>
              </w:rPr>
            </w:pPr>
            <w:r>
              <w:rPr>
                <w:rFonts w:ascii="Arial" w:cs="Arial" w:eastAsia="Arial" w:hAnsi="Arial"/>
                <w:sz w:val="18"/>
                <w:szCs w:val="18"/>
                <w:color w:val="auto"/>
              </w:rPr>
              <w:t>Retail</w:t>
            </w:r>
          </w:p>
        </w:tc>
        <w:tc>
          <w:tcPr>
            <w:tcW w:w="10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17,453</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20,169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59,495</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61,314</w:t>
            </w:r>
          </w:p>
        </w:tc>
      </w:tr>
      <w:tr>
        <w:trPr>
          <w:trHeight w:val="27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10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18,598</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55,657</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51,361</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212,870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200,981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659,583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578,258</w:t>
            </w:r>
          </w:p>
        </w:tc>
      </w:tr>
      <w:tr>
        <w:trPr>
          <w:trHeight w:val="27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154,349</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142,723</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467,808</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442,768</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58,521</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191,775</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135,490</w:t>
            </w:r>
          </w:p>
        </w:tc>
      </w:tr>
      <w:tr>
        <w:trPr>
          <w:trHeight w:val="20"/>
        </w:trPr>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breakdown of revenue by geographic area for the three and nine months ended September 30, 2020 and 2019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6"/>
                <w:szCs w:val="16"/>
                <w:color w:val="auto"/>
              </w:rPr>
            </w:pPr>
          </w:p>
        </w:tc>
      </w:tr>
      <w:tr>
        <w:trPr>
          <w:trHeight w:val="195"/>
        </w:trPr>
        <w:tc>
          <w:tcPr>
            <w:tcW w:w="4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87"/>
        </w:trPr>
        <w:tc>
          <w:tcPr>
            <w:tcW w:w="40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251"/>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136,785</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126,599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422,114</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368,689</w:t>
            </w:r>
          </w:p>
        </w:tc>
      </w:tr>
      <w:tr>
        <w:trPr>
          <w:trHeight w:val="27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0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76,085</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74,382</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237,469</w:t>
            </w:r>
          </w:p>
        </w:tc>
        <w:tc>
          <w:tcPr>
            <w:tcW w:w="12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209,569</w:t>
            </w:r>
          </w:p>
        </w:tc>
      </w:tr>
      <w:tr>
        <w:trPr>
          <w:trHeight w:val="248"/>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Revenue</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212,870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659,583</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578,258</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4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information on the attribution of long-lived assets by geographic area as of September 30, 2020 and December 31, 2019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December 31, 2019</w:t>
            </w:r>
          </w:p>
        </w:tc>
      </w:tr>
      <w:tr>
        <w:trPr>
          <w:trHeight w:val="236"/>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7680" w:type="dxa"/>
            <w:vAlign w:val="bottom"/>
          </w:tcPr>
          <w:p>
            <w:pPr>
              <w:ind w:left="140"/>
              <w:spacing w:after="0"/>
              <w:rPr>
                <w:sz w:val="20"/>
                <w:szCs w:val="20"/>
                <w:color w:val="auto"/>
              </w:rPr>
            </w:pPr>
            <w:r>
              <w:rPr>
                <w:rFonts w:ascii="Arial" w:cs="Arial" w:eastAsia="Arial" w:hAnsi="Arial"/>
                <w:sz w:val="18"/>
                <w:szCs w:val="18"/>
                <w:color w:val="auto"/>
              </w:rPr>
              <w:t>U.S.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4,116,769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4,200,133</w:t>
            </w:r>
          </w:p>
        </w:tc>
      </w:tr>
      <w:tr>
        <w:trPr>
          <w:trHeight w:val="27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4,133,061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4,214,233</w:t>
            </w: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October 27, 2020, the board of directors of Tradeweb Markets Inc. declared a cash dividend of $0.08 per share of Class A common stock and Class B common stock for the fourth quarter of 2020. This dividend will be payable on December 15, 2020 to stockholders of record as of December 1, 2020.</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October 24, 2020, Tradeweb Markets Inc., as the sole manager, approved a distribution by TWM LLC to its equityholders, including Tradeweb Markets Inc., in an aggregate amount of $25.0 million payable on December 11,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ind w:right="160" w:firstLine="324"/>
        <w:spacing w:after="0" w:line="219" w:lineRule="exact"/>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related notes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77"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Our institutional client sector serves institutional investors in over 40 markets across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4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derivatives and equity markets.</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1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and by mid-March 2020, nearly all of our employees around the world were working remotely and most continue to work remotely.</w:t>
      </w:r>
    </w:p>
    <w:p>
      <w:pPr>
        <w:spacing w:after="0" w:line="18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light of the unprecedented market volatility and significant economic disruption that has arisen in the wake of the pandemic, we have worked closely with our clients to provide flexible and secure access to our platforms, and to ensure that we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would be a stable and resilient partner across multiple asset classes-so they can reliably manage their core cash and derivatives needs in the diverse markets we serve, even as their own businesses may face disruptions. Our employees and clients together have adapted to working remotely and we have helped our clients navigate the market volatility through multi-asset class and multi-protocol electronic offerings. We believe the strong volumes we experienced on our platforms in March 2020 and since are reflective of these factors.</w:t>
      </w:r>
    </w:p>
    <w:p>
      <w:pPr>
        <w:spacing w:after="0" w:line="187"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global spread of the COVID-19 pandemic is complex and rapidly-evolving, with authorities around the world implementing numerous measures to try to contain the coronavirus, such as travel bans and restrictions, social distancing, quarantines, shelter in place, stay at home or lockdown orders and business limitations and shutdowns. While we have safely re-opened our offices with capacity limitations consistent with local guidelines, we remain confident that we can continue to maintain business continuity, serve our clients and provide efficient execution in a virtual environment as necessary. In addition, we believe that we have sufficient liquidity and flexibility to operate during any future disruptions caused by COVID-19.</w:t>
      </w:r>
    </w:p>
    <w:p>
      <w:pPr>
        <w:spacing w:after="0" w:line="161"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We currently expect any future disruptive impact of COVID-19 on our business to be temporary and are determined to continue to minimize such impact.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is developing,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coronavirus’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6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As the COVID-19 pandemic continues, it may also have the effect of heightening many of the risks described in “Item 1A. Risk Factors” of our Annual Report on Form 10-K, as amended, for the year ended December 31, 2019, including, but not limited to, those relating to changes in economic, political, social and market conditions and the impact of these changes on trading volumes; 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2020 Follow-On Offering</w:t>
      </w:r>
    </w:p>
    <w:p>
      <w:pPr>
        <w:spacing w:after="0" w:line="22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On April 27, 2020, Tradeweb Markets Inc. completed its follow-on offering of 12,835,245 shares of Class A Common stock at a public offering price of $50.25 per share, which included 1,674,162 shares of Class A common stock issued pursuant to the underwriters’ option to purchase additional shares of Class A common stock. Tradeweb Markets Inc. received net proceeds of $626.3 million, after deducting underwriting discounts and commissions but before deducting estimated offering expenses, which were used to purchase (i) 12,238,827 issued and outstanding LLC Interests from certain of the Bank Stockholders (and the corresponding shares of common stock held by such holders were cancelled) and (ii) 596,418 issued and outstanding shares of Class A common stock from certain of our executive officers (and such shares of Class A common stock were cancelled), at a purchase price per interest and share equal to the public offering price of $50.25, less the underwriting discounts and commissions payable thereon. As of September 30, 2020, Tradeweb Markets Inc. owns 82.6% of TWM LLC and the Continuing LLC Owners own the remaining 17.4% of TWM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Factors that may impact market activity in 2020 include, among other things, economic, political and social conditions, legislative, regulatory or government policy changes and health concerns associated with the COVID-19 pandemic. As a result, our business is sensitive to slow trading environments and the continuity of conservative monetary policies of central banks internationally, which tend to lessen volatility.</w:t>
      </w:r>
    </w:p>
    <w:p>
      <w:pPr>
        <w:spacing w:after="0" w:line="188"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current administration and could be further impacted by the results of the upcoming U.S. 2020 elections cycle. The impact of any reform efforts on us and our operations remains uncertain. In addition, as a result of the referendum in favor of the United Kingdom’s withdrawal from the European Union (“Brexit”) in June 2016, which withdrawal occurred on January 31, 2020, we have incurred additional costs to address the potential effects of Brexit, including costs associated with establishing a new regulated subsidiary in the Netherlands.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higher trading volumes as a result of, and the introduction of our new Approved Publication Arrangement (“APA”) service in connection with, the implementation of Markets in Financial Instruments Directive II (“MiFID II”) in January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which may result in increased costs, to strengthen our cybersecurity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Item 3, “Quantitative and Qualitative Disclosures About Market Risk— Foreign Currency and Derivative Risk”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Public Company Expenses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as the Continuing LLC Owners redeem or exchange their LLC Interests for shares of Class A common stock or Class B common stock, as applicable, or as we purchase LLC Interests from the Continuing LLC Owners. In addition to tax expenses, we also incur expenses related to our operations. Furthermore, in connection with the IPO, we entered into the Tax Receivable Agreement pursuant to which we will be required to make payments that we expect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6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addition, as a public company, we have implemented additional procedures and processes for the purpose of addressing the standards and requirements applicable to public companies. In particular, our accounting, legal and personnel-related expenses and directors’ and officers’ insurance costs increased as we established more comprehensive compliance and governance functions, establish, maintain and review internal controls over financial reporting in accordance with the Sarbanes-Oxley Act and prepare and distribute periodic reports in accordance with SEC rules. Beginning in the second quarter of 2019, our financial statements reflect the impact of these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Our gross revenue is derived primarily from transaction fees, subscription fees, commissions and market data fees. We believe that gross revenue is the key driver of our operating performance and therefore is the revenue measure we utilize to assess our business on a period by period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Subscription fees are generally generated on a fixed price basis.</w:t>
      </w:r>
    </w:p>
    <w:p>
      <w:pPr>
        <w:spacing w:after="0" w:line="170"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fluctuate from period to period depending on the numbers of customer conversions achieved by Refinitiv during the applicable royalty fee earning period, which is typically five years from the date of the initial referral.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and as our revenues and earnings grow. As a result, employee compensation and benefits can vary from period to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intangible assets, acquired and internally developed software, leasehold improvements, furniture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General and administrative expense consists of travel and entertainment, marketing, value-added taxes, state use taxes, foreign currency transaction gains and losses, charitable contributions, other administrative expenses and bad debt expense. We usually expect general and administrative expense to increase as we expand the number of our employees and product offerings and grow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Technology and communications expense consists of costs relating to software and hardware maintenance, our internal network connections, data center costs, clearance costs and data feeds provided by third-party service providers, including Refinitiv pursuant to a shared services agreement. Factors that influence technology and communications expense include the growth of our client base and product offerings.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Professional fees consist primarily of accounting, tax and legal fees and fees paid to technology and software consultants to maintain our trading platforms and infrastructure. Accounting, tax and legal fees have increased as a result of expanding public company and compliance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Occupancy expense consists of operating lease rent and related costs for office space and data centers leased in North America, Europe and Asia.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Interest income consists of interest earned from our cash deposited with large commercial banks and money market funds. Beginning with the second quarter of 2019, interest expense consists of commitment fees payable on, and, if applicable, interest payable on any borrowings outstanding under, the Revolving Credit Facility.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Beginning with the second quarter of 2019, we became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We are the sole manager of TWM LLC. As a result of this control, and because we have a substantial financial interest in TWM LLC, we began consolidating the financial results of TWM LLC and reporting a non-controlling interest on our consolidated financial statements, representing the economic interests in TWM LLC held by the Continuing LLC Owners. Income or loss is attributed to the non-controlling interests based on the relative ownership percentages of LLC Interests held during the period by us and the Continuing LLC Owners.</w:t>
      </w:r>
    </w:p>
    <w:p>
      <w:pPr>
        <w:spacing w:after="0" w:line="17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September 30, 2020, we owned 82.6% of TWM LLC and the Continuing LLC Owners owned the remaining 17.4% of TWM LLC.</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result of the foregoing is that, during the second quarter of 2019, we began reporting net income attributable to non-controlling interests.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the Three Months Ended September 30, 2020 and Three Months Ended September 30,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our statements of income for the three months ended September 30,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5"/>
        </w:trPr>
        <w:tc>
          <w:tcPr>
            <w:tcW w:w="5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7"/>
        </w:trPr>
        <w:tc>
          <w:tcPr>
            <w:tcW w:w="54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7"/>
                <w:szCs w:val="17"/>
                <w:color w:val="auto"/>
              </w:rPr>
            </w:pPr>
          </w:p>
        </w:tc>
      </w:tr>
      <w:tr>
        <w:trPr>
          <w:trHeight w:val="230"/>
        </w:trPr>
        <w:tc>
          <w:tcPr>
            <w:tcW w:w="5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0"/>
              </w:rPr>
              <w:t>(dollars in thousands)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
        </w:trPr>
        <w:tc>
          <w:tcPr>
            <w:tcW w:w="5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revenue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212,870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40" w:type="dxa"/>
            <w:vAlign w:val="bottom"/>
          </w:tcPr>
          <w:p>
            <w:pPr>
              <w:spacing w:after="0"/>
              <w:rPr>
                <w:sz w:val="23"/>
                <w:szCs w:val="23"/>
                <w:color w:val="auto"/>
              </w:rPr>
            </w:pPr>
          </w:p>
        </w:tc>
      </w:tr>
      <w:tr>
        <w:trPr>
          <w:trHeight w:val="27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154,349</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142,723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8.1 %</w:t>
            </w:r>
          </w:p>
        </w:tc>
        <w:tc>
          <w:tcPr>
            <w:tcW w:w="40" w:type="dxa"/>
            <w:vAlign w:val="bottom"/>
          </w:tcPr>
          <w:p>
            <w:pPr>
              <w:spacing w:after="0"/>
              <w:rPr>
                <w:sz w:val="23"/>
                <w:szCs w:val="23"/>
                <w:color w:val="auto"/>
              </w:rPr>
            </w:pPr>
          </w:p>
        </w:tc>
      </w:tr>
      <w:tr>
        <w:trPr>
          <w:trHeight w:val="25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40" w:type="dxa"/>
            <w:vAlign w:val="bottom"/>
          </w:tcPr>
          <w:p>
            <w:pPr>
              <w:spacing w:after="0"/>
              <w:rPr>
                <w:sz w:val="21"/>
                <w:szCs w:val="21"/>
                <w:color w:val="auto"/>
              </w:rPr>
            </w:pPr>
          </w:p>
        </w:tc>
      </w:tr>
      <w:tr>
        <w:trPr>
          <w:trHeight w:val="27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income (expense)</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(154.9)%</w:t>
            </w:r>
          </w:p>
        </w:tc>
        <w:tc>
          <w:tcPr>
            <w:tcW w:w="40" w:type="dxa"/>
            <w:vAlign w:val="bottom"/>
          </w:tcPr>
          <w:p>
            <w:pPr>
              <w:spacing w:after="0"/>
              <w:rPr>
                <w:sz w:val="23"/>
                <w:szCs w:val="23"/>
                <w:color w:val="auto"/>
              </w:rPr>
            </w:pPr>
          </w:p>
        </w:tc>
      </w:tr>
      <w:tr>
        <w:trPr>
          <w:trHeight w:val="25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r>
      <w:tr>
        <w:trPr>
          <w:trHeight w:val="27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7.8 %</w:t>
            </w:r>
          </w:p>
        </w:tc>
        <w:tc>
          <w:tcPr>
            <w:tcW w:w="40" w:type="dxa"/>
            <w:vAlign w:val="bottom"/>
          </w:tcPr>
          <w:p>
            <w:pPr>
              <w:spacing w:after="0"/>
              <w:rPr>
                <w:sz w:val="23"/>
                <w:szCs w:val="23"/>
                <w:color w:val="auto"/>
              </w:rPr>
            </w:pPr>
          </w:p>
        </w:tc>
      </w:tr>
      <w:tr>
        <w:trPr>
          <w:trHeight w:val="25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r>
      <w:tr>
        <w:trPr>
          <w:trHeight w:val="27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(8,730)</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(46.0)%</w:t>
            </w:r>
          </w:p>
        </w:tc>
        <w:tc>
          <w:tcPr>
            <w:tcW w:w="40" w:type="dxa"/>
            <w:vAlign w:val="bottom"/>
          </w:tcPr>
          <w:p>
            <w:pPr>
              <w:spacing w:after="0"/>
              <w:rPr>
                <w:sz w:val="23"/>
                <w:szCs w:val="23"/>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40" w:type="dxa"/>
            <w:vAlign w:val="bottom"/>
          </w:tcPr>
          <w:p>
            <w:pPr>
              <w:spacing w:after="0"/>
              <w:rPr>
                <w:sz w:val="21"/>
                <w:szCs w:val="2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65"/>
        </w:trPr>
        <w:tc>
          <w:tcPr>
            <w:tcW w:w="5440" w:type="dxa"/>
            <w:vAlign w:val="bottom"/>
          </w:tcPr>
          <w:p>
            <w:pPr>
              <w:spacing w:after="0"/>
              <w:rPr>
                <w:sz w:val="24"/>
                <w:szCs w:val="24"/>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ind w:right="100" w:firstLine="324"/>
        <w:spacing w:after="0" w:line="241" w:lineRule="auto"/>
        <w:rPr>
          <w:sz w:val="20"/>
          <w:szCs w:val="20"/>
          <w:color w:val="auto"/>
        </w:rPr>
      </w:pPr>
      <w:r>
        <w:rPr>
          <w:rFonts w:ascii="Arial" w:cs="Arial" w:eastAsia="Arial" w:hAnsi="Arial"/>
          <w:sz w:val="18"/>
          <w:szCs w:val="18"/>
          <w:color w:val="auto"/>
        </w:rPr>
        <w:t>During the three months ended September 30, 2020 as compared to the three months ended September 30, 2019, our results benefited from higher client trading activity in our credit asset class. Our expenses increased primarily due to higher employee compensation and benefits expense, as well as higher depreciation and amortization expense. The increase in depreciation and amortization expense was as a result of the longer estimated useful lives of computer software and the adjusted fair value of the assets that were established in connection with pushdown accounting on October 1, 2018 (see “— Critical Accounting Policies and Estimates”).</w:t>
      </w:r>
    </w:p>
    <w:p>
      <w:pPr>
        <w:spacing w:after="0" w:line="18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Gross revenue increased by $11.9 million or 5.9% to $212.9 million for the three months ended September 30, 2020 from $201.0 million for the three months ended September 30, 2019. The increase in gross revenue was mainly due to higher trading volumes, primarily in U.S. credit. The impact of increased trading volumes and fees across all asset classes resulted in a $7.8 million increase in transaction fees and a $2.0 million increase in commissions.</w:t>
      </w:r>
    </w:p>
    <w:p>
      <w:pPr>
        <w:spacing w:after="0" w:line="149"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Total expenses increased by $11.6 million or 8.1% to $154.3 million for the three months ended September 30, 2020 from $142.7 million for the three months ended September 30, 2019. Our expenses increased primarily due to higher employee compensation and benefits expense, as well as depreciation and amortization expense, partially offset by lower travel and entertainment expenses.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Income before taxes decreased $0.7 million or 1.2% to $58.2 million for the three months ended September 30, 2020 from $58.9 million for the three months ended September 30, 2019. Net income decreased $1.5 million or 3.1% to $47.0 million for the three months ended September 30, 2020 from $48.6 million for the three months ended September 30, 2019. Net income attributable to Tradeweb Markets Inc. increased $7.2 million or 24.3% to $36.8 million for the three months ended September 30, 2020 from $29.6 million for the three months ended September 30, 2019. Income before taxes, net income and net income attributable to Tradeweb Markets Inc. for the three months ended September 30, 2020 benefited from higher gross revenue of $11.9 million, partially offset by higher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revenues for the three months ended September 30, 2020 and 2019, and the resulting dollar and percentage changes,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left="828"/>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3"/>
          </w:tcPr>
          <w:p>
            <w:pPr>
              <w:jc w:val="right"/>
              <w:ind w:right="114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40" w:type="dxa"/>
            <w:vAlign w:val="bottom"/>
            <w:gridSpan w:val="3"/>
          </w:tcPr>
          <w:p>
            <w:pPr>
              <w:jc w:val="right"/>
              <w:ind w:right="114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 of Gross</w:t>
            </w:r>
          </w:p>
        </w:tc>
        <w:tc>
          <w:tcPr>
            <w:tcW w:w="500" w:type="dxa"/>
            <w:vAlign w:val="bottom"/>
          </w:tcPr>
          <w:p>
            <w:pPr>
              <w:spacing w:after="0"/>
              <w:rPr>
                <w:sz w:val="13"/>
                <w:szCs w:val="13"/>
                <w:color w:val="auto"/>
              </w:rPr>
            </w:pPr>
          </w:p>
        </w:tc>
        <w:tc>
          <w:tcPr>
            <w:tcW w:w="7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 of Gross</w:t>
            </w:r>
          </w:p>
        </w:tc>
        <w:tc>
          <w:tcPr>
            <w:tcW w:w="220" w:type="dxa"/>
            <w:vAlign w:val="bottom"/>
          </w:tcPr>
          <w:p>
            <w:pPr>
              <w:spacing w:after="0"/>
              <w:rPr>
                <w:sz w:val="13"/>
                <w:szCs w:val="13"/>
                <w:color w:val="auto"/>
              </w:rPr>
            </w:pPr>
          </w:p>
        </w:tc>
        <w:tc>
          <w:tcPr>
            <w:tcW w:w="10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5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8"/>
                <w:szCs w:val="18"/>
                <w:color w:val="auto"/>
              </w:rPr>
              <w:t>Transaction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120,582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56.7 %</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112,746</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56.1 %</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7,836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50,490</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48,638</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39,593</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37,590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212,870</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200,981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Components of gross revenue</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8"/>
                <w:szCs w:val="18"/>
                <w:color w:val="auto"/>
              </w:rPr>
              <w:t>Constant currency growth</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impact</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2700" w:type="dxa"/>
            <w:vAlign w:val="bottom"/>
          </w:tcPr>
          <w:p>
            <w:pPr>
              <w:ind w:left="220"/>
              <w:spacing w:after="0"/>
              <w:rPr>
                <w:sz w:val="20"/>
                <w:szCs w:val="20"/>
                <w:color w:val="auto"/>
              </w:rPr>
            </w:pPr>
            <w:r>
              <w:rPr>
                <w:rFonts w:ascii="Arial" w:cs="Arial" w:eastAsia="Arial" w:hAnsi="Arial"/>
                <w:sz w:val="18"/>
                <w:szCs w:val="18"/>
                <w:color w:val="auto"/>
              </w:rPr>
              <w:t>Gross revenue growth</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Subscription fees for the three months ended September 30, 2020 and 2019 include $14.3 million and $13.3 million, respectively, of Refinitiv market data fees.</w:t>
      </w:r>
    </w:p>
    <w:p>
      <w:pPr>
        <w:spacing w:after="0" w:line="13" w:lineRule="exact"/>
        <w:rPr>
          <w:rFonts w:ascii="Arial" w:cs="Arial" w:eastAsia="Arial" w:hAnsi="Arial"/>
          <w:sz w:val="14"/>
          <w:szCs w:val="14"/>
          <w:color w:val="auto"/>
        </w:rPr>
      </w:pPr>
    </w:p>
    <w:p>
      <w:pPr>
        <w:ind w:left="340" w:right="100" w:hanging="332"/>
        <w:spacing w:after="0" w:line="246"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2019.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 Transaction fees increased by $7.8 million or 7.0% to $120.6 million for the three months ended September 30, 2020 from $112.7 million for the three months ended September 30, 2019 primarily due to increased trading volumes for U.S. corporate bonds and mortgages, partially offset by lower trading volumes for rates derivatives products.</w:t>
      </w:r>
    </w:p>
    <w:p>
      <w:pPr>
        <w:spacing w:after="0" w:line="18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color w:val="auto"/>
        </w:rPr>
        <w:t>. Subscription fees increased by $1.9 million or 3.8% to $50.5 million for the three months ended September 30, 2020 from $48.6 million for the three months ended September 30, 2019 primarily due to higher market data fees.</w:t>
      </w:r>
    </w:p>
    <w:p>
      <w:pPr>
        <w:spacing w:after="0" w:line="166"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b w:val="1"/>
          <w:bCs w:val="1"/>
          <w:color w:val="auto"/>
        </w:rPr>
        <w:t>.</w:t>
      </w:r>
      <w:r>
        <w:rPr>
          <w:rFonts w:ascii="Arial" w:cs="Arial" w:eastAsia="Arial" w:hAnsi="Arial"/>
          <w:sz w:val="18"/>
          <w:szCs w:val="18"/>
          <w:color w:val="auto"/>
        </w:rPr>
        <w:t xml:space="preserve"> Commissions increased by $2.0 million or 5.3% to $39.6 million for the three months ended September 30, 2020 from $37.6 million for the three months ended September 30, 2019 primarily due to higher trading volumes for U.S. corporate bonds, partially offset by lower commissions for U.S. government bonds.</w:t>
      </w:r>
    </w:p>
    <w:p>
      <w:pPr>
        <w:spacing w:after="0" w:line="18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$0.2 million or 9.9% to $2.2 million for the three months ended September 30, 2020 from $2.0 million for the three months ended September 30, 2019 primarily as a result of revenue from our APA reporting service.</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Our gross revenue by client sector for the three months ended September 30, 2020 and 2019, and the resulting dollar and percentage changes,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5"/>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0"/>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131,860</w:t>
            </w:r>
          </w:p>
        </w:tc>
        <w:tc>
          <w:tcPr>
            <w:tcW w:w="12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120,858</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11,002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9.1 %</w:t>
            </w:r>
          </w:p>
        </w:tc>
      </w:tr>
      <w:tr>
        <w:trPr>
          <w:trHeight w:val="27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44,959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xml:space="preserve"> Revenues from our Institutional client sector increased by $11.0 million or 9.1% to $131.9 million for the three months ended September 30, 2020 from $120.9 million for the three months ended September 30, 2019. The increase was derived primarily from increased volumes for U.S. corporate bonds and mortgages, partially offset by lower trading volumes for euro-denominated interest rate swaps and ETFs.</w:t>
      </w:r>
    </w:p>
    <w:p>
      <w:pPr>
        <w:spacing w:after="0" w:line="16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$1.9 million or 4.5% to $45.0 million for the three months ended September 30, 2020 from $43.0 million for the three months ended September 30, 2019. The increase was derived primarily from higher trading activity for U.S. corporate bonds, partially offset by lower fees for U.S. government bonds.</w:t>
      </w:r>
    </w:p>
    <w:p>
      <w:pPr>
        <w:spacing w:after="0" w:line="18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decreased by $2.7 million or 13.5% to $17.5 million for the three months ended September 30, 2020 from $20.2 million for the three months ended September 30, 2019. The decrease was derived primarily from lower revenues from U.S. corporate bonds, certificates of deposit, and U.S. government bonds.</w:t>
      </w:r>
    </w:p>
    <w:p>
      <w:pPr>
        <w:spacing w:after="0" w:line="18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$1.7 million or 10.0% to $18.6 million for the three months ended September 30, 2020 from $16.9 million for the three months ended September 30, 2019 primarily as a result of increased Refinitiv license fees due to an increase in the number of market data feeds provided to Refinitiv.</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gross revenue by asset class for the three months ended September 30, 2020 and 2019, and the resulting dollar and percentage changes,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5"/>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6"/>
        </w:trPr>
        <w:tc>
          <w:tcPr>
            <w:tcW w:w="5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color w:val="auto"/>
              </w:rPr>
              <w:t>Rates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115,766</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115,505</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26.9 %</w:t>
            </w: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color w:val="auto"/>
              </w:rPr>
              <w:t>Equities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18,598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Fees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5.9 %</w:t>
            </w:r>
          </w:p>
        </w:tc>
      </w:tr>
      <w:tr>
        <w:trPr>
          <w:trHeight w:val="21"/>
        </w:trPr>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September 30, 2020 and 2019, and the resulting dollar and percentage changes,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1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ind w:left="920"/>
              <w:spacing w:after="0"/>
              <w:rPr>
                <w:sz w:val="20"/>
                <w:szCs w:val="20"/>
                <w:color w:val="auto"/>
              </w:rPr>
            </w:pPr>
            <w:r>
              <w:rPr>
                <w:rFonts w:ascii="Arial" w:cs="Arial" w:eastAsia="Arial" w:hAnsi="Arial"/>
                <w:sz w:val="14"/>
                <w:szCs w:val="14"/>
                <w:b w:val="1"/>
                <w:bCs w:val="1"/>
                <w:color w:val="auto"/>
              </w:rPr>
              <w:t>% Change</w:t>
            </w:r>
          </w:p>
        </w:tc>
        <w:tc>
          <w:tcPr>
            <w:tcW w:w="840" w:type="dxa"/>
            <w:vAlign w:val="bottom"/>
          </w:tcPr>
          <w:p>
            <w:pPr>
              <w:spacing w:after="0"/>
              <w:rPr>
                <w:sz w:val="16"/>
                <w:szCs w:val="16"/>
                <w:color w:val="auto"/>
              </w:rPr>
            </w:pPr>
          </w:p>
        </w:tc>
      </w:tr>
      <w:tr>
        <w:trPr>
          <w:trHeight w:val="26"/>
        </w:trPr>
        <w:tc>
          <w:tcPr>
            <w:tcW w:w="1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640" w:type="dxa"/>
            <w:vAlign w:val="bottom"/>
            <w:gridSpan w:val="3"/>
          </w:tcPr>
          <w:p>
            <w:pPr>
              <w:ind w:left="340"/>
              <w:spacing w:after="0"/>
              <w:rPr>
                <w:sz w:val="20"/>
                <w:szCs w:val="20"/>
                <w:color w:val="auto"/>
              </w:rPr>
            </w:pPr>
            <w:r>
              <w:rPr>
                <w:rFonts w:ascii="Arial" w:cs="Arial" w:eastAsia="Arial" w:hAnsi="Arial"/>
                <w:sz w:val="14"/>
                <w:szCs w:val="14"/>
                <w:b w:val="1"/>
                <w:bCs w:val="1"/>
                <w:color w:val="auto"/>
              </w:rPr>
              <w:t>Variable</w:t>
            </w: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Fixed</w:t>
            </w:r>
          </w:p>
        </w:tc>
      </w:tr>
      <w:tr>
        <w:trPr>
          <w:trHeight w:val="26"/>
        </w:trPr>
        <w:tc>
          <w:tcPr>
            <w:tcW w:w="1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5"/>
        </w:trPr>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64,139</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51,627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64,885</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50,620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7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3"/>
                <w:szCs w:val="23"/>
                <w:color w:val="auto"/>
              </w:rPr>
            </w:pPr>
          </w:p>
        </w:tc>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3"/>
                <w:szCs w:val="23"/>
                <w:color w:val="auto"/>
              </w:rPr>
            </w:pPr>
          </w:p>
        </w:tc>
        <w:tc>
          <w:tcPr>
            <w:tcW w:w="16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178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88,734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115,941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85,040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0"/>
        </w:trPr>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$0.3 million or 0.2% to $115.8 million for the three months ended September 30, 2020 from $115.5 million for the three months ended September 30, 2019 primarily due to higher trading volumes for mortgages, partially offset by lower fees from U.S. government bonds and euro-denominated interest rate swaps.</w:t>
      </w:r>
    </w:p>
    <w:p>
      <w:pPr>
        <w:spacing w:after="0" w:line="184"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u w:val="single" w:color="auto"/>
          <w:color w:val="auto"/>
        </w:rPr>
        <w:t>Credit</w:t>
      </w:r>
      <w:r>
        <w:rPr>
          <w:rFonts w:ascii="Arial" w:cs="Arial" w:eastAsia="Arial" w:hAnsi="Arial"/>
          <w:sz w:val="17"/>
          <w:szCs w:val="17"/>
          <w:color w:val="auto"/>
        </w:rPr>
        <w:t>. Revenues from our Credit asset class increased by $10.6 million or 26.9% to $50.2 million for the three months ended September 30, 2020 from $39.6 million for the three months ended September 30, 2019 primarily due to higher trading volumes for U.S. corporate bonds.</w:t>
      </w:r>
    </w:p>
    <w:p>
      <w:pPr>
        <w:spacing w:after="0" w:line="14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decreased by $0.5 million or 3.9% to $11.9 million for the three months ended September 30, 2020 from $12.3 million for the three months ended September 30, 2019 primarily due to lower fees for ETFs, partially offset by higher trading volumes for equity derivatives products.</w:t>
      </w:r>
    </w:p>
    <w:p>
      <w:pPr>
        <w:spacing w:after="0" w:line="18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were unchanged at $10.5 million for the three months ended September 30, 2020 and the three months ended September 30, 2019.</w:t>
      </w:r>
    </w:p>
    <w:p>
      <w:pPr>
        <w:spacing w:after="0" w:line="170"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Market Data increased by $1.7 million or 10.0% to $18.6 million for the three months ended September 30, 2020 from $16.9 million for the three months ended September 30, 2019 primarily as a result of increased Refinitiv license fees due to an increase in the number of market data feeds provided to Refinitiv.</w:t>
      </w:r>
    </w:p>
    <w:p>
      <w:pPr>
        <w:spacing w:after="0" w:line="18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decreased by $0.2 million or 3.7% to $5.9 million for the three months ended September 30, 2020 from $6.2 million for the three months ended September 30, 2019 primarily due to lower retail fees.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 significant percentage of our revenues are tied directly to overall trading volumes in the rates, credit, equities and money markets asset classes. The average daily volumes and total volumes on our trading platforms by asset class for the three months ended September 30, 2020 and 2019, and the resulting percentage changes,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88"/>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ADV</w:t>
            </w: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Volume</w:t>
            </w:r>
          </w:p>
        </w:tc>
        <w:tc>
          <w:tcPr>
            <w:tcW w:w="4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ADV</w:t>
            </w:r>
          </w:p>
        </w:tc>
        <w:tc>
          <w:tcPr>
            <w:tcW w:w="260" w:type="dxa"/>
            <w:vAlign w:val="bottom"/>
          </w:tcPr>
          <w:p>
            <w:pPr>
              <w:spacing w:after="0"/>
              <w:rPr>
                <w:sz w:val="16"/>
                <w:szCs w:val="16"/>
                <w:color w:val="auto"/>
              </w:rPr>
            </w:pP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490,114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31,563,939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36,307,193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Arial" w:cs="Arial" w:eastAsia="Arial" w:hAnsi="Arial"/>
                <w:sz w:val="18"/>
                <w:szCs w:val="18"/>
                <w:color w:val="auto"/>
              </w:rPr>
              <w:t>Credit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1,271,118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17,218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1,117,129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7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582,772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476,130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7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Markets</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261,590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16,847,205</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228,795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14,701,645</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50,265,034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52,602,097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140" w:firstLine="324"/>
        <w:spacing w:after="0" w:line="261"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ADV for Rates decreased due to lower trading activity in both long and short-tenor swaps. Excluding short-tenor swaps, Rates ADV increased by 9.3%.</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ADV for Credit increased due to higher trading activity in U.S. High Grade and High Yield credit and credit swaps.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ADV for Equities increased mainly due to higher trading volumes in U.S. ETFs and equity futures.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ADV for Money Markets increased due to the continued growth of bilateral electronic trading in repurchase agreements.</w:t>
      </w:r>
    </w:p>
    <w:p>
      <w:pPr>
        <w:spacing w:after="0" w:line="212" w:lineRule="exact"/>
        <w:rPr>
          <w:sz w:val="20"/>
          <w:szCs w:val="20"/>
          <w:color w:val="auto"/>
        </w:rPr>
      </w:pPr>
    </w:p>
    <w:p>
      <w:pPr>
        <w:jc w:val="both"/>
        <w:ind w:right="120" w:firstLine="324"/>
        <w:spacing w:after="0" w:line="291" w:lineRule="auto"/>
        <w:rPr>
          <w:sz w:val="20"/>
          <w:szCs w:val="20"/>
          <w:color w:val="auto"/>
        </w:rPr>
      </w:pPr>
      <w:r>
        <w:rPr>
          <w:rFonts w:ascii="Arial" w:cs="Arial" w:eastAsia="Arial" w:hAnsi="Arial"/>
          <w:sz w:val="16"/>
          <w:szCs w:val="16"/>
          <w:color w:val="auto"/>
        </w:rPr>
        <w:t>The average variable fees per million dollars of volume traded on our trading platforms by asset class for the three months ended September 30, 2020 and 2019 are summarized below. There are three potential drivers of quarterly fluctuations in our average variable fees per million: (1) volume discounts,</w:t>
      </w:r>
    </w:p>
    <w:p>
      <w:pPr>
        <w:ind w:firstLine="8"/>
        <w:spacing w:after="0" w:line="253"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5"/>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6"/>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jc w:val="right"/>
              <w:ind w:right="311"/>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Cash Rates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Rates Derivatives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46.4 %</w:t>
            </w: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Swaps / Swaptions Tenor (greater than 1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29"/>
        </w:trPr>
        <w:tc>
          <w:tcPr>
            <w:tcW w:w="53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Rates Derivatives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412.0 %</w:t>
            </w:r>
          </w:p>
        </w:tc>
      </w:tr>
      <w:tr>
        <w:trPr>
          <w:trHeight w:val="257"/>
        </w:trPr>
        <w:tc>
          <w:tcPr>
            <w:tcW w:w="5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29"/>
        </w:trPr>
        <w:tc>
          <w:tcPr>
            <w:tcW w:w="5380" w:type="dxa"/>
            <w:vAlign w:val="bottom"/>
          </w:tcPr>
          <w:p>
            <w:pPr>
              <w:ind w:left="140"/>
              <w:spacing w:after="0" w:line="230" w:lineRule="exact"/>
              <w:rPr>
                <w:sz w:val="20"/>
                <w:szCs w:val="20"/>
                <w:color w:val="auto"/>
              </w:rPr>
            </w:pPr>
            <w:r>
              <w:rPr>
                <w:rFonts w:ascii="Arial" w:cs="Arial" w:eastAsia="Arial" w:hAnsi="Arial"/>
                <w:sz w:val="18"/>
                <w:szCs w:val="18"/>
                <w:color w:val="auto"/>
              </w:rPr>
              <w:t>Cash Credit</w:t>
            </w:r>
            <w:r>
              <w:rPr>
                <w:rFonts w:ascii="Arial" w:cs="Arial" w:eastAsia="Arial" w:hAnsi="Arial"/>
                <w:sz w:val="23"/>
                <w:szCs w:val="23"/>
                <w:color w:val="auto"/>
                <w:vertAlign w:val="superscript"/>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127.70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117.59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Derivatives and U.S. Cash "EP"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7"/>
        </w:trPr>
        <w:tc>
          <w:tcPr>
            <w:tcW w:w="5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9"/>
        </w:trPr>
        <w:tc>
          <w:tcPr>
            <w:tcW w:w="5380" w:type="dxa"/>
            <w:vAlign w:val="bottom"/>
          </w:tcPr>
          <w:p>
            <w:pPr>
              <w:ind w:left="120"/>
              <w:spacing w:after="0"/>
              <w:rPr>
                <w:sz w:val="20"/>
                <w:szCs w:val="20"/>
                <w:color w:val="auto"/>
              </w:rPr>
            </w:pPr>
            <w:r>
              <w:rPr>
                <w:rFonts w:ascii="Arial" w:cs="Arial" w:eastAsia="Arial" w:hAnsi="Arial"/>
                <w:sz w:val="18"/>
                <w:szCs w:val="18"/>
                <w:color w:val="auto"/>
              </w:rPr>
              <w:t>Cash Equities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Derivatives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56"/>
        </w:trPr>
        <w:tc>
          <w:tcPr>
            <w:tcW w:w="5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 (Cash)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57"/>
        </w:trPr>
        <w:tc>
          <w:tcPr>
            <w:tcW w:w="5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Fees per Million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304"/>
        </w:trPr>
        <w:tc>
          <w:tcPr>
            <w:tcW w:w="5380" w:type="dxa"/>
            <w:vAlign w:val="bottom"/>
          </w:tcPr>
          <w:p>
            <w:pPr>
              <w:ind w:left="20"/>
              <w:spacing w:after="0"/>
              <w:rPr>
                <w:sz w:val="20"/>
                <w:szCs w:val="20"/>
                <w:color w:val="auto"/>
              </w:rPr>
            </w:pPr>
            <w:r>
              <w:rPr>
                <w:rFonts w:ascii="Arial" w:cs="Arial" w:eastAsia="Arial" w:hAnsi="Arial"/>
                <w:sz w:val="18"/>
                <w:szCs w:val="18"/>
                <w:color w:val="auto"/>
              </w:rPr>
              <w:t>Total Fees per Million excluding Other Rates Derivatives</w:t>
            </w:r>
            <w:r>
              <w:rPr>
                <w:rFonts w:ascii="Arial" w:cs="Arial" w:eastAsia="Arial" w:hAnsi="Arial"/>
                <w:sz w:val="23"/>
                <w:szCs w:val="23"/>
                <w:color w:val="auto"/>
                <w:vertAlign w:val="superscript"/>
              </w:rPr>
              <w:t>(3)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1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 Grade and High Yield electronically processed ("EP") activity.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pacing w:after="0" w:line="209"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Average variable fees per million for rates increased due to a mix shift toward higher fees per million long-tenor swaps products and away from lower fees per million short-tenor swaps products. Average fees per million for cash rates decreased due to increased volumes for low fee per million mortgages.</w:t>
      </w:r>
    </w:p>
    <w:p>
      <w:pPr>
        <w:spacing w:after="0" w:line="182" w:lineRule="exact"/>
        <w:rPr>
          <w:sz w:val="20"/>
          <w:szCs w:val="20"/>
          <w:color w:val="auto"/>
        </w:rPr>
      </w:pPr>
    </w:p>
    <w:p>
      <w:pPr>
        <w:ind w:right="280" w:firstLine="324"/>
        <w:spacing w:after="0" w:line="324" w:lineRule="auto"/>
        <w:rPr>
          <w:sz w:val="20"/>
          <w:szCs w:val="20"/>
          <w:color w:val="auto"/>
        </w:rPr>
      </w:pPr>
      <w:r>
        <w:rPr>
          <w:rFonts w:ascii="Arial" w:cs="Arial" w:eastAsia="Arial" w:hAnsi="Arial"/>
          <w:sz w:val="16"/>
          <w:szCs w:val="16"/>
          <w:u w:val="single" w:color="auto"/>
          <w:color w:val="auto"/>
        </w:rPr>
        <w:t>Credit</w:t>
      </w:r>
      <w:r>
        <w:rPr>
          <w:rFonts w:ascii="Arial" w:cs="Arial" w:eastAsia="Arial" w:hAnsi="Arial"/>
          <w:sz w:val="16"/>
          <w:szCs w:val="16"/>
          <w:color w:val="auto"/>
        </w:rPr>
        <w:t>. Average variable fees per million for credit increased due to higher growth in fully electronic High Grade (HG) and High Yield (HY) cash credit products, which have a higher variable fee capture as compared to credit derivatives and U.S. HG and HY Electronically Processed (EP) activity.</w:t>
      </w:r>
    </w:p>
    <w:p>
      <w:pPr>
        <w:spacing w:after="0" w:line="124"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Average variable fees per million for equities overall decreased due to a mix shift to lower fees per million wholesale ETF activity and away from institutional ETF activity.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Average variable fees per million for money markets decreased due to a mix shift from higher variable fees per million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certificates of deposit to lower variable fees per million repurchase agreements.</w:t>
      </w:r>
    </w:p>
    <w:p>
      <w:pPr>
        <w:spacing w:after="0" w:line="196"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Our gross revenue by geography (based on client location) for the three months ended September 30, 2020 and 2019, and the resulting dollar and percentage changes,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5"/>
        </w:trPr>
        <w:tc>
          <w:tcPr>
            <w:tcW w:w="5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7"/>
        </w:trPr>
        <w:tc>
          <w:tcPr>
            <w:tcW w:w="5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136,785</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126,599</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10,186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8.0 %</w:t>
            </w: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212,870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u w:val="single" w:color="auto"/>
          <w:color w:val="auto"/>
        </w:rPr>
        <w:t>U.S.</w:t>
      </w:r>
      <w:r>
        <w:rPr>
          <w:rFonts w:ascii="Arial" w:cs="Arial" w:eastAsia="Arial" w:hAnsi="Arial"/>
          <w:sz w:val="17"/>
          <w:szCs w:val="17"/>
          <w:color w:val="auto"/>
        </w:rPr>
        <w:t xml:space="preserve"> Revenues from U.S. clients increased by $10.2 million or 8.0% to $136.8 million for the three months ended September 30, 2020 from $126.6 million for the three months ended September 30, 2019 primarily due to higher trading volumes for U.S. corporate bonds and mortgages.</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u w:val="single" w:color="auto"/>
          <w:color w:val="auto"/>
        </w:rPr>
        <w:t>International.</w:t>
      </w:r>
      <w:r>
        <w:rPr>
          <w:rFonts w:ascii="Arial" w:cs="Arial" w:eastAsia="Arial" w:hAnsi="Arial"/>
          <w:sz w:val="17"/>
          <w:szCs w:val="17"/>
          <w:color w:val="auto"/>
        </w:rPr>
        <w:t xml:space="preserve"> Revenues from International clients increased by $1.7 million or 2.3% to $76.1 million for the three months ended September 30, 2020 from $74.4 million for the three months ended September 30, 2019 primarily due to increased trading volumes for dollar swaps, U.S. corporate bonds, and higher market data revenue, partially offset by lower trading volumes for euro-denominated interest rate swaps. Fluctuations in foreign currency rates for the three months ended September 30, 2020 increased our International gross revenue by $2.1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expenses for the three months ended September 30, 2020 and 2019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5"/>
        </w:trPr>
        <w:tc>
          <w:tcPr>
            <w:tcW w:w="5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7"/>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38,857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10.6 %</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26.3 %</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15.3 %</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7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(5.4)%</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Employee compensation and benefits expense increased by $4.3 million or 5.4% to $84.0 million for the three months ended September 30, 2020 from $79.6 million for the three months ended September 30, 2019. The increase was primarily due to an increase in salaries and benefits as a result of increased employee headcount, and an increase in commissions due to higher revenues from our Wholesale client sector.</w:t>
      </w:r>
    </w:p>
    <w:p>
      <w:pPr>
        <w:spacing w:after="0" w:line="174"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Depreciation and amortization expense increased by $3.7 million or 10.6% to $38.9 million for the three months ended September 30, 2020 from $35.1 million for the three months ended September 30, 2019. The increase in depreciation and amortization expense was the result of the longer estimated useful lives of computer software and the adjusted fair value of the assets that were established in connection with pushdown accounting on October 1, 2018 (see “—Critical Accounting Policies and Estimates”). Assets which may have been fully depreciated or amortized prior to the application of pushdown accounting are still being depreciated or amortized in these periods.</w:t>
      </w:r>
    </w:p>
    <w:p>
      <w:pPr>
        <w:spacing w:after="0" w:line="17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$2.5 million or 26.3% to $12.0 million for the three months ended September 30, 2020 from $9.5 million for the three months ended September 30, 2019. The increase was primarily due to increased clearance and data fees, and increased investment in our data strategy and cybersecurity.</w:t>
      </w:r>
    </w:p>
    <w:p>
      <w:pPr>
        <w:spacing w:after="0" w:line="184"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by $1.2 million or 15.3% to $8.7 million for the three months ended September 30, 2020 from $7.5 million for the three months ended September 30, 2019. The increase was primarily a result of higher foreign exchange losses and insurance expense, partially offset by lower travel and entertainment expenses.</w:t>
      </w:r>
    </w:p>
    <w:p>
      <w:pPr>
        <w:spacing w:after="0" w:line="184"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by $0.1 million or 1.6% to $7.4 million for the three months ended September 30, 2020 from $7.3 million for the three months ended September 30, 2019.</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decreased by $0.2 million or 5.4% to $3.4 million for the three months ended September 30, 2020 from $3.6 million for the three months ended September 30, 2019. The decrease was primarily a result of lower office rent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Net interest income (expense) decreased by $1.0 million to net interest expense of $(0.3) million for the three months ended September 30, 2020 from net interest income of $0.6 million for the three months ended September 30, 2019 due to a decrease in interest rates.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provision for income taxes includes U.S. federal, state, local, and foreign taxes. The effective tax rate for the three months ended September 30, 2020 was approximately 19.1%, compared with 17.5% for the three months ended September 30, 2019. The effective tax rate for the three months ended September 30, 2020 differed from the U.S. federal statutory rate of 21.0% primarily due to the effect of non-controlling interests and the tax impact of the exercise of equity compensation, partially offset by state, local, and foreign taxes. The effective tax rate for the three months ended September 30, 2019 differed from the U.S. federal statutory rate of 21.0% primarily due to the effect of non-controlling interests, partially offset by state, local, and foreign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30, 2020 and Nine Months Ended September 30,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our statements of income for the nine months ended September 30,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5"/>
        </w:trPr>
        <w:tc>
          <w:tcPr>
            <w:tcW w:w="5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659,583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578,258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r>
      <w:tr>
        <w:trPr>
          <w:trHeight w:val="27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467,808</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442,768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25,040</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5.7 %</w:t>
            </w:r>
          </w:p>
        </w:tc>
      </w:tr>
      <w:tr>
        <w:trPr>
          <w:trHeight w:val="25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191,775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41.5 %</w:t>
            </w:r>
          </w:p>
        </w:tc>
      </w:tr>
      <w:tr>
        <w:trPr>
          <w:trHeight w:val="27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income</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(96.2)%</w:t>
            </w:r>
          </w:p>
        </w:tc>
      </w:tr>
      <w:tr>
        <w:trPr>
          <w:trHeight w:val="25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191,839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39.9 %</w:t>
            </w:r>
          </w:p>
        </w:tc>
      </w:tr>
      <w:tr>
        <w:trPr>
          <w:trHeight w:val="27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(39,898)</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(18,485)</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86.3 %</w:t>
            </w:r>
          </w:p>
        </w:tc>
      </w:tr>
      <w:tr>
        <w:trPr>
          <w:trHeight w:val="25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31.3 %</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Less: Pre-IPO net income attributable to Tradeweb Markets LLC</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(42,352)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Net income attributable to Tradeweb Markets Inc. and non-controlling</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r>
      <w:tr>
        <w:trPr>
          <w:trHeight w:val="25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151,941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107.0 %</w:t>
            </w:r>
          </w:p>
        </w:tc>
      </w:tr>
      <w:tr>
        <w:trPr>
          <w:trHeight w:val="27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40,705</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31.5 %</w:t>
            </w: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68,796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162.1 %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During the nine months ended September 30, 2020 as compared to the nine months ended September 30, 2019, our results benefited from higher client trading activity, which drove revenue increases in our rates, credit, equities and money markets asset classes and increased license fees in our market data business. Our expenses increased primarily due to higher depreciation and amortization expense, and increased employee compensation and benefits expense. The increase in depreciation and amortization expense was as a result of the longer estimated useful lives of computer software and the adjusted fair value of the assets that were established in connection with pushdown accounting on October 1, 2018 (see “—Critical Accounting Policies and Estimates”).</w:t>
      </w:r>
    </w:p>
    <w:p>
      <w:pPr>
        <w:spacing w:after="0" w:line="18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Gross revenue increased by $81.3 million or 14.1% to $659.6 million for the nine months ended September 30, 2020 from $578.3 million for the nine months ended September 30, 2019. The increase in gross revenue was mainly due to higher trading volumes resulting in a $64.2 million increase in transaction fees and a $12.0 million increase in commissions.</w:t>
      </w:r>
    </w:p>
    <w:p>
      <w:pPr>
        <w:spacing w:after="0" w:line="18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Total expenses increased by $25.0 million or 5.7% to $467.8 million for the nine months ended September 30, 2020 from $442.8 million for the nine months ended September 30, 2019. As noted above, total expenses for the nine months ended September 30, 2020 increased primarily due to higher employee compensation and benefits expense and higher depreciation and amortization expense, partially offset by lower travel and entertainment expenses.</w:t>
      </w:r>
    </w:p>
    <w:p>
      <w:pPr>
        <w:spacing w:after="0" w:line="187"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Income before taxes increased $54.7 million or 39.9% to $191.8 million for the nine months ended September 30, 2020 from $137.2 million for the nine months ended September 30, 2019. Net income increased $36.2 million or 31.3% to $151.9 million for the nine months ended September 30, 2020 from $115.7 million for the nine months ended September 30, 2019. Net income</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8" w:name="page49"/>
    <w:bookmarkEnd w:id="48"/>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attributable to Tradeweb Markets Inc. increased $68.8 million or 162.1% to $111.2 million for the nine months ended September 30, 2020 from $42.4 million for the nine months ended September 30, 2019. Income before taxes, net income and net income attributable to Tradeweb Markets Inc. for the nine months ended September 30, 2020 benefited from higher gross revenue of $81.3 million, partially offset by higher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revenues for the nine months ended September 30, 2020 and 2019, and the resulting dollar and percentage changes, were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center"/>
              <w:ind w:left="768"/>
              <w:spacing w:after="0"/>
              <w:rPr>
                <w:sz w:val="20"/>
                <w:szCs w:val="20"/>
                <w:color w:val="auto"/>
              </w:rPr>
            </w:pPr>
            <w:r>
              <w:rPr>
                <w:rFonts w:ascii="Arial" w:cs="Arial" w:eastAsia="Arial" w:hAnsi="Arial"/>
                <w:sz w:val="14"/>
                <w:szCs w:val="14"/>
                <w:b w:val="1"/>
                <w:bCs w:val="1"/>
                <w:color w:val="auto"/>
                <w:w w:val="93"/>
              </w:rPr>
              <w:t>Nine Months Ended</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748"/>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3"/>
          </w:tcPr>
          <w:p>
            <w:pPr>
              <w:jc w:val="right"/>
              <w:ind w:right="114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40" w:type="dxa"/>
            <w:vAlign w:val="bottom"/>
            <w:gridSpan w:val="3"/>
          </w:tcPr>
          <w:p>
            <w:pPr>
              <w:jc w:val="right"/>
              <w:ind w:right="114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 of Gross</w:t>
            </w:r>
          </w:p>
        </w:tc>
        <w:tc>
          <w:tcPr>
            <w:tcW w:w="580" w:type="dxa"/>
            <w:vAlign w:val="bottom"/>
          </w:tcPr>
          <w:p>
            <w:pPr>
              <w:spacing w:after="0"/>
              <w:rPr>
                <w:sz w:val="13"/>
                <w:szCs w:val="13"/>
                <w:color w:val="auto"/>
              </w:rPr>
            </w:pPr>
          </w:p>
        </w:tc>
        <w:tc>
          <w:tcPr>
            <w:tcW w:w="6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 of Gross</w:t>
            </w:r>
          </w:p>
        </w:tc>
        <w:tc>
          <w:tcPr>
            <w:tcW w:w="220" w:type="dxa"/>
            <w:vAlign w:val="bottom"/>
          </w:tcPr>
          <w:p>
            <w:pPr>
              <w:spacing w:after="0"/>
              <w:rPr>
                <w:sz w:val="13"/>
                <w:szCs w:val="13"/>
                <w:color w:val="auto"/>
              </w:rPr>
            </w:pPr>
          </w:p>
        </w:tc>
        <w:tc>
          <w:tcPr>
            <w:tcW w:w="10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13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5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8"/>
                <w:szCs w:val="18"/>
                <w:color w:val="auto"/>
              </w:rPr>
              <w:t>Transaction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383,552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58.2 %</w:t>
            </w:r>
          </w:p>
        </w:tc>
        <w:tc>
          <w:tcPr>
            <w:tcW w:w="10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319,338</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55.2 %</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64,214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149,172</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144,650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120,201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108,200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659,583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578,258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Components of gross revenue</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8"/>
                <w:szCs w:val="18"/>
                <w:color w:val="auto"/>
              </w:rPr>
              <w:t>Constant currency growth</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impact</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0"/>
        </w:trPr>
        <w:tc>
          <w:tcPr>
            <w:tcW w:w="2700" w:type="dxa"/>
            <w:vAlign w:val="bottom"/>
          </w:tcPr>
          <w:p>
            <w:pPr>
              <w:ind w:left="220"/>
              <w:spacing w:after="0"/>
              <w:rPr>
                <w:sz w:val="20"/>
                <w:szCs w:val="20"/>
                <w:color w:val="auto"/>
              </w:rPr>
            </w:pPr>
            <w:r>
              <w:rPr>
                <w:rFonts w:ascii="Arial" w:cs="Arial" w:eastAsia="Arial" w:hAnsi="Arial"/>
                <w:sz w:val="18"/>
                <w:szCs w:val="18"/>
                <w:color w:val="auto"/>
              </w:rPr>
              <w:t>Gross revenue growth</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Subscription fees for the nine months ended September 30, 2020 and 2019 include $43.5 million and $40.3 million, respectively, of Refinitiv market data fees.</w:t>
      </w:r>
    </w:p>
    <w:p>
      <w:pPr>
        <w:spacing w:after="0" w:line="13" w:lineRule="exact"/>
        <w:rPr>
          <w:rFonts w:ascii="Arial" w:cs="Arial" w:eastAsia="Arial" w:hAnsi="Arial"/>
          <w:sz w:val="14"/>
          <w:szCs w:val="14"/>
          <w:color w:val="auto"/>
        </w:rPr>
      </w:pPr>
    </w:p>
    <w:p>
      <w:pPr>
        <w:ind w:left="340" w:right="80" w:hanging="332"/>
        <w:spacing w:after="0" w:line="246"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gross revenue growth excluding the effects of foreign currency fluctuations. Gross revenue excluding the effects of foreign currency fluctuations is calculated by translating the current period and prior period’s gross revenue using the average exchange rates for 2019. We use constant currency growth as a supplemental metric to evaluate our underlying gross revenue performance between periods by removing the impact of foreign currency fluctuations. We believe that providing constant currency growth provides a useful comparison of our gross revenue performance and trends between periods.</w:t>
      </w:r>
    </w:p>
    <w:p>
      <w:pPr>
        <w:spacing w:after="0" w:line="19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u w:val="single" w:color="auto"/>
          <w:color w:val="auto"/>
        </w:rPr>
        <w:t>Transaction fees</w:t>
      </w:r>
      <w:r>
        <w:rPr>
          <w:rFonts w:ascii="Arial" w:cs="Arial" w:eastAsia="Arial" w:hAnsi="Arial"/>
          <w:sz w:val="18"/>
          <w:szCs w:val="18"/>
          <w:color w:val="auto"/>
        </w:rPr>
        <w:t>. Transaction fees increased by $64.2 million or 20.1% to $383.6 million for the nine months ended September 30, 2020 from $319.3 million for the nine months ended September 30, 2019 primarily due to increased fees for U.S. corporate bonds, mortgages, rates derivatives products, ETFs, and credit derivatives products.</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u w:val="single" w:color="auto"/>
          <w:color w:val="auto"/>
        </w:rPr>
        <w:t>Subscription fees</w:t>
      </w:r>
      <w:r>
        <w:rPr>
          <w:rFonts w:ascii="Arial" w:cs="Arial" w:eastAsia="Arial" w:hAnsi="Arial"/>
          <w:sz w:val="18"/>
          <w:szCs w:val="18"/>
          <w:color w:val="auto"/>
        </w:rPr>
        <w:t>. Subscription fees increased by $4.5 million or 3.1% to $149.2 million for the nine months ended September 30, 2020 from $144.7 million for the nine months ended September 30, 2019 primarily due to higher market data fees, partially offset by decreased fees for European government bonds.</w:t>
      </w:r>
    </w:p>
    <w:p>
      <w:pPr>
        <w:spacing w:after="0" w:line="180" w:lineRule="exact"/>
        <w:rPr>
          <w:sz w:val="20"/>
          <w:szCs w:val="20"/>
          <w:color w:val="auto"/>
        </w:rPr>
      </w:pPr>
    </w:p>
    <w:p>
      <w:pPr>
        <w:ind w:right="500" w:firstLine="324"/>
        <w:spacing w:after="0" w:line="266" w:lineRule="auto"/>
        <w:rPr>
          <w:sz w:val="20"/>
          <w:szCs w:val="20"/>
          <w:color w:val="auto"/>
        </w:rPr>
      </w:pPr>
      <w:r>
        <w:rPr>
          <w:rFonts w:ascii="Arial" w:cs="Arial" w:eastAsia="Arial" w:hAnsi="Arial"/>
          <w:sz w:val="18"/>
          <w:szCs w:val="18"/>
          <w:u w:val="single" w:color="auto"/>
          <w:color w:val="auto"/>
        </w:rPr>
        <w:t>Commissions</w:t>
      </w:r>
      <w:r>
        <w:rPr>
          <w:rFonts w:ascii="Arial" w:cs="Arial" w:eastAsia="Arial" w:hAnsi="Arial"/>
          <w:sz w:val="18"/>
          <w:szCs w:val="18"/>
          <w:b w:val="1"/>
          <w:bCs w:val="1"/>
          <w:color w:val="auto"/>
        </w:rPr>
        <w:t>.</w:t>
      </w:r>
      <w:r>
        <w:rPr>
          <w:rFonts w:ascii="Arial" w:cs="Arial" w:eastAsia="Arial" w:hAnsi="Arial"/>
          <w:sz w:val="18"/>
          <w:szCs w:val="18"/>
          <w:color w:val="auto"/>
        </w:rPr>
        <w:t xml:space="preserve"> Commissions increased by $12.0 million or 11.1% to $120.2 million for the nine months ended September 30, 2020 from $108.2 million for the nine months ended September 30, 2019 primarily due to increased fees for U.S. corporate bonds, equity derivatives products, rates derivatives products, and mortgages.</w:t>
      </w:r>
    </w:p>
    <w:p>
      <w:pPr>
        <w:spacing w:after="0" w:line="18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Other revenue increased by $0.6 million or 9.7% to $6.7 million for the nine months ended September 30, 2020 from $6.1 million for the nine months ended September 30, 2019 primarily as a result of revenue from our APA reporting service.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gross revenue by client sector for the nine months ended September 30, 2020 and 2019, and the resulting dollar and percentage changes,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4"/>
        </w:trPr>
        <w:tc>
          <w:tcPr>
            <w:tcW w:w="5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7"/>
        </w:trPr>
        <w:tc>
          <w:tcPr>
            <w:tcW w:w="5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407,464</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341,167</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66,297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19.4 %</w:t>
            </w: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124,416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59,495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81,325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14.1 %</w:t>
            </w: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xml:space="preserve"> Revenues from our Institutional client sector increased by $66.3 million or 19.4% to $407.5 million for the nine months ended September 30, 2020 from $341.2 million for the nine months ended September 30, 2019. The increase was derived primarily from increased fees for U.S. corporate bonds, rates derivatives products, mortgages, ETFs, and credit derivatives products.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$12.6 million or 10.1% to $137.0 million for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from $124.4 million for the nine months ended September 30, 2019. The increase was derived primarily from increased fees for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bonds, equity derivatives products, rates derivatives products, and mortgages.</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decreased by $1.8 million or 3.0% to $59.5 million for the nine months ended September 30, 2020 from $61.3 million for the nine months ended September 30, 2019. The decrease was derived primarily from lower revenues from U.S. corporate bonds and U.S. government bonds.</w:t>
      </w:r>
    </w:p>
    <w:p>
      <w:pPr>
        <w:spacing w:after="0" w:line="18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$4.3 million or 8.4% to $55.7 million for the nine months ended September 30, 2020 from $51.4 million for the nine months ended September 30, 2019 primarily as a result of increased Refinitiv license fees due to an increase in the number of market data feeds provided to Refinitiv.</w:t>
      </w:r>
    </w:p>
    <w:p>
      <w:pPr>
        <w:spacing w:after="0" w:line="18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gross revenue by asset class for the nine months ended September 30, 2020 and 2019, and the resulting dollar and percentage changes,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5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656"/>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7"/>
        </w:trPr>
        <w:tc>
          <w:tcPr>
            <w:tcW w:w="5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7"/>
                <w:szCs w:val="17"/>
                <w:color w:val="auto"/>
              </w:rPr>
            </w:pPr>
          </w:p>
        </w:tc>
      </w:tr>
      <w:tr>
        <w:trPr>
          <w:trHeight w:val="230"/>
        </w:trPr>
        <w:tc>
          <w:tcPr>
            <w:tcW w:w="5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354,628</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326,658</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27,970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23"/>
                <w:szCs w:val="23"/>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20" w:type="dxa"/>
            <w:vAlign w:val="bottom"/>
          </w:tcPr>
          <w:p>
            <w:pPr>
              <w:spacing w:after="0"/>
              <w:rPr>
                <w:sz w:val="23"/>
                <w:szCs w:val="23"/>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46,698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11,451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32.5 %</w:t>
            </w:r>
          </w:p>
        </w:tc>
        <w:tc>
          <w:tcPr>
            <w:tcW w:w="120" w:type="dxa"/>
            <w:vAlign w:val="bottom"/>
          </w:tcPr>
          <w:p>
            <w:pPr>
              <w:spacing w:after="0"/>
              <w:rPr>
                <w:sz w:val="23"/>
                <w:szCs w:val="23"/>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3"/>
                <w:szCs w:val="23"/>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55,657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3"/>
                <w:szCs w:val="23"/>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Fees</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17,063</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23"/>
                <w:szCs w:val="23"/>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81,325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14.1 %</w:t>
            </w:r>
          </w:p>
        </w:tc>
        <w:tc>
          <w:tcPr>
            <w:tcW w:w="12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8"/>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9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Our variable and fixed revenues by asset class for the nine months ended September 30, 2020 and 2019, and the resulting dollar and percentage changes,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1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ind w:left="920"/>
              <w:spacing w:after="0"/>
              <w:rPr>
                <w:sz w:val="20"/>
                <w:szCs w:val="20"/>
                <w:color w:val="auto"/>
              </w:rPr>
            </w:pPr>
            <w:r>
              <w:rPr>
                <w:rFonts w:ascii="Arial" w:cs="Arial" w:eastAsia="Arial" w:hAnsi="Arial"/>
                <w:sz w:val="14"/>
                <w:szCs w:val="14"/>
                <w:b w:val="1"/>
                <w:bCs w:val="1"/>
                <w:color w:val="auto"/>
              </w:rPr>
              <w:t>% Change</w:t>
            </w:r>
          </w:p>
        </w:tc>
        <w:tc>
          <w:tcPr>
            <w:tcW w:w="840" w:type="dxa"/>
            <w:vAlign w:val="bottom"/>
          </w:tcPr>
          <w:p>
            <w:pPr>
              <w:spacing w:after="0"/>
              <w:rPr>
                <w:sz w:val="16"/>
                <w:szCs w:val="16"/>
                <w:color w:val="auto"/>
              </w:rPr>
            </w:pPr>
          </w:p>
        </w:tc>
      </w:tr>
      <w:tr>
        <w:trPr>
          <w:trHeight w:val="26"/>
        </w:trPr>
        <w:tc>
          <w:tcPr>
            <w:tcW w:w="1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640" w:type="dxa"/>
            <w:vAlign w:val="bottom"/>
            <w:gridSpan w:val="3"/>
          </w:tcPr>
          <w:p>
            <w:pPr>
              <w:ind w:left="340"/>
              <w:spacing w:after="0"/>
              <w:rPr>
                <w:sz w:val="20"/>
                <w:szCs w:val="20"/>
                <w:color w:val="auto"/>
              </w:rPr>
            </w:pPr>
            <w:r>
              <w:rPr>
                <w:rFonts w:ascii="Arial" w:cs="Arial" w:eastAsia="Arial" w:hAnsi="Arial"/>
                <w:sz w:val="14"/>
                <w:szCs w:val="14"/>
                <w:b w:val="1"/>
                <w:bCs w:val="1"/>
                <w:color w:val="auto"/>
              </w:rPr>
              <w:t>Variable</w:t>
            </w: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Fixed</w:t>
            </w:r>
          </w:p>
        </w:tc>
      </w:tr>
      <w:tr>
        <w:trPr>
          <w:trHeight w:val="26"/>
        </w:trPr>
        <w:tc>
          <w:tcPr>
            <w:tcW w:w="1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4"/>
        </w:trPr>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6"/>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201,781</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152,847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175,278</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151,380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26,503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29,243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34.5 %</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22.7 %</w:t>
            </w:r>
          </w:p>
        </w:tc>
      </w:tr>
      <w:tr>
        <w:trPr>
          <w:trHeight w:val="27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70"/>
        </w:trPr>
        <w:tc>
          <w:tcPr>
            <w:tcW w:w="17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55,657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3"/>
                <w:szCs w:val="23"/>
                <w:color w:val="auto"/>
              </w:rPr>
            </w:pPr>
          </w:p>
        </w:tc>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7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23"/>
                <w:szCs w:val="23"/>
                <w:color w:val="auto"/>
              </w:rPr>
            </w:pPr>
          </w:p>
        </w:tc>
        <w:tc>
          <w:tcPr>
            <w:tcW w:w="16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23"/>
        </w:trPr>
        <w:tc>
          <w:tcPr>
            <w:tcW w:w="178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397,671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1"/>
        </w:trPr>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308" w:lineRule="auto"/>
        <w:rPr>
          <w:sz w:val="20"/>
          <w:szCs w:val="20"/>
          <w:color w:val="auto"/>
        </w:rPr>
      </w:pPr>
      <w:r>
        <w:rPr>
          <w:rFonts w:ascii="Arial" w:cs="Arial" w:eastAsia="Arial" w:hAnsi="Arial"/>
          <w:sz w:val="17"/>
          <w:szCs w:val="17"/>
          <w:u w:val="single" w:color="auto"/>
          <w:color w:val="auto"/>
        </w:rPr>
        <w:t>Rates</w:t>
      </w:r>
      <w:r>
        <w:rPr>
          <w:rFonts w:ascii="Arial" w:cs="Arial" w:eastAsia="Arial" w:hAnsi="Arial"/>
          <w:sz w:val="17"/>
          <w:szCs w:val="17"/>
          <w:color w:val="auto"/>
        </w:rPr>
        <w:t>. Revenues from our Rates asset class increased by $28.0 million or 8.6% to $354.6 million for the nine months ended September 30, 2020 from $326.7 million for the nine months ended September 30, 2019 primarily due to higher fees for rates derivatives products and mortgages.</w:t>
      </w:r>
    </w:p>
    <w:p>
      <w:pPr>
        <w:spacing w:after="0" w:line="14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$34.7 million or 29.2% to $153.3 million for the nine months ended September 30, 2020 from $118.6 million for the nine months ended September 30, 2019 primarily due to higher fees for U.S. and European corporate bonds and credit derivatives products.</w:t>
      </w:r>
    </w:p>
    <w:p>
      <w:pPr>
        <w:spacing w:after="0" w:line="184"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u w:val="single" w:color="auto"/>
          <w:color w:val="auto"/>
        </w:rPr>
        <w:t>Equities</w:t>
      </w:r>
      <w:r>
        <w:rPr>
          <w:rFonts w:ascii="Arial" w:cs="Arial" w:eastAsia="Arial" w:hAnsi="Arial"/>
          <w:sz w:val="16"/>
          <w:szCs w:val="16"/>
          <w:color w:val="auto"/>
        </w:rPr>
        <w:t>. Revenues from our Equities asset class increased by $11.5 million or 32.5% to $46.7 million for the nine months ended September 30, 2020 from $35.2 million for the nine months ended September 30, 2019 primarily due to higher trading volumes for ETFs and equity derivatives products.</w:t>
      </w:r>
    </w:p>
    <w:p>
      <w:pPr>
        <w:spacing w:after="0" w:line="124" w:lineRule="exact"/>
        <w:rPr>
          <w:sz w:val="20"/>
          <w:szCs w:val="20"/>
          <w:color w:val="auto"/>
        </w:rPr>
      </w:pPr>
    </w:p>
    <w:p>
      <w:pPr>
        <w:jc w:val="center"/>
        <w:ind w:right="340"/>
        <w:spacing w:after="0" w:line="342" w:lineRule="auto"/>
        <w:rPr>
          <w:sz w:val="20"/>
          <w:szCs w:val="20"/>
          <w:color w:val="auto"/>
        </w:rPr>
      </w:pPr>
      <w:r>
        <w:rPr>
          <w:rFonts w:ascii="Arial" w:cs="Arial" w:eastAsia="Arial" w:hAnsi="Arial"/>
          <w:sz w:val="16"/>
          <w:szCs w:val="16"/>
          <w:u w:val="single" w:color="auto"/>
          <w:color w:val="auto"/>
        </w:rPr>
        <w:t>Money Markets</w:t>
      </w:r>
      <w:r>
        <w:rPr>
          <w:rFonts w:ascii="Arial" w:cs="Arial" w:eastAsia="Arial" w:hAnsi="Arial"/>
          <w:sz w:val="16"/>
          <w:szCs w:val="16"/>
          <w:color w:val="auto"/>
        </w:rPr>
        <w:t>. Revenues from our Money Markets asset class increased by $1.9 million or 6.2% to $32.2 million for the nine months ended September 30, 2020 from $30.4 million for the nine months ended September 30, 2019 primarily due to increased volumes for repurchase agreements.</w:t>
      </w:r>
    </w:p>
    <w:p>
      <w:pPr>
        <w:spacing w:after="0" w:line="124"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Market Data increased by $4.3 million or 8.4% to $55.7 million for the nine months ended September 30, 2020 from $51.4 million for the nine months ended September 30, 2019 primarily as a result of increased Refinitiv license fees due to an increase in the number of market data feeds provided to Refinitiv.</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Revenues from Other Fees increased by $1.0 million or 6.5% to $17.1 million for the nine months ended September 30, 2020 from $16.0 million for the nine months ended September 30, 2019 primarily due to higher retail fees.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significant percentage of our revenues are tied directly to overall trading volumes in the rates, credit, equities and money markets asset classes. The average daily volumes and total volumes on our trading platforms by asset class for the nine months ended September 30, 2020 and 2019, and the resulting percentage changes,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88"/>
              <w:spacing w:after="0"/>
              <w:rPr>
                <w:sz w:val="20"/>
                <w:szCs w:val="20"/>
                <w:color w:val="auto"/>
              </w:rPr>
            </w:pPr>
            <w:r>
              <w:rPr>
                <w:rFonts w:ascii="Arial" w:cs="Arial" w:eastAsia="Arial" w:hAnsi="Arial"/>
                <w:sz w:val="14"/>
                <w:szCs w:val="14"/>
                <w:b w:val="1"/>
                <w:bCs w:val="1"/>
                <w:color w:val="auto"/>
              </w:rPr>
              <w:t>ADV</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ADV</w:t>
            </w:r>
          </w:p>
        </w:tc>
        <w:tc>
          <w:tcPr>
            <w:tcW w:w="2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Volume</w:t>
            </w:r>
          </w:p>
        </w:tc>
        <w:tc>
          <w:tcPr>
            <w:tcW w:w="4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ADV</w:t>
            </w:r>
          </w:p>
        </w:tc>
        <w:tc>
          <w:tcPr>
            <w:tcW w:w="220" w:type="dxa"/>
            <w:vAlign w:val="bottom"/>
          </w:tcPr>
          <w:p>
            <w:pPr>
              <w:spacing w:after="0"/>
              <w:rPr>
                <w:sz w:val="16"/>
                <w:szCs w:val="16"/>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100,227,837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94,682,969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Credit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4,462,319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2,893,964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53.4 %</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2,321,691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1,401,552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65.2 %</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253,702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48,077,073</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215,023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40,499,348</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155,088,920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739,903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139,477,833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51" w:name="page52"/>
    <w:bookmarkEnd w:id="51"/>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ADV for Rates increased due mainly to higher trading activity in U.S. treasuries and mortgages.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ADV for Credit increased due mainly to higher trading activity in credit swaps as well as U.S. High Grade credit.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ADV for Equities increased due to higher trading volumes in U.S. ETFs and equity options.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ADV for Money Markets increased mainly due to the continued growth of bilateral electronic trading in repurchase agreements.</w:t>
      </w:r>
    </w:p>
    <w:p>
      <w:pPr>
        <w:spacing w:after="0" w:line="223" w:lineRule="exact"/>
        <w:rPr>
          <w:sz w:val="20"/>
          <w:szCs w:val="20"/>
          <w:color w:val="auto"/>
        </w:rPr>
      </w:pPr>
    </w:p>
    <w:p>
      <w:pPr>
        <w:jc w:val="both"/>
        <w:ind w:right="200" w:firstLine="324"/>
        <w:spacing w:after="0" w:line="291" w:lineRule="auto"/>
        <w:rPr>
          <w:sz w:val="20"/>
          <w:szCs w:val="20"/>
          <w:color w:val="auto"/>
        </w:rPr>
      </w:pPr>
      <w:r>
        <w:rPr>
          <w:rFonts w:ascii="Arial" w:cs="Arial" w:eastAsia="Arial" w:hAnsi="Arial"/>
          <w:sz w:val="16"/>
          <w:szCs w:val="16"/>
          <w:color w:val="auto"/>
        </w:rPr>
        <w:t>The average variable fees per million dollars of volume traded on our trading platforms by asset class for the nine months ended September 30, 2020 and 2019 are summarized below. There are three potential drivers of quarterly fluctuations in our average variable fees per million: (1) volume discounts,</w:t>
      </w:r>
    </w:p>
    <w:p>
      <w:pPr>
        <w:ind w:right="20" w:firstLine="8"/>
        <w:spacing w:after="0" w:line="253"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mix of cash and derivatives products traded, and (3) the mix of protocols underpinning cash and derivatives products. Average variable fees per million should be reviewed in conjunction with our trading volumes and gross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4"/>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8"/>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tcPr>
          <w:p>
            <w:pPr>
              <w:jc w:val="right"/>
              <w:ind w:right="311"/>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center"/>
              <w:ind w:left="511"/>
              <w:spacing w:after="0"/>
              <w:rPr>
                <w:sz w:val="20"/>
                <w:szCs w:val="20"/>
                <w:color w:val="auto"/>
              </w:rPr>
            </w:pPr>
            <w:r>
              <w:rPr>
                <w:rFonts w:ascii="Arial" w:cs="Arial" w:eastAsia="Arial" w:hAnsi="Arial"/>
                <w:sz w:val="18"/>
                <w:szCs w:val="18"/>
                <w:color w:val="auto"/>
                <w:w w:val="91"/>
              </w:rPr>
              <w:t>0.16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Cash Rates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511"/>
              <w:spacing w:after="0"/>
              <w:rPr>
                <w:sz w:val="20"/>
                <w:szCs w:val="20"/>
                <w:color w:val="auto"/>
              </w:rPr>
            </w:pPr>
            <w:r>
              <w:rPr>
                <w:rFonts w:ascii="Arial" w:cs="Arial" w:eastAsia="Arial" w:hAnsi="Arial"/>
                <w:sz w:val="18"/>
                <w:szCs w:val="18"/>
                <w:color w:val="auto"/>
                <w:w w:val="91"/>
              </w:rPr>
              <w:t>0.02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Rates Derivatives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w w:val="91"/>
              </w:rPr>
              <w:t>0.37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Swaps/Swaptions Tenor (greater than 1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511"/>
              <w:spacing w:after="0"/>
              <w:rPr>
                <w:sz w:val="20"/>
                <w:szCs w:val="20"/>
                <w:color w:val="auto"/>
              </w:rPr>
            </w:pPr>
            <w:r>
              <w:rPr>
                <w:rFonts w:ascii="Arial" w:cs="Arial" w:eastAsia="Arial" w:hAnsi="Arial"/>
                <w:sz w:val="18"/>
                <w:szCs w:val="18"/>
                <w:color w:val="auto"/>
                <w:w w:val="91"/>
              </w:rPr>
              <w:t>0.38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29"/>
        </w:trPr>
        <w:tc>
          <w:tcPr>
            <w:tcW w:w="54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Rates Derivatives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w w:val="91"/>
              </w:rPr>
              <w:t>0.11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147.8 %</w:t>
            </w:r>
          </w:p>
        </w:tc>
      </w:tr>
      <w:tr>
        <w:trPr>
          <w:trHeight w:val="257"/>
        </w:trPr>
        <w:tc>
          <w:tcPr>
            <w:tcW w:w="5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(5.02)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5400" w:type="dxa"/>
            <w:vAlign w:val="bottom"/>
          </w:tcPr>
          <w:p>
            <w:pPr>
              <w:ind w:left="140"/>
              <w:spacing w:after="0" w:line="230" w:lineRule="exact"/>
              <w:rPr>
                <w:sz w:val="20"/>
                <w:szCs w:val="20"/>
                <w:color w:val="auto"/>
              </w:rPr>
            </w:pPr>
            <w:r>
              <w:rPr>
                <w:rFonts w:ascii="Arial" w:cs="Arial" w:eastAsia="Arial" w:hAnsi="Arial"/>
                <w:sz w:val="18"/>
                <w:szCs w:val="18"/>
                <w:color w:val="auto"/>
              </w:rPr>
              <w:t>Cash Credit</w:t>
            </w:r>
            <w:r>
              <w:rPr>
                <w:rFonts w:ascii="Arial" w:cs="Arial" w:eastAsia="Arial" w:hAnsi="Arial"/>
                <w:sz w:val="23"/>
                <w:szCs w:val="23"/>
                <w:color w:val="auto"/>
                <w:vertAlign w:val="superscript"/>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131.59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511"/>
              <w:spacing w:after="0"/>
              <w:rPr>
                <w:sz w:val="20"/>
                <w:szCs w:val="20"/>
                <w:color w:val="auto"/>
              </w:rPr>
            </w:pPr>
            <w:r>
              <w:rPr>
                <w:rFonts w:ascii="Arial" w:cs="Arial" w:eastAsia="Arial" w:hAnsi="Arial"/>
                <w:sz w:val="18"/>
                <w:szCs w:val="18"/>
                <w:color w:val="auto"/>
                <w:w w:val="91"/>
              </w:rPr>
              <w:t>3.57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Derivatives and U.S. Cash "EP"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(0.32)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57"/>
        </w:trPr>
        <w:tc>
          <w:tcPr>
            <w:tcW w:w="5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(3.92)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5400" w:type="dxa"/>
            <w:vAlign w:val="bottom"/>
          </w:tcPr>
          <w:p>
            <w:pPr>
              <w:ind w:left="120"/>
              <w:spacing w:after="0"/>
              <w:rPr>
                <w:sz w:val="20"/>
                <w:szCs w:val="20"/>
                <w:color w:val="auto"/>
              </w:rPr>
            </w:pPr>
            <w:r>
              <w:rPr>
                <w:rFonts w:ascii="Arial" w:cs="Arial" w:eastAsia="Arial" w:hAnsi="Arial"/>
                <w:sz w:val="18"/>
                <w:szCs w:val="18"/>
                <w:color w:val="auto"/>
              </w:rPr>
              <w:t>Cash Equities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23.97</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471"/>
              <w:spacing w:after="0"/>
              <w:rPr>
                <w:sz w:val="20"/>
                <w:szCs w:val="20"/>
                <w:color w:val="auto"/>
              </w:rPr>
            </w:pPr>
            <w:r>
              <w:rPr>
                <w:rFonts w:ascii="Arial" w:cs="Arial" w:eastAsia="Arial" w:hAnsi="Arial"/>
                <w:sz w:val="18"/>
                <w:szCs w:val="18"/>
                <w:color w:val="auto"/>
                <w:w w:val="93"/>
              </w:rPr>
              <w:t>(5.31)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Derivatives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(1.18)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57"/>
        </w:trPr>
        <w:tc>
          <w:tcPr>
            <w:tcW w:w="5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 (Cash)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3"/>
              </w:rPr>
              <w:t>(0.06)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57"/>
        </w:trPr>
        <w:tc>
          <w:tcPr>
            <w:tcW w:w="5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Fees per Million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w w:val="91"/>
              </w:rPr>
              <w:t>0.22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304"/>
        </w:trPr>
        <w:tc>
          <w:tcPr>
            <w:tcW w:w="5400" w:type="dxa"/>
            <w:vAlign w:val="bottom"/>
          </w:tcPr>
          <w:p>
            <w:pPr>
              <w:ind w:left="20"/>
              <w:spacing w:after="0"/>
              <w:rPr>
                <w:sz w:val="20"/>
                <w:szCs w:val="20"/>
                <w:color w:val="auto"/>
              </w:rPr>
            </w:pPr>
            <w:r>
              <w:rPr>
                <w:rFonts w:ascii="Arial" w:cs="Arial" w:eastAsia="Arial" w:hAnsi="Arial"/>
                <w:sz w:val="18"/>
                <w:szCs w:val="18"/>
                <w:color w:val="auto"/>
              </w:rPr>
              <w:t>Total Fees per Million excluding Other Rates Derivatives</w:t>
            </w:r>
            <w:r>
              <w:rPr>
                <w:rFonts w:ascii="Arial" w:cs="Arial" w:eastAsia="Arial" w:hAnsi="Arial"/>
                <w:sz w:val="23"/>
                <w:szCs w:val="23"/>
                <w:color w:val="auto"/>
                <w:vertAlign w:val="superscript"/>
              </w:rPr>
              <w:t>(3)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511"/>
              <w:spacing w:after="0"/>
              <w:rPr>
                <w:sz w:val="20"/>
                <w:szCs w:val="20"/>
                <w:color w:val="auto"/>
              </w:rPr>
            </w:pPr>
            <w:r>
              <w:rPr>
                <w:rFonts w:ascii="Arial" w:cs="Arial" w:eastAsia="Arial" w:hAnsi="Arial"/>
                <w:sz w:val="18"/>
                <w:szCs w:val="18"/>
                <w:color w:val="auto"/>
                <w:w w:val="91"/>
              </w:rPr>
              <w:t>0.17</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6.4 %</w:t>
            </w:r>
          </w:p>
        </w:tc>
      </w:tr>
    </w:tbl>
    <w:p>
      <w:pPr>
        <w:spacing w:after="0" w:line="14"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 Grade and High Yield electronically processed ("EP") activity.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pacing w:after="0" w:line="209"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Average variable fees per million for rates increased due to a mix shift toward higher fees per million cash and long-tenor swaps products and away from lower fees per million short-tenor swaps products.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Credit</w:t>
      </w:r>
      <w:r>
        <w:rPr>
          <w:rFonts w:ascii="Arial" w:cs="Arial" w:eastAsia="Arial" w:hAnsi="Arial"/>
          <w:sz w:val="17"/>
          <w:szCs w:val="17"/>
          <w:color w:val="auto"/>
        </w:rPr>
        <w:t>. Average variable fees per million for credit decreased due to a mix shift toward derivatives and U.S. credit EP and away from cash credit.</w:t>
      </w:r>
    </w:p>
    <w:p>
      <w:pPr>
        <w:spacing w:after="0" w:line="22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Average variable fees per million for equities overall decreased due to a mix shift toward derivatives and away from cash, in addition to a mix shift within cash equities toward lower fees per million wholesale ETF activity and away from institutional ETF activity.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Average variable fees per million for money markets decreased due to a mix shift from higher variable fees per million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certificates of deposit toward lower variable fees per million repurchase agreements.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Our gross revenue by geography (based on client location) for the nine months ended September 30, 2020 and 2019, and the resulting dollar and percentage changes,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5"/>
        </w:trPr>
        <w:tc>
          <w:tcPr>
            <w:tcW w:w="5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422,114</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368,689</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53,425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14.5 %</w:t>
            </w: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237,469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209,569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Gross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81,325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14.1 %</w:t>
            </w: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$53.4 million or 14.5% to $422.1 million for the nine months ended September 30, 2020 from $368.7 million for the nine months ended September 30, 2019 primarily due to higher revenues for U.S. corporate bonds, mortgages, U.S. ETFs, and U.S. government bonds.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u w:val="single" w:color="auto"/>
          <w:color w:val="auto"/>
        </w:rPr>
        <w:t>International.</w:t>
      </w:r>
      <w:r>
        <w:rPr>
          <w:rFonts w:ascii="Arial" w:cs="Arial" w:eastAsia="Arial" w:hAnsi="Arial"/>
          <w:sz w:val="18"/>
          <w:szCs w:val="18"/>
          <w:color w:val="auto"/>
        </w:rPr>
        <w:t xml:space="preserve"> Revenues from International clients increased by $27.9 million or 13.3% to $237.5 million for the nine months ended September 30, 2020 from $209.6 million for the nine months ended September 30, 2019 primarily due to higher revenues for rates derivatives products, credit derivatives products, and European ETFs. Fluctuations in foreign currency rates for the nine months ended September 30, 2020 increased our International gross revenue by $0.8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expenses for the nine months ended September 30, 2020 and 2019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5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31"/>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263,353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113,952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102,928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11,024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10.7 %</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24,520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7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10,678</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u w:val="single" w:color="auto"/>
          <w:color w:val="auto"/>
        </w:rPr>
        <w:t>Employee Compensation and Benefits</w:t>
      </w:r>
      <w:r>
        <w:rPr>
          <w:rFonts w:ascii="Arial" w:cs="Arial" w:eastAsia="Arial" w:hAnsi="Arial"/>
          <w:sz w:val="18"/>
          <w:szCs w:val="18"/>
          <w:color w:val="auto"/>
        </w:rPr>
        <w:t>. Employee compensation and benefits expense increased by $10.4 million or 4.1% to $263.4 million for the nine months ended September 30, 2020 from $252.9 million for the nine months ended September 30, 2019. The increase was primarily due to a $10.1 million increase in salary and benefits due to increased employee headcount, and a $12.5 million increase in incentive compensation expenses tied to operating performance and commissions due to higher revenues from our Wholesale client sector. This is partially offset by a $12.1 million decrease in non-cash stock-based compensation expense related to options. In April 2019, we recognized $18.9 million as compensation expense related to the Special Option Award immediately upon the completion of the IPO.</w:t>
      </w: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Depreciation and amortization expense increased by $11.0 million or 10.7% to $114.0 million for the nine months ended September 30, 2020 from $102.9 million for the nine months ended September 30, 2019. The increase in depreciation and amortization expense was the result of the longer estimated useful lives of computer software and the adjusted fair value of the assets that were established in connection with pushdown accounting on October 1, 2018 (see “—Critical Accounting Policies and Estimates”). Assets which may have been fully depreciated or amortized prior to the application of pushdown accounting are still being depreciated or amortized in these periods.</w:t>
      </w:r>
    </w:p>
    <w:p>
      <w:pPr>
        <w:spacing w:after="0" w:line="17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u w:val="single" w:color="auto"/>
          <w:color w:val="auto"/>
        </w:rPr>
        <w:t>Technology and Communications</w:t>
      </w:r>
      <w:r>
        <w:rPr>
          <w:rFonts w:ascii="Arial" w:cs="Arial" w:eastAsia="Arial" w:hAnsi="Arial"/>
          <w:sz w:val="18"/>
          <w:szCs w:val="18"/>
          <w:color w:val="auto"/>
        </w:rPr>
        <w:t>. Technology and communications expense increased by $5.3 million or 18.3% to $34.4 million for the nine months ended September 30, 2020 from $29.1 million for the nine months ended September 30, 2019. The</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53" w:name="page54"/>
    <w:bookmarkEnd w:id="53"/>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increase was primarily due to increased clearance and data fees as a result of higher trading volumes and increased investment in our data strategy and cybersecurity.</w:t>
      </w:r>
    </w:p>
    <w:p>
      <w:pPr>
        <w:spacing w:after="0" w:line="170"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by $1.4 million or 5.6% to $24.5 million for the nine months ended September 30, 2020 from $26.0 million for the nine months ended September 30, 2019. The decrease was primarily a result of lower travel and entertainment expenses, partially offset by higher foreign exchange losses and insurance expenses.</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decreased by $0.1 million or 0.3% to $20.9 million for the nine months ended September 30, 2020 from $21.0 million for the nine months ended September 30, 2019.</w:t>
      </w:r>
    </w:p>
    <w:p>
      <w:pPr>
        <w:spacing w:after="0" w:line="17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u w:val="single" w:color="auto"/>
          <w:color w:val="auto"/>
        </w:rPr>
        <w:t>Occupancy</w:t>
      </w:r>
      <w:r>
        <w:rPr>
          <w:rFonts w:ascii="Arial" w:cs="Arial" w:eastAsia="Arial" w:hAnsi="Arial"/>
          <w:sz w:val="17"/>
          <w:szCs w:val="17"/>
          <w:color w:val="auto"/>
        </w:rPr>
        <w:t>. Occupancy expense decreased by $0.2 million or 2.0% to $10.7 million for the nine months ended September 30, 2020 from $10.9 million for the nine months ended September 30, 2019. The decrease was primarily a result of lower utilities and data center rent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Net interest income decreased by $1.6 million to net interest income of $0.1 million for the nine months ended September 30, 2020 from net interest income of $1.7 million for the nine months ended September 30, 2019 due to a decrease in interest rates and costs related to the Revolving Credit Facility, which did not begin until the second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provision for income taxes includes U.S. federal, state, local, and foreign taxes. The effective tax rate for the nine months ended September 30, 2020 was approximately 20.8%, compared with 15.6% for the nine months ended September 30, 2019. The effective tax rate for the nine months ended September 30, 2020 differed from the U.S. federal statutory rate of 21.0% primarily due to the effect of non-controlling interests and the tax impact of the exercise of equity compensation, partially offset by state, local and foreign taxes. The effective tax rate for the nine months ended September 30, 2019 differed from the U.S. federal statutory rate of 21.0% primarily due to the effect of non-controlling interests and foreign tax credits, partially offset by state, local, and foreign taxes.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availability under the Revolving Credit Facility and their sufficiency to fund our operating and investing activities.</w:t>
      </w:r>
    </w:p>
    <w:p>
      <w:pPr>
        <w:spacing w:after="0" w:line="14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primary cash needs are for day to day operations, working capital requirements, capital expenditures, primarily for software and equipment, and our expected dividend payments.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generally over a 15 year period,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Total amounts due to the Continuing LLC Owners as of September 30, 2020 under the Tax Receivable Agreement were $373.0 million.</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expect to fund our liquidity requirements through cash and cash equivalents and cash flows from operations. While historically we have generated significant and adequate cash flows from operations, in the event of an unexpected event in the future or otherwise, we may fund our liquidity requirements through borrowings under the Revolving Credit Facility.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9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As of September 30, 2020 and December 31, 2019, we had cash and cash equivalents of approximately $677.4 million and $460.7 million, respectively. All cash and cash equivalents were held in accounts with banks such that the funds are immediately available in money market funds or in fixed term deposits with a maximum maturity of three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w:t>
      </w:r>
    </w:p>
    <w:p>
      <w:pPr>
        <w:spacing w:after="0" w:line="18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9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Dividends</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On October 27, 2020, the board of directors declared a cash dividend of $0.08 per share of Class A common stock and Class B common stock for the fourth quarter of 2020. This dividend will be payable on December 15, 2020 to stockholders of record as of December 1, 2020.</w:t>
      </w:r>
    </w:p>
    <w:p>
      <w:pPr>
        <w:spacing w:after="0" w:line="14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 March, May and September 2020, Tradeweb Markets Inc. paid quarterly cash dividends to the holders of Class A common stock and Class B common stock in aggregate amounts of $13.4 million, $14.5 million and $15.0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Distributions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 October 24, 2020, Tradeweb Markets Inc., as the sole manager, approved a distribution by TWM LLC to its equityholders, including Tradeweb Markets Inc., in an aggregate amount of $25.0 million payable on December 11, 2020.</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May and September 2020, TWM LLC made a cash distribution to its equityholders, including Tradeweb Markets Inc., in aggregate amounts of $18.1 million and $27.8 million, respectively.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and December 31, 2019, we had no outstanding indebtedness.</w:t>
      </w:r>
    </w:p>
    <w:p>
      <w:pPr>
        <w:spacing w:after="0" w:line="22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On April 8, 2019, TWM LLC entered into the Revolving Credit Facility with a syndicate of banks. The Revolving Credit Facility provides borrowing capacity to be used to fund our ongoing working capital needs, letters of credit and for general corporate purposes, including potential future acquisitions and expansions.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7, 2019, TWM LLC entered into an amendment to the Revolving Credit Facility among TWM LLC and the lenders party thereto, which revised the Revolving Credit Facility to permit the pending LSEG Transaction. The amendment did not otherwise impact the terms of the Revolving Credit Facility and did not impact the amount of borrowings available to TWM LLC under the Revolving Credit Facility.</w:t>
      </w:r>
    </w:p>
    <w:p>
      <w:pPr>
        <w:spacing w:after="0" w:line="18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TWM LLC is the borrower under the Revolving Credit Facility. 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September 30, 2020, there were no amounts outstanding under the Revolving Credit Facility and we had availability of $500.0 million.</w:t>
      </w:r>
    </w:p>
    <w:p>
      <w:pPr>
        <w:spacing w:after="0" w:line="23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 (b) LIBOR plus 1.75%, subject to a 0.00% floor. The credit agreement also requires that we pay a commitment fee of 0.25% for available but unborrowed amounts. We are also required to pay customary letter of credit fees and agency fees.</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the option to voluntarily repay outstanding loans at any time without premium or penalty other than customary “breakage” costs with respect to LIBOR loans.</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will be no scheduled amortization under the Revolving Credit Facility. The principal amount outstanding will be due and payable in full at maturity.</w:t>
      </w:r>
    </w:p>
    <w:p>
      <w:pPr>
        <w:spacing w:after="0" w:line="170"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8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8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credit agreement that governs the Revolving Credit Facility also contains certain affirmative covenants and events of default customary for facilities of this type, including relating to a change of control. See Item 5, “Other Information” elsewhere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6" w:name="page57"/>
    <w:bookmarkEnd w:id="56"/>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this Quarterly Report on Form 10-Q. If an event of default occurs, the lenders under the Revolving Credit Facility will be entitled to take various actions, including the acceleration of amounts due under the Revolving Credit Facility and all actions permitted to be taken by secured creditors under applicable law. As of September 30, 2020, we were in compliance with all the covenants set forth in the Revolving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September 30, 2020 and December 31, 2019, each of our regulated subsidiaries had maintained sufficient net capital or financial resources to at least satisfy their minimum requirements which in aggregate were $60.7 million and $53.2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Fails to Deliver/Fails to Receive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working capital as of September 30, 2020 and December 31, 2019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September 30, 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December 31, 2019</w:t>
            </w:r>
          </w:p>
        </w:tc>
      </w:tr>
      <w:tr>
        <w:trPr>
          <w:trHeight w:val="231"/>
        </w:trPr>
        <w:tc>
          <w:tcPr>
            <w:tcW w:w="7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80" w:type="dxa"/>
            <w:vAlign w:val="bottom"/>
            <w:gridSpan w:val="4"/>
          </w:tcPr>
          <w:p>
            <w:pPr>
              <w:jc w:val="right"/>
              <w:ind w:right="1251"/>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460,711</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30,641</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10,163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9,724</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92,814</w:t>
            </w:r>
          </w:p>
        </w:tc>
      </w:tr>
      <w:tr>
        <w:trPr>
          <w:trHeight w:val="27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from affiliates</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r>
      <w:tr>
        <w:trPr>
          <w:trHeight w:val="25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843,680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597,415</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56,802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30,452</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119,415</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29,857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23,990</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32,834</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Employee equity compensation payable</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1,506</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w:t>
            </w:r>
          </w:p>
        </w:tc>
      </w:tr>
      <w:tr>
        <w:trPr>
          <w:trHeight w:val="25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258,467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224,710</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372,705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Current assets increased to $843.7 million as of September 30, 2020 from $597.4 million as of December 31, 2019 due to an increase in cash and cash equivalents as a result of increased revenues and earnings and due to an increase in receivables from brokers and dealers and clearing organizations resulting from a higher number of fails to deliver as a result of increased unsettled wholesale platform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Current liabilities increased to $258.5 million as of September 30, 2020 from $224.7 million as of December 31, 2019 due to an increase in payable to brokers and dealers and clearing organizations resulting from a higher number of fails to deliver as a result of increased unsettled wholesale platform transactions.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“—Liquidity and Capital Resources—Factors Influencing Our Liquidity and Capital Resources—Capital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for the three months ended September 30, 2020 and 2019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4"/>
              </w:rPr>
              <w:t>Nine Months Ended</w:t>
            </w:r>
          </w:p>
        </w:tc>
      </w:tr>
      <w:tr>
        <w:trPr>
          <w:trHeight w:val="195"/>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r>
      <w:tr>
        <w:trPr>
          <w:trHeight w:val="187"/>
        </w:trPr>
        <w:tc>
          <w:tcPr>
            <w:tcW w:w="8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6"/>
        </w:trPr>
        <w:tc>
          <w:tcPr>
            <w:tcW w:w="8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19"/>
                <w:szCs w:val="19"/>
                <w:color w:val="auto"/>
              </w:rPr>
            </w:pPr>
          </w:p>
        </w:tc>
      </w:tr>
      <w:tr>
        <w:trPr>
          <w:trHeight w:val="25"/>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190,465</w:t>
            </w:r>
          </w:p>
        </w:tc>
      </w:tr>
      <w:tr>
        <w:trPr>
          <w:trHeight w:val="270"/>
        </w:trPr>
        <w:tc>
          <w:tcPr>
            <w:tcW w:w="832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(29,348)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(29,767)</w:t>
            </w:r>
          </w:p>
        </w:tc>
      </w:tr>
      <w:tr>
        <w:trPr>
          <w:trHeight w:val="27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financing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(178,856)</w:t>
            </w:r>
          </w:p>
        </w:tc>
      </w:tr>
      <w:tr>
        <w:trPr>
          <w:trHeight w:val="27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and stock-based compensation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84"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Net cash provided by operating activities for the nine months ended September 30, 2020 was $303.5 million, an increase of 59.4% over 2019, primarily driven by an increase in gross revenue and a decrease in cash taxes and employee equity compensation cash payments.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Investing activities consist of software development costs, investments in technology hardware, purchases of equipment and other tangible assets, business acquisitions and investments.</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Net cash used in investing activities was $29.3 million for the nine months ended September 30, 2020, which consisted of $22.9 million of capitalized software development costs and $6.5 million of purchases of furniture, equipment, purchased software and leasehold improvements. Net cash used in investing activities was $29.8 million for the nine months ended September 30, 2019, which consisted of $21.2 million of capitalized software development costs and $8.6 million of purchases of furniture, equipment, purchased software and leasehold improvements.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Net cash used in financing activities for the nine months ended September 30, 2020 was $56.1 million, primarily driven by dividend payments and activity related to stock-based compensation exercises. Net cash used in financing activities for the nine months ended September 30, 2019 was $178.9 million, primarily driven by pre-IPO capital distributions and dividend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to measure liquidity. Free Cash Flow is defined as cash flow from operating activities less expenditures for capitalized software development costs and furniture, equipment and leasehold improvements.</w:t>
      </w:r>
    </w:p>
    <w:p>
      <w:pPr>
        <w:spacing w:after="0" w:line="184"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84"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80" w:type="dxa"/>
            <w:vAlign w:val="bottom"/>
          </w:tcPr>
          <w:p>
            <w:pPr>
              <w:spacing w:after="0"/>
              <w:rPr>
                <w:sz w:val="16"/>
                <w:szCs w:val="16"/>
                <w:color w:val="auto"/>
              </w:rPr>
            </w:pPr>
          </w:p>
        </w:tc>
      </w:tr>
      <w:tr>
        <w:trPr>
          <w:trHeight w:val="195"/>
        </w:trPr>
        <w:tc>
          <w:tcPr>
            <w:tcW w:w="7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226"/>
        </w:trPr>
        <w:tc>
          <w:tcPr>
            <w:tcW w:w="7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tcPr>
          <w:p>
            <w:pPr>
              <w:spacing w:after="0"/>
              <w:rPr>
                <w:sz w:val="19"/>
                <w:szCs w:val="19"/>
                <w:color w:val="auto"/>
              </w:rPr>
            </w:pPr>
          </w:p>
        </w:tc>
      </w:tr>
      <w:tr>
        <w:trPr>
          <w:trHeight w:val="25"/>
        </w:trPr>
        <w:tc>
          <w:tcPr>
            <w:tcW w:w="7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303,532</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190,465</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10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(22,864)</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(21,200)</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(8,567)</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274,184</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160,698</w:t>
            </w:r>
          </w:p>
        </w:tc>
      </w:tr>
      <w:tr>
        <w:trPr>
          <w:trHeight w:val="21"/>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In addition to net income and net income attributable to Tradeweb Markets Inc., each presented in accordance with GAAP, we present Adjusted EBITDA, Adjusted EBITDA margin, Adjusted EBIT and Adjusted EBIT margin as measures of our operating performance and Adjusted Net Income and Adjusted Net Income per diluted share (“Adjusted Diluted EPS”) as measures of our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225"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Adjusted EBITDA is defined as net income, net interest income, provision for income taxes and depreciation and amortization, adjusted for the impact of certain other items, including certain stock-based compensation expense and payroll taxes associated with certain option exercises, tax receivable agreement liability adjustments and gains and losses from outstanding foreign exchange forward contracts and the revaluation of foreign denominated cash. Adjusted EBIT is defined as net income, net interest income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and gains and losses from outstanding foreign exchange forward contracts and the revaluation of foreign denominated cash. Adjusted EBITDA margin and Adjusted EBIT margin are defined as Adjusted EBITDA and Adjusted EBIT, respectively, divided by gross revenue for the applicable period. 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discussed below under “— Critical Accounting Policies and Estimates — Stock-Based Compensation,” as well as non-cash stock-based compensation expense associated with options awarded to management and other employees following the IPO during 2019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We do not expect to exclude any non-cash stock-based compensation expense associated with options that may be awarded to management and other employees during 2020.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With respect to Adjusted EBIT and Adjusted EBIT margin, we believe it is useful to exclude the depreciation and amortization of acquisition related tangible and intangible assets resulting from certain acquisitions, the Refinitiv Transaction and the application of pushdown accounting in order to facilitate a period-over-period comparison of our financial performance.</w:t>
      </w:r>
    </w:p>
    <w:p>
      <w:pPr>
        <w:spacing w:after="0" w:line="177"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5"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each adjusted for certain stock-based compensation expense and payroll taxes associated with certain option exercises, tax receivable liability adjustments, acquisition and Refinitiv Transaction related depreciation and amortization and gains and losses from outstanding foreign exchange forward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contracts and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assuming the full exchange of all outstanding LLC Interests held by non-controlling interests for shares of Class A common stock or Class B common stock, for post-IPO periods, and the diluted weighted average number of shares of TWM LLC outstanding for the applicable period, for pre-IPO periods. The diluted weighted average number of shares outstanding for the pre-IPO periods and post-IPO periods give effect to potentially dilutive securities using the treasury stock method.</w:t>
      </w:r>
    </w:p>
    <w:p>
      <w:pPr>
        <w:spacing w:after="0" w:line="17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8"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185"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and nine months ended September 30, 2020 and 2019:</w:t>
      </w: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47,048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48,578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151,941</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115,746</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color w:val="auto"/>
              </w:rPr>
              <w:t>Net interest income (expense)</w:t>
            </w:r>
          </w:p>
        </w:tc>
        <w:tc>
          <w:tcPr>
            <w:tcW w:w="42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(636)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(1,669)</w:t>
            </w:r>
          </w:p>
        </w:tc>
        <w:tc>
          <w:tcPr>
            <w:tcW w:w="0" w:type="dxa"/>
            <w:vAlign w:val="bottom"/>
          </w:tcPr>
          <w:p>
            <w:pPr>
              <w:spacing w:after="0"/>
              <w:rPr>
                <w:sz w:val="1"/>
                <w:szCs w:val="1"/>
                <w:color w:val="auto"/>
              </w:rPr>
            </w:pPr>
          </w:p>
        </w:tc>
      </w:tr>
      <w:tr>
        <w:trPr>
          <w:trHeight w:val="192"/>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38,857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35,133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113,952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102,928</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4"/>
                <w:szCs w:val="14"/>
                <w:color w:val="auto"/>
              </w:rPr>
              <w:t>Stock-based compensation expense</w:t>
            </w:r>
            <w:r>
              <w:rPr>
                <w:rFonts w:ascii="Arial" w:cs="Arial" w:eastAsia="Arial" w:hAnsi="Arial"/>
                <w:sz w:val="18"/>
                <w:szCs w:val="18"/>
                <w:color w:val="auto"/>
                <w:vertAlign w:val="superscript"/>
              </w:rPr>
              <w:t>(1)</w:t>
            </w:r>
          </w:p>
        </w:tc>
        <w:tc>
          <w:tcPr>
            <w:tcW w:w="420" w:type="dxa"/>
            <w:vAlign w:val="bottom"/>
          </w:tcPr>
          <w:p>
            <w:pPr>
              <w:spacing w:after="0"/>
              <w:rPr>
                <w:sz w:val="18"/>
                <w:szCs w:val="18"/>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1,816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1,995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10,308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22,398</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11,124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10,316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39,898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21,413</w:t>
            </w:r>
          </w:p>
        </w:tc>
        <w:tc>
          <w:tcPr>
            <w:tcW w:w="0" w:type="dxa"/>
            <w:vAlign w:val="bottom"/>
          </w:tcPr>
          <w:p>
            <w:pPr>
              <w:spacing w:after="0"/>
              <w:rPr>
                <w:sz w:val="1"/>
                <w:szCs w:val="1"/>
                <w:color w:val="auto"/>
              </w:rPr>
            </w:pPr>
          </w:p>
        </w:tc>
      </w:tr>
      <w:tr>
        <w:trPr>
          <w:trHeight w:val="186"/>
        </w:trPr>
        <w:tc>
          <w:tcPr>
            <w:tcW w:w="3740" w:type="dxa"/>
            <w:vAlign w:val="bottom"/>
          </w:tcPr>
          <w:p>
            <w:pPr>
              <w:ind w:left="20"/>
              <w:spacing w:after="0"/>
              <w:rPr>
                <w:sz w:val="20"/>
                <w:szCs w:val="20"/>
                <w:color w:val="auto"/>
              </w:rPr>
            </w:pPr>
            <w:r>
              <w:rPr>
                <w:rFonts w:ascii="Arial" w:cs="Arial" w:eastAsia="Arial" w:hAnsi="Arial"/>
                <w:sz w:val="14"/>
                <w:szCs w:val="14"/>
                <w:color w:val="auto"/>
              </w:rPr>
              <w:t>Unrealized foreign exchange (gains) / losses</w:t>
            </w:r>
          </w:p>
        </w:tc>
        <w:tc>
          <w:tcPr>
            <w:tcW w:w="420" w:type="dxa"/>
            <w:vAlign w:val="bottom"/>
          </w:tcPr>
          <w:p>
            <w:pPr>
              <w:spacing w:after="0"/>
              <w:rPr>
                <w:sz w:val="16"/>
                <w:szCs w:val="16"/>
                <w:color w:val="auto"/>
              </w:rPr>
            </w:pP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(2,499)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5,449</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(Gain) / loss from revaluation of foreign denominated cash</w:t>
            </w:r>
            <w:r>
              <w:rPr>
                <w:rFonts w:ascii="Arial" w:cs="Arial" w:eastAsia="Arial" w:hAnsi="Arial"/>
                <w:sz w:val="18"/>
                <w:szCs w:val="18"/>
                <w:color w:val="auto"/>
                <w:w w:val="98"/>
                <w:vertAlign w:val="superscript"/>
              </w:rPr>
              <w:t>(2)</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562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1,120</w:t>
            </w:r>
          </w:p>
        </w:tc>
        <w:tc>
          <w:tcPr>
            <w:tcW w:w="0" w:type="dxa"/>
            <w:vAlign w:val="bottom"/>
          </w:tcPr>
          <w:p>
            <w:pPr>
              <w:spacing w:after="0"/>
              <w:rPr>
                <w:sz w:val="1"/>
                <w:szCs w:val="1"/>
                <w:color w:val="auto"/>
              </w:rPr>
            </w:pPr>
          </w:p>
        </w:tc>
      </w:tr>
      <w:tr>
        <w:trPr>
          <w:trHeight w:val="179"/>
        </w:trPr>
        <w:tc>
          <w:tcPr>
            <w:tcW w:w="37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100,913</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93,449</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321,872</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260,721</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(38,857)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(35,133)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(113,952)</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(102,928)</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Add: Acquisition and Refinitiv Transaction related D&amp;A</w:t>
            </w:r>
            <w:r>
              <w:rPr>
                <w:rFonts w:ascii="Arial" w:cs="Arial" w:eastAsia="Arial" w:hAnsi="Arial"/>
                <w:sz w:val="18"/>
                <w:szCs w:val="18"/>
                <w:color w:val="auto"/>
                <w:vertAlign w:val="superscript"/>
              </w:rPr>
              <w:t>(3)</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27,959</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24,780</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81,363</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72,122</w:t>
            </w:r>
          </w:p>
        </w:tc>
        <w:tc>
          <w:tcPr>
            <w:tcW w:w="0" w:type="dxa"/>
            <w:vAlign w:val="bottom"/>
          </w:tcPr>
          <w:p>
            <w:pPr>
              <w:spacing w:after="0"/>
              <w:rPr>
                <w:sz w:val="1"/>
                <w:szCs w:val="1"/>
                <w:color w:val="auto"/>
              </w:rPr>
            </w:pPr>
          </w:p>
        </w:tc>
      </w:tr>
      <w:tr>
        <w:trPr>
          <w:trHeight w:val="20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90,015</w:t>
            </w: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83,096</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289,283</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229,915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18"/>
                <w:szCs w:val="18"/>
                <w:color w:val="auto"/>
                <w:vertAlign w:val="superscript"/>
              </w:rPr>
              <w:t>(4)</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47.4 %</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46.5 %</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48.8 %</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45.1 %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 margin</w:t>
            </w:r>
            <w:r>
              <w:rPr>
                <w:rFonts w:ascii="Arial" w:cs="Arial" w:eastAsia="Arial" w:hAnsi="Arial"/>
                <w:sz w:val="18"/>
                <w:szCs w:val="18"/>
                <w:color w:val="auto"/>
                <w:vertAlign w:val="superscript"/>
              </w:rPr>
              <w:t>(4)</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41.3 %</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43.9 %</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73" w:lineRule="auto"/>
        <w:tabs>
          <w:tab w:leader="none" w:pos="332"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39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foreign exchange gain or loss from the revaluation of cash denominated in a different currency than the entity’s functional currency.</w:t>
      </w:r>
    </w:p>
    <w:p>
      <w:pPr>
        <w:spacing w:after="0" w:line="13" w:lineRule="exact"/>
        <w:rPr>
          <w:rFonts w:ascii="Arial" w:cs="Arial" w:eastAsia="Arial" w:hAnsi="Arial"/>
          <w:sz w:val="14"/>
          <w:szCs w:val="14"/>
          <w:color w:val="auto"/>
        </w:rPr>
      </w:pPr>
    </w:p>
    <w:p>
      <w:pPr>
        <w:ind w:left="340" w:right="140" w:hanging="332"/>
        <w:spacing w:after="0" w:line="241" w:lineRule="auto"/>
        <w:tabs>
          <w:tab w:leader="none" w:pos="332"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340" w:right="20" w:hanging="332"/>
        <w:spacing w:after="0" w:line="264" w:lineRule="auto"/>
        <w:tabs>
          <w:tab w:leader="none" w:pos="332" w:val="left"/>
        </w:tabs>
        <w:numPr>
          <w:ilvl w:val="0"/>
          <w:numId w:val="31"/>
        </w:numPr>
        <w:rPr>
          <w:rFonts w:ascii="Arial" w:cs="Arial" w:eastAsia="Arial" w:hAnsi="Arial"/>
          <w:sz w:val="13"/>
          <w:szCs w:val="13"/>
          <w:color w:val="auto"/>
        </w:rPr>
      </w:pPr>
      <w:r>
        <w:rPr>
          <w:rFonts w:ascii="Arial" w:cs="Arial" w:eastAsia="Arial" w:hAnsi="Arial"/>
          <w:sz w:val="13"/>
          <w:szCs w:val="13"/>
          <w:color w:val="auto"/>
        </w:rPr>
        <w:t>For the three and nine months ended September 30, 2020, Adjusted EBITDA margin increased compared to the prior year period by 91 and 371 basis points, respectively, or 51 and 325 basis points on a constant currency basis. For the three and nine months ended September 30, 2020, Adjusted EBIT margin increased compared to the prior year period by 94 and 410 basis points, or 50 and 364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a reconciliation of net income attributable to Tradeweb Markets Inc. and net income, as applicable, to Adjusted Net Income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Diluted EPS for the three and nine months ended September 30, 2020 and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per diluted share</w:t>
      </w:r>
      <w:r>
        <w:rPr>
          <w:rFonts w:ascii="Arial" w:cs="Arial" w:eastAsia="Arial" w:hAnsi="Arial"/>
          <w:sz w:val="18"/>
          <w:szCs w:val="18"/>
          <w:color w:val="auto"/>
          <w:vertAlign w:val="superscript"/>
        </w:rPr>
        <w:t>(1)</w:t>
      </w:r>
    </w:p>
    <w:p>
      <w:pPr>
        <w:spacing w:after="0" w:line="26" w:lineRule="exact"/>
        <w:rPr>
          <w:sz w:val="20"/>
          <w:szCs w:val="20"/>
          <w:color w:val="auto"/>
        </w:rPr>
      </w:pPr>
    </w:p>
    <w:p>
      <w:pPr>
        <w:ind w:left="20" w:right="360"/>
        <w:spacing w:after="0" w:line="246" w:lineRule="auto"/>
        <w:rPr>
          <w:sz w:val="20"/>
          <w:szCs w:val="20"/>
          <w:color w:val="auto"/>
        </w:rPr>
      </w:pPr>
      <w:r>
        <w:rPr>
          <w:rFonts w:ascii="Arial" w:cs="Arial" w:eastAsia="Arial" w:hAnsi="Arial"/>
          <w:sz w:val="14"/>
          <w:szCs w:val="14"/>
          <w:color w:val="auto"/>
        </w:rPr>
        <w:t xml:space="preserve">Pre-IPO net income attributable to Tradeweb Markets LLC </w:t>
      </w:r>
      <w:r>
        <w:rPr>
          <w:rFonts w:ascii="Arial" w:cs="Arial" w:eastAsia="Arial" w:hAnsi="Arial"/>
          <w:sz w:val="18"/>
          <w:szCs w:val="18"/>
          <w:color w:val="auto"/>
          <w:vertAlign w:val="superscript"/>
        </w:rPr>
        <w:t>(1)</w:t>
      </w:r>
    </w:p>
    <w:p>
      <w:pPr>
        <w:ind w:left="20"/>
        <w:spacing w:after="0" w:line="181" w:lineRule="auto"/>
        <w:rPr>
          <w:sz w:val="20"/>
          <w:szCs w:val="20"/>
          <w:color w:val="auto"/>
        </w:rPr>
      </w:pPr>
      <w:r>
        <w:rPr>
          <w:rFonts w:ascii="Arial" w:cs="Arial" w:eastAsia="Arial" w:hAnsi="Arial"/>
          <w:sz w:val="13"/>
          <w:szCs w:val="13"/>
          <w:color w:val="auto"/>
        </w:rPr>
        <w:t>Net income attributable to Tradeweb Markets Inc.</w:t>
      </w:r>
    </w:p>
    <w:p>
      <w:pPr>
        <w:ind w:left="20"/>
        <w:spacing w:after="0"/>
        <w:rPr>
          <w:sz w:val="20"/>
          <w:szCs w:val="20"/>
          <w:color w:val="auto"/>
        </w:rPr>
      </w:pPr>
      <w:r>
        <w:rPr>
          <w:rFonts w:ascii="Arial" w:cs="Arial" w:eastAsia="Arial" w:hAnsi="Arial"/>
          <w:sz w:val="9"/>
          <w:szCs w:val="9"/>
          <w:color w:val="auto"/>
        </w:rPr>
        <w:t>(1)</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attributable to non-controlling interests</w:t>
      </w:r>
    </w:p>
    <w:p>
      <w:pPr>
        <w:ind w:left="20"/>
        <w:spacing w:after="0"/>
        <w:rPr>
          <w:sz w:val="20"/>
          <w:szCs w:val="20"/>
          <w:color w:val="auto"/>
        </w:rPr>
      </w:pPr>
      <w:r>
        <w:rPr>
          <w:rFonts w:ascii="Arial" w:cs="Arial" w:eastAsia="Arial" w:hAnsi="Arial"/>
          <w:sz w:val="9"/>
          <w:szCs w:val="9"/>
          <w:color w:val="auto"/>
        </w:rPr>
        <w:t>(1)(2)</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r>
        <w:rPr>
          <w:rFonts w:ascii="Arial" w:cs="Arial" w:eastAsia="Arial" w:hAnsi="Arial"/>
          <w:sz w:val="18"/>
          <w:szCs w:val="18"/>
          <w:color w:val="auto"/>
          <w:vertAlign w:val="superscript"/>
        </w:rPr>
        <w:t>(1)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income taxes</w:t>
      </w:r>
    </w:p>
    <w:p>
      <w:pPr>
        <w:spacing w:after="0" w:line="30" w:lineRule="exact"/>
        <w:rPr>
          <w:sz w:val="20"/>
          <w:szCs w:val="20"/>
          <w:color w:val="auto"/>
        </w:rPr>
      </w:pPr>
    </w:p>
    <w:p>
      <w:pPr>
        <w:ind w:left="20" w:right="360"/>
        <w:spacing w:after="0" w:line="248" w:lineRule="auto"/>
        <w:rPr>
          <w:sz w:val="20"/>
          <w:szCs w:val="20"/>
          <w:color w:val="auto"/>
        </w:rPr>
      </w:pPr>
      <w:r>
        <w:rPr>
          <w:rFonts w:ascii="Arial" w:cs="Arial" w:eastAsia="Arial" w:hAnsi="Arial"/>
          <w:sz w:val="14"/>
          <w:szCs w:val="14"/>
          <w:color w:val="auto"/>
        </w:rPr>
        <w:t>Acquisition and Refinitiv Transaction related D&amp;A</w:t>
      </w:r>
      <w:r>
        <w:rPr>
          <w:rFonts w:ascii="Arial" w:cs="Arial" w:eastAsia="Arial" w:hAnsi="Arial"/>
          <w:sz w:val="18"/>
          <w:szCs w:val="18"/>
          <w:color w:val="auto"/>
          <w:vertAlign w:val="superscript"/>
        </w:rPr>
        <w:t>(3)</w:t>
      </w:r>
    </w:p>
    <w:p>
      <w:pPr>
        <w:spacing w:after="0" w:line="1" w:lineRule="exact"/>
        <w:rPr>
          <w:sz w:val="20"/>
          <w:szCs w:val="20"/>
          <w:color w:val="auto"/>
        </w:rPr>
      </w:pPr>
    </w:p>
    <w:p>
      <w:pPr>
        <w:ind w:left="20" w:right="400"/>
        <w:spacing w:after="0" w:line="310" w:lineRule="auto"/>
        <w:rPr>
          <w:sz w:val="20"/>
          <w:szCs w:val="20"/>
          <w:color w:val="auto"/>
        </w:rPr>
      </w:pPr>
      <w:r>
        <w:rPr>
          <w:rFonts w:ascii="Arial" w:cs="Arial" w:eastAsia="Arial" w:hAnsi="Arial"/>
          <w:sz w:val="12"/>
          <w:szCs w:val="12"/>
          <w:color w:val="auto"/>
        </w:rPr>
        <w:t>Stock-based compensation expense</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Unrealized foreign exchange (gains) / losses</w:t>
      </w:r>
    </w:p>
    <w:p>
      <w:pPr>
        <w:spacing w:after="0" w:line="1" w:lineRule="exact"/>
        <w:rPr>
          <w:sz w:val="20"/>
          <w:szCs w:val="20"/>
          <w:color w:val="auto"/>
        </w:rPr>
      </w:pPr>
    </w:p>
    <w:p>
      <w:pPr>
        <w:ind w:left="20" w:right="640"/>
        <w:spacing w:after="0" w:line="239" w:lineRule="auto"/>
        <w:rPr>
          <w:sz w:val="20"/>
          <w:szCs w:val="20"/>
          <w:color w:val="auto"/>
        </w:rPr>
      </w:pPr>
      <w:r>
        <w:rPr>
          <w:rFonts w:ascii="Arial" w:cs="Arial" w:eastAsia="Arial" w:hAnsi="Arial"/>
          <w:sz w:val="14"/>
          <w:szCs w:val="14"/>
          <w:color w:val="auto"/>
        </w:rPr>
        <w:t>(Gain) / loss from revaluation of foreign denominated cash</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96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w w:val="93"/>
              </w:rPr>
              <w:t>Three Months Ended</w:t>
            </w: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gridSpan w:val="4"/>
          </w:tcPr>
          <w:p>
            <w:pPr>
              <w:jc w:val="center"/>
              <w:ind w:left="648"/>
              <w:spacing w:after="0"/>
              <w:rPr>
                <w:sz w:val="20"/>
                <w:szCs w:val="20"/>
                <w:color w:val="auto"/>
              </w:rPr>
            </w:pPr>
            <w:r>
              <w:rPr>
                <w:rFonts w:ascii="Arial" w:cs="Arial" w:eastAsia="Arial" w:hAnsi="Arial"/>
                <w:sz w:val="14"/>
                <w:szCs w:val="14"/>
                <w:b w:val="1"/>
                <w:bCs w:val="1"/>
                <w:color w:val="auto"/>
                <w:w w:val="94"/>
              </w:rPr>
              <w:t>Nine Months Ended</w:t>
            </w: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6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left="648"/>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jc w:val="right"/>
              <w:ind w:right="608"/>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5"/>
          </w:tcPr>
          <w:p>
            <w:pPr>
              <w:jc w:val="right"/>
              <w:ind w:right="368"/>
              <w:spacing w:after="0"/>
              <w:rPr>
                <w:sz w:val="20"/>
                <w:szCs w:val="20"/>
                <w:color w:val="auto"/>
              </w:rPr>
            </w:pPr>
            <w:r>
              <w:rPr>
                <w:rFonts w:ascii="Arial" w:cs="Arial" w:eastAsia="Arial" w:hAnsi="Arial"/>
                <w:sz w:val="14"/>
                <w:szCs w:val="14"/>
                <w:b w:val="1"/>
                <w:bCs w:val="1"/>
                <w:color w:val="auto"/>
                <w:w w:val="97"/>
              </w:rPr>
              <w:t>(in thousands except per share amounts)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0.19</w:t>
            </w:r>
          </w:p>
        </w:tc>
        <w:tc>
          <w:tcPr>
            <w:tcW w:w="980" w:type="dxa"/>
            <w:vAlign w:val="bottom"/>
            <w:gridSpan w:val="2"/>
          </w:tcPr>
          <w:p>
            <w:pPr>
              <w:ind w:left="40"/>
              <w:spacing w:after="0"/>
              <w:rPr>
                <w:sz w:val="20"/>
                <w:szCs w:val="20"/>
                <w:color w:val="auto"/>
              </w:rPr>
            </w:pPr>
            <w:r>
              <w:rPr>
                <w:rFonts w:ascii="Arial" w:cs="Arial" w:eastAsia="Arial" w:hAnsi="Arial"/>
                <w:sz w:val="9"/>
                <w:szCs w:val="9"/>
                <w:color w:val="auto"/>
              </w:rPr>
              <w:t>(a)</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0.20</w:t>
            </w:r>
          </w:p>
        </w:tc>
        <w:tc>
          <w:tcPr>
            <w:tcW w:w="820" w:type="dxa"/>
            <w:vAlign w:val="bottom"/>
            <w:gridSpan w:val="3"/>
          </w:tcPr>
          <w:p>
            <w:pPr>
              <w:ind w:left="20"/>
              <w:spacing w:after="0"/>
              <w:rPr>
                <w:sz w:val="20"/>
                <w:szCs w:val="20"/>
                <w:color w:val="auto"/>
              </w:rPr>
            </w:pPr>
            <w:r>
              <w:rPr>
                <w:rFonts w:ascii="Arial" w:cs="Arial" w:eastAsia="Arial" w:hAnsi="Arial"/>
                <w:sz w:val="9"/>
                <w:szCs w:val="9"/>
                <w:color w:val="auto"/>
              </w:rPr>
              <w:t>(a)</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0.60</w:t>
            </w:r>
          </w:p>
        </w:tc>
        <w:tc>
          <w:tcPr>
            <w:tcW w:w="1000" w:type="dxa"/>
            <w:vAlign w:val="bottom"/>
            <w:gridSpan w:val="3"/>
          </w:tcPr>
          <w:p>
            <w:pPr>
              <w:ind w:left="20"/>
              <w:spacing w:after="0"/>
              <w:rPr>
                <w:sz w:val="20"/>
                <w:szCs w:val="20"/>
                <w:color w:val="auto"/>
              </w:rPr>
            </w:pPr>
            <w:r>
              <w:rPr>
                <w:rFonts w:ascii="Arial" w:cs="Arial" w:eastAsia="Arial" w:hAnsi="Arial"/>
                <w:sz w:val="9"/>
                <w:szCs w:val="9"/>
                <w:color w:val="auto"/>
              </w:rPr>
              <w:t>(a)</w:t>
            </w:r>
          </w:p>
        </w:tc>
        <w:tc>
          <w:tcPr>
            <w:tcW w:w="1100" w:type="dxa"/>
            <w:vAlign w:val="bottom"/>
          </w:tcPr>
          <w:p>
            <w:pPr>
              <w:jc w:val="right"/>
              <w:spacing w:after="0" w:line="147" w:lineRule="exact"/>
              <w:rPr>
                <w:sz w:val="20"/>
                <w:szCs w:val="20"/>
                <w:color w:val="auto"/>
              </w:rPr>
            </w:pPr>
            <w:r>
              <w:rPr>
                <w:rFonts w:ascii="Arial" w:cs="Arial" w:eastAsia="Arial" w:hAnsi="Arial"/>
                <w:sz w:val="14"/>
                <w:szCs w:val="14"/>
                <w:color w:val="auto"/>
              </w:rPr>
              <w:t>0.19 /</w:t>
            </w:r>
          </w:p>
        </w:tc>
        <w:tc>
          <w:tcPr>
            <w:tcW w:w="340" w:type="dxa"/>
            <w:vAlign w:val="bottom"/>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9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80" w:type="dxa"/>
            <w:vAlign w:val="bottom"/>
            <w:vMerge w:val="continue"/>
          </w:tcPr>
          <w:p>
            <w:pPr>
              <w:spacing w:after="0"/>
              <w:rPr>
                <w:sz w:val="15"/>
                <w:szCs w:val="15"/>
                <w:color w:val="auto"/>
              </w:rPr>
            </w:pPr>
          </w:p>
        </w:tc>
        <w:tc>
          <w:tcPr>
            <w:tcW w:w="82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1240" w:type="dxa"/>
            <w:vAlign w:val="bottom"/>
            <w:vMerge w:val="continue"/>
          </w:tcPr>
          <w:p>
            <w:pPr>
              <w:spacing w:after="0"/>
              <w:rPr>
                <w:sz w:val="15"/>
                <w:szCs w:val="15"/>
                <w:color w:val="auto"/>
              </w:rPr>
            </w:pPr>
          </w:p>
        </w:tc>
        <w:tc>
          <w:tcPr>
            <w:tcW w:w="100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840"/>
              <w:spacing w:after="0"/>
              <w:rPr>
                <w:sz w:val="20"/>
                <w:szCs w:val="20"/>
                <w:color w:val="auto"/>
              </w:rPr>
            </w:pPr>
            <w:r>
              <w:rPr>
                <w:rFonts w:ascii="Arial" w:cs="Arial" w:eastAsia="Arial" w:hAnsi="Arial"/>
                <w:sz w:val="14"/>
                <w:szCs w:val="14"/>
                <w:color w:val="auto"/>
              </w:rPr>
              <w:t xml:space="preserve">0.28 </w:t>
            </w: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40" w:type="dxa"/>
            <w:vAlign w:val="bottom"/>
            <w:vMerge w:val="restart"/>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16"/>
        </w:trPr>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42,352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36,812</w:t>
            </w:r>
          </w:p>
        </w:tc>
        <w:tc>
          <w:tcPr>
            <w:tcW w:w="980" w:type="dxa"/>
            <w:vAlign w:val="bottom"/>
            <w:gridSpan w:val="2"/>
          </w:tcPr>
          <w:p>
            <w:pPr>
              <w:ind w:left="40"/>
              <w:spacing w:after="0"/>
              <w:rPr>
                <w:sz w:val="20"/>
                <w:szCs w:val="20"/>
                <w:color w:val="auto"/>
              </w:rPr>
            </w:pPr>
            <w:r>
              <w:rPr>
                <w:rFonts w:ascii="Arial" w:cs="Arial" w:eastAsia="Arial" w:hAnsi="Arial"/>
                <w:sz w:val="9"/>
                <w:szCs w:val="9"/>
                <w:color w:val="auto"/>
              </w:rPr>
              <w:t>(a)</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29,612</w:t>
            </w:r>
          </w:p>
        </w:tc>
        <w:tc>
          <w:tcPr>
            <w:tcW w:w="820" w:type="dxa"/>
            <w:vAlign w:val="bottom"/>
            <w:gridSpan w:val="3"/>
          </w:tcPr>
          <w:p>
            <w:pPr>
              <w:ind w:left="20"/>
              <w:spacing w:after="0"/>
              <w:rPr>
                <w:sz w:val="20"/>
                <w:szCs w:val="20"/>
                <w:color w:val="auto"/>
              </w:rPr>
            </w:pPr>
            <w:r>
              <w:rPr>
                <w:rFonts w:ascii="Arial" w:cs="Arial" w:eastAsia="Arial" w:hAnsi="Arial"/>
                <w:sz w:val="9"/>
                <w:szCs w:val="9"/>
                <w:color w:val="auto"/>
              </w:rPr>
              <w:t>(a)</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111,236</w:t>
            </w:r>
          </w:p>
        </w:tc>
        <w:tc>
          <w:tcPr>
            <w:tcW w:w="1000" w:type="dxa"/>
            <w:vAlign w:val="bottom"/>
            <w:gridSpan w:val="3"/>
          </w:tcPr>
          <w:p>
            <w:pPr>
              <w:ind w:left="20"/>
              <w:spacing w:after="0"/>
              <w:rPr>
                <w:sz w:val="20"/>
                <w:szCs w:val="20"/>
                <w:color w:val="auto"/>
              </w:rPr>
            </w:pPr>
            <w:r>
              <w:rPr>
                <w:rFonts w:ascii="Arial" w:cs="Arial" w:eastAsia="Arial" w:hAnsi="Arial"/>
                <w:sz w:val="9"/>
                <w:szCs w:val="9"/>
                <w:color w:val="auto"/>
              </w:rPr>
              <w:t>(a)</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42,440</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10,236</w:t>
            </w:r>
          </w:p>
        </w:tc>
        <w:tc>
          <w:tcPr>
            <w:tcW w:w="980" w:type="dxa"/>
            <w:vAlign w:val="bottom"/>
            <w:gridSpan w:val="2"/>
          </w:tcPr>
          <w:p>
            <w:pPr>
              <w:ind w:left="40"/>
              <w:spacing w:after="0"/>
              <w:rPr>
                <w:sz w:val="20"/>
                <w:szCs w:val="20"/>
                <w:color w:val="auto"/>
              </w:rPr>
            </w:pPr>
            <w:r>
              <w:rPr>
                <w:rFonts w:ascii="Arial" w:cs="Arial" w:eastAsia="Arial" w:hAnsi="Arial"/>
                <w:sz w:val="9"/>
                <w:szCs w:val="9"/>
                <w:color w:val="auto"/>
              </w:rPr>
              <w:t>(a)</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18,966</w:t>
            </w:r>
          </w:p>
        </w:tc>
        <w:tc>
          <w:tcPr>
            <w:tcW w:w="820" w:type="dxa"/>
            <w:vAlign w:val="bottom"/>
            <w:gridSpan w:val="3"/>
          </w:tcPr>
          <w:p>
            <w:pPr>
              <w:ind w:left="20"/>
              <w:spacing w:after="0"/>
              <w:rPr>
                <w:sz w:val="20"/>
                <w:szCs w:val="20"/>
                <w:color w:val="auto"/>
              </w:rPr>
            </w:pPr>
            <w:r>
              <w:rPr>
                <w:rFonts w:ascii="Arial" w:cs="Arial" w:eastAsia="Arial" w:hAnsi="Arial"/>
                <w:sz w:val="9"/>
                <w:szCs w:val="9"/>
                <w:color w:val="auto"/>
              </w:rPr>
              <w:t>(a)</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40,705</w:t>
            </w:r>
          </w:p>
        </w:tc>
        <w:tc>
          <w:tcPr>
            <w:tcW w:w="1000" w:type="dxa"/>
            <w:vAlign w:val="bottom"/>
            <w:gridSpan w:val="3"/>
          </w:tcPr>
          <w:p>
            <w:pPr>
              <w:ind w:left="20"/>
              <w:spacing w:after="0"/>
              <w:rPr>
                <w:sz w:val="20"/>
                <w:szCs w:val="20"/>
                <w:color w:val="auto"/>
              </w:rPr>
            </w:pPr>
            <w:r>
              <w:rPr>
                <w:rFonts w:ascii="Arial" w:cs="Arial" w:eastAsia="Arial" w:hAnsi="Arial"/>
                <w:sz w:val="9"/>
                <w:szCs w:val="9"/>
                <w:color w:val="auto"/>
              </w:rPr>
              <w:t>(a)</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30,954</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68"/>
        </w:trPr>
        <w:tc>
          <w:tcPr>
            <w:tcW w:w="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980" w:type="dxa"/>
            <w:vAlign w:val="bottom"/>
          </w:tcPr>
          <w:p>
            <w:pPr>
              <w:jc w:val="right"/>
              <w:spacing w:after="0"/>
              <w:rPr>
                <w:sz w:val="20"/>
                <w:szCs w:val="20"/>
                <w:color w:val="auto"/>
              </w:rPr>
            </w:pPr>
            <w:r>
              <w:rPr>
                <w:rFonts w:ascii="Arial" w:cs="Arial" w:eastAsia="Arial" w:hAnsi="Arial"/>
                <w:sz w:val="14"/>
                <w:szCs w:val="14"/>
                <w:color w:val="auto"/>
              </w:rPr>
              <w:t>47,048</w:t>
            </w:r>
          </w:p>
        </w:tc>
        <w:tc>
          <w:tcPr>
            <w:tcW w:w="980" w:type="dxa"/>
            <w:vAlign w:val="bottom"/>
            <w:gridSpan w:val="2"/>
          </w:tcPr>
          <w:p>
            <w:pPr>
              <w:ind w:left="40"/>
              <w:spacing w:after="0"/>
              <w:rPr>
                <w:sz w:val="20"/>
                <w:szCs w:val="20"/>
                <w:color w:val="auto"/>
              </w:rPr>
            </w:pPr>
            <w:r>
              <w:rPr>
                <w:rFonts w:ascii="Arial" w:cs="Arial" w:eastAsia="Arial" w:hAnsi="Arial"/>
                <w:sz w:val="9"/>
                <w:szCs w:val="9"/>
                <w:color w:val="auto"/>
              </w:rPr>
              <w:t>(a)</w:t>
            </w:r>
          </w:p>
        </w:tc>
        <w:tc>
          <w:tcPr>
            <w:tcW w:w="1080" w:type="dxa"/>
            <w:vAlign w:val="bottom"/>
          </w:tcPr>
          <w:p>
            <w:pPr>
              <w:jc w:val="right"/>
              <w:spacing w:after="0"/>
              <w:rPr>
                <w:sz w:val="20"/>
                <w:szCs w:val="20"/>
                <w:color w:val="auto"/>
              </w:rPr>
            </w:pPr>
            <w:r>
              <w:rPr>
                <w:rFonts w:ascii="Arial" w:cs="Arial" w:eastAsia="Arial" w:hAnsi="Arial"/>
                <w:sz w:val="14"/>
                <w:szCs w:val="14"/>
                <w:color w:val="auto"/>
              </w:rPr>
              <w:t>48,578</w:t>
            </w:r>
          </w:p>
        </w:tc>
        <w:tc>
          <w:tcPr>
            <w:tcW w:w="820" w:type="dxa"/>
            <w:vAlign w:val="bottom"/>
            <w:gridSpan w:val="3"/>
          </w:tcPr>
          <w:p>
            <w:pPr>
              <w:ind w:left="20"/>
              <w:spacing w:after="0"/>
              <w:rPr>
                <w:sz w:val="20"/>
                <w:szCs w:val="20"/>
                <w:color w:val="auto"/>
              </w:rPr>
            </w:pPr>
            <w:r>
              <w:rPr>
                <w:rFonts w:ascii="Arial" w:cs="Arial" w:eastAsia="Arial" w:hAnsi="Arial"/>
                <w:sz w:val="9"/>
                <w:szCs w:val="9"/>
                <w:color w:val="auto"/>
              </w:rPr>
              <w:t>(a)</w:t>
            </w:r>
          </w:p>
        </w:tc>
        <w:tc>
          <w:tcPr>
            <w:tcW w:w="1240" w:type="dxa"/>
            <w:vAlign w:val="bottom"/>
          </w:tcPr>
          <w:p>
            <w:pPr>
              <w:jc w:val="right"/>
              <w:spacing w:after="0"/>
              <w:rPr>
                <w:sz w:val="20"/>
                <w:szCs w:val="20"/>
                <w:color w:val="auto"/>
              </w:rPr>
            </w:pPr>
            <w:r>
              <w:rPr>
                <w:rFonts w:ascii="Arial" w:cs="Arial" w:eastAsia="Arial" w:hAnsi="Arial"/>
                <w:sz w:val="14"/>
                <w:szCs w:val="14"/>
                <w:color w:val="auto"/>
              </w:rPr>
              <w:t>151,941</w:t>
            </w:r>
          </w:p>
        </w:tc>
        <w:tc>
          <w:tcPr>
            <w:tcW w:w="1000" w:type="dxa"/>
            <w:vAlign w:val="bottom"/>
            <w:gridSpan w:val="3"/>
          </w:tcPr>
          <w:p>
            <w:pPr>
              <w:ind w:left="20"/>
              <w:spacing w:after="0"/>
              <w:rPr>
                <w:sz w:val="20"/>
                <w:szCs w:val="20"/>
                <w:color w:val="auto"/>
              </w:rPr>
            </w:pPr>
            <w:r>
              <w:rPr>
                <w:rFonts w:ascii="Arial" w:cs="Arial" w:eastAsia="Arial" w:hAnsi="Arial"/>
                <w:sz w:val="9"/>
                <w:szCs w:val="9"/>
                <w:color w:val="auto"/>
              </w:rPr>
              <w:t>(a)</w:t>
            </w:r>
          </w:p>
        </w:tc>
        <w:tc>
          <w:tcPr>
            <w:tcW w:w="1100" w:type="dxa"/>
            <w:vAlign w:val="bottom"/>
          </w:tcPr>
          <w:p>
            <w:pPr>
              <w:jc w:val="right"/>
              <w:spacing w:after="0"/>
              <w:rPr>
                <w:sz w:val="20"/>
                <w:szCs w:val="20"/>
                <w:color w:val="auto"/>
              </w:rPr>
            </w:pPr>
            <w:r>
              <w:rPr>
                <w:rFonts w:ascii="Arial" w:cs="Arial" w:eastAsia="Arial" w:hAnsi="Arial"/>
                <w:sz w:val="14"/>
                <w:szCs w:val="14"/>
                <w:color w:val="auto"/>
              </w:rPr>
              <w:t>115,746</w:t>
            </w:r>
          </w:p>
        </w:tc>
        <w:tc>
          <w:tcPr>
            <w:tcW w:w="340" w:type="dxa"/>
            <w:vAlign w:val="bottom"/>
          </w:tcPr>
          <w:p>
            <w:pPr>
              <w:ind w:left="20"/>
              <w:spacing w:after="0"/>
              <w:rPr>
                <w:sz w:val="20"/>
                <w:szCs w:val="20"/>
                <w:color w:val="auto"/>
              </w:rPr>
            </w:pPr>
            <w:r>
              <w:rPr>
                <w:rFonts w:ascii="Arial" w:cs="Arial" w:eastAsia="Arial" w:hAnsi="Arial"/>
                <w:sz w:val="18"/>
                <w:szCs w:val="18"/>
                <w:color w:val="auto"/>
                <w:vertAlign w:val="subscript"/>
              </w:rPr>
              <w:t>(a)</w:t>
            </w: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82"/>
        </w:trPr>
        <w:tc>
          <w:tcPr>
            <w:tcW w:w="980" w:type="dxa"/>
            <w:vAlign w:val="bottom"/>
          </w:tcPr>
          <w:p>
            <w:pPr>
              <w:jc w:val="right"/>
              <w:spacing w:after="0"/>
              <w:rPr>
                <w:sz w:val="20"/>
                <w:szCs w:val="20"/>
                <w:color w:val="auto"/>
              </w:rPr>
            </w:pPr>
            <w:r>
              <w:rPr>
                <w:rFonts w:ascii="Arial" w:cs="Arial" w:eastAsia="Arial" w:hAnsi="Arial"/>
                <w:sz w:val="14"/>
                <w:szCs w:val="14"/>
                <w:color w:val="auto"/>
              </w:rPr>
              <w:t>11,124</w:t>
            </w: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10,316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39,898</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21,413</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980" w:type="dxa"/>
            <w:vAlign w:val="bottom"/>
          </w:tcPr>
          <w:p>
            <w:pPr>
              <w:jc w:val="right"/>
              <w:spacing w:after="0"/>
              <w:rPr>
                <w:sz w:val="20"/>
                <w:szCs w:val="20"/>
                <w:color w:val="auto"/>
              </w:rPr>
            </w:pPr>
            <w:r>
              <w:rPr>
                <w:rFonts w:ascii="Arial" w:cs="Arial" w:eastAsia="Arial" w:hAnsi="Arial"/>
                <w:sz w:val="14"/>
                <w:szCs w:val="14"/>
                <w:color w:val="auto"/>
              </w:rPr>
              <w:t>27,959</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24,780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81,363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72,122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1,816</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10,308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22,398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Pr>
          <w:p>
            <w:pPr>
              <w:jc w:val="right"/>
              <w:spacing w:after="0"/>
              <w:rPr>
                <w:sz w:val="20"/>
                <w:szCs w:val="20"/>
                <w:color w:val="auto"/>
              </w:rPr>
            </w:pPr>
            <w:r>
              <w:rPr>
                <w:rFonts w:ascii="Arial" w:cs="Arial" w:eastAsia="Arial" w:hAnsi="Arial"/>
                <w:sz w:val="14"/>
                <w:szCs w:val="14"/>
                <w:color w:val="auto"/>
              </w:rPr>
              <w:t>1,492</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(2,499)</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5,449</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(1,215)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980" w:type="dxa"/>
            <w:vAlign w:val="bottom"/>
          </w:tcPr>
          <w:p>
            <w:pPr>
              <w:jc w:val="right"/>
              <w:spacing w:after="0"/>
              <w:rPr>
                <w:sz w:val="20"/>
                <w:szCs w:val="20"/>
                <w:color w:val="auto"/>
              </w:rPr>
            </w:pPr>
            <w:r>
              <w:rPr>
                <w:rFonts w:ascii="Arial" w:cs="Arial" w:eastAsia="Arial" w:hAnsi="Arial"/>
                <w:sz w:val="14"/>
                <w:szCs w:val="14"/>
                <w:color w:val="auto"/>
              </w:rPr>
              <w:t>227</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-1414780</wp:posOffset>
            </wp:positionV>
            <wp:extent cx="7132320"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-728980</wp:posOffset>
            </wp:positionV>
            <wp:extent cx="713232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-351790</wp:posOffset>
            </wp:positionV>
            <wp:extent cx="713232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-1003300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-1877695</wp:posOffset>
            </wp:positionV>
            <wp:extent cx="713232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-2032000</wp:posOffset>
            </wp:positionV>
            <wp:extent cx="12858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-2160270</wp:posOffset>
            </wp:positionV>
            <wp:extent cx="2588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3">
            <w:col w:w="2980" w:space="40"/>
            <w:col w:w="80" w:space="600"/>
            <w:col w:w="7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Income before income taxes</w:t>
            </w:r>
          </w:p>
        </w:tc>
        <w:tc>
          <w:tcPr>
            <w:tcW w:w="6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89,666</w:t>
            </w:r>
          </w:p>
        </w:tc>
        <w:tc>
          <w:tcPr>
            <w:tcW w:w="4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83,732</w:t>
            </w:r>
          </w:p>
        </w:tc>
        <w:tc>
          <w:tcPr>
            <w:tcW w:w="4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289,347</w:t>
            </w:r>
          </w:p>
        </w:tc>
        <w:tc>
          <w:tcPr>
            <w:tcW w:w="4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231,584</w:t>
            </w:r>
          </w:p>
        </w:tc>
        <w:tc>
          <w:tcPr>
            <w:tcW w:w="3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income taxes</w:t>
            </w:r>
            <w:r>
              <w:rPr>
                <w:rFonts w:ascii="Arial" w:cs="Arial" w:eastAsia="Arial" w:hAnsi="Arial"/>
                <w:sz w:val="18"/>
                <w:szCs w:val="18"/>
                <w:color w:val="auto"/>
                <w:vertAlign w:val="superscript"/>
              </w:rPr>
              <w:t>(6)</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(19,727)</w:t>
            </w:r>
          </w:p>
        </w:tc>
        <w:tc>
          <w:tcPr>
            <w:tcW w:w="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(22,105)</w:t>
            </w:r>
          </w:p>
        </w:tc>
        <w:tc>
          <w:tcPr>
            <w:tcW w:w="4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(63,656)</w:t>
            </w:r>
          </w:p>
        </w:tc>
        <w:tc>
          <w:tcPr>
            <w:tcW w:w="4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(61,139)</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69,939</w:t>
            </w:r>
          </w:p>
        </w:tc>
        <w:tc>
          <w:tcPr>
            <w:tcW w:w="4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61,627</w:t>
            </w: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225,691</w:t>
            </w:r>
          </w:p>
        </w:tc>
        <w:tc>
          <w:tcPr>
            <w:tcW w:w="4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170,445</w:t>
            </w:r>
          </w:p>
        </w:tc>
        <w:tc>
          <w:tcPr>
            <w:tcW w:w="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 xml:space="preserve">Adjusted Diluted EPS </w:t>
            </w:r>
            <w:r>
              <w:rPr>
                <w:rFonts w:ascii="Arial" w:cs="Arial" w:eastAsia="Arial" w:hAnsi="Arial"/>
                <w:sz w:val="18"/>
                <w:szCs w:val="18"/>
                <w:color w:val="auto"/>
                <w:vertAlign w:val="superscript"/>
              </w:rPr>
              <w:t>(1)(7)</w:t>
            </w:r>
          </w:p>
        </w:tc>
        <w:tc>
          <w:tcPr>
            <w:tcW w:w="6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20" w:type="dxa"/>
            <w:vAlign w:val="bottom"/>
            <w:gridSpan w:val="2"/>
          </w:tcPr>
          <w:p>
            <w:pPr>
              <w:jc w:val="right"/>
              <w:ind w:right="828"/>
              <w:spacing w:after="0"/>
              <w:rPr>
                <w:sz w:val="20"/>
                <w:szCs w:val="20"/>
                <w:color w:val="auto"/>
              </w:rPr>
            </w:pPr>
            <w:r>
              <w:rPr>
                <w:rFonts w:ascii="Arial" w:cs="Arial" w:eastAsia="Arial" w:hAnsi="Arial"/>
                <w:sz w:val="9"/>
                <w:szCs w:val="9"/>
                <w:color w:val="auto"/>
                <w:w w:val="90"/>
              </w:rPr>
              <w:t>(a)</w:t>
            </w:r>
          </w:p>
        </w:tc>
        <w:tc>
          <w:tcPr>
            <w:tcW w:w="1020" w:type="dxa"/>
            <w:vAlign w:val="bottom"/>
          </w:tcPr>
          <w:p>
            <w:pPr>
              <w:spacing w:after="0"/>
              <w:rPr>
                <w:sz w:val="9"/>
                <w:szCs w:val="9"/>
                <w:color w:val="auto"/>
              </w:rPr>
            </w:pPr>
          </w:p>
        </w:tc>
        <w:tc>
          <w:tcPr>
            <w:tcW w:w="1040" w:type="dxa"/>
            <w:vAlign w:val="bottom"/>
            <w:gridSpan w:val="2"/>
          </w:tcPr>
          <w:p>
            <w:pPr>
              <w:jc w:val="right"/>
              <w:ind w:right="848"/>
              <w:spacing w:after="0"/>
              <w:rPr>
                <w:sz w:val="20"/>
                <w:szCs w:val="20"/>
                <w:color w:val="auto"/>
              </w:rPr>
            </w:pPr>
            <w:r>
              <w:rPr>
                <w:rFonts w:ascii="Arial" w:cs="Arial" w:eastAsia="Arial" w:hAnsi="Arial"/>
                <w:sz w:val="9"/>
                <w:szCs w:val="9"/>
                <w:color w:val="auto"/>
                <w:w w:val="90"/>
              </w:rPr>
              <w:t>(a)</w:t>
            </w:r>
          </w:p>
        </w:tc>
        <w:tc>
          <w:tcPr>
            <w:tcW w:w="1020" w:type="dxa"/>
            <w:vAlign w:val="bottom"/>
          </w:tcPr>
          <w:p>
            <w:pPr>
              <w:spacing w:after="0"/>
              <w:rPr>
                <w:sz w:val="9"/>
                <w:szCs w:val="9"/>
                <w:color w:val="auto"/>
              </w:rPr>
            </w:pPr>
          </w:p>
        </w:tc>
        <w:tc>
          <w:tcPr>
            <w:tcW w:w="1060" w:type="dxa"/>
            <w:vAlign w:val="bottom"/>
            <w:gridSpan w:val="2"/>
          </w:tcPr>
          <w:p>
            <w:pPr>
              <w:jc w:val="right"/>
              <w:ind w:right="848"/>
              <w:spacing w:after="0"/>
              <w:rPr>
                <w:sz w:val="20"/>
                <w:szCs w:val="20"/>
                <w:color w:val="auto"/>
              </w:rPr>
            </w:pPr>
            <w:r>
              <w:rPr>
                <w:rFonts w:ascii="Arial" w:cs="Arial" w:eastAsia="Arial" w:hAnsi="Arial"/>
                <w:sz w:val="9"/>
                <w:szCs w:val="9"/>
                <w:color w:val="auto"/>
              </w:rPr>
              <w:t>(a)</w:t>
            </w:r>
          </w:p>
        </w:tc>
        <w:tc>
          <w:tcPr>
            <w:tcW w:w="1040" w:type="dxa"/>
            <w:vAlign w:val="bottom"/>
          </w:tcPr>
          <w:p>
            <w:pPr>
              <w:jc w:val="right"/>
              <w:spacing w:after="0" w:line="113" w:lineRule="exact"/>
              <w:rPr>
                <w:sz w:val="20"/>
                <w:szCs w:val="20"/>
                <w:color w:val="auto"/>
              </w:rPr>
            </w:pPr>
            <w:r>
              <w:rPr>
                <w:rFonts w:ascii="Arial" w:cs="Arial" w:eastAsia="Arial" w:hAnsi="Arial"/>
                <w:sz w:val="13"/>
                <w:szCs w:val="13"/>
                <w:color w:val="auto"/>
              </w:rPr>
              <w:t>0.23 /</w:t>
            </w:r>
          </w:p>
        </w:tc>
        <w:tc>
          <w:tcPr>
            <w:tcW w:w="340" w:type="dxa"/>
            <w:vAlign w:val="bottom"/>
          </w:tcPr>
          <w:p>
            <w:pPr>
              <w:ind w:left="20"/>
              <w:spacing w:after="0"/>
              <w:rPr>
                <w:sz w:val="20"/>
                <w:szCs w:val="20"/>
                <w:color w:val="auto"/>
              </w:rPr>
            </w:pPr>
            <w:r>
              <w:rPr>
                <w:rFonts w:ascii="Arial" w:cs="Arial" w:eastAsia="Arial" w:hAnsi="Arial"/>
                <w:sz w:val="9"/>
                <w:szCs w:val="9"/>
                <w:color w:val="auto"/>
              </w:rPr>
              <w:t>(b)/</w:t>
            </w:r>
          </w:p>
        </w:tc>
        <w:tc>
          <w:tcPr>
            <w:tcW w:w="0" w:type="dxa"/>
            <w:vAlign w:val="bottom"/>
          </w:tcPr>
          <w:p>
            <w:pPr>
              <w:spacing w:after="0"/>
              <w:rPr>
                <w:sz w:val="1"/>
                <w:szCs w:val="1"/>
                <w:color w:val="auto"/>
              </w:rPr>
            </w:pPr>
          </w:p>
        </w:tc>
      </w:tr>
      <w:tr>
        <w:trPr>
          <w:trHeight w:val="189"/>
        </w:trPr>
        <w:tc>
          <w:tcPr>
            <w:tcW w:w="3000" w:type="dxa"/>
            <w:vAlign w:val="bottom"/>
            <w:vMerge w:val="continue"/>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0.30</w:t>
            </w:r>
          </w:p>
        </w:tc>
        <w:tc>
          <w:tcPr>
            <w:tcW w:w="102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0.27</w:t>
            </w:r>
          </w:p>
        </w:tc>
        <w:tc>
          <w:tcPr>
            <w:tcW w:w="104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0.97</w:t>
            </w:r>
          </w:p>
        </w:tc>
        <w:tc>
          <w:tcPr>
            <w:tcW w:w="106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0.51</w:t>
            </w:r>
          </w:p>
        </w:tc>
        <w:tc>
          <w:tcPr>
            <w:tcW w:w="340" w:type="dxa"/>
            <w:vAlign w:val="bottom"/>
          </w:tcPr>
          <w:p>
            <w:pPr>
              <w:ind w:left="20"/>
              <w:spacing w:after="0"/>
              <w:rPr>
                <w:sz w:val="20"/>
                <w:szCs w:val="20"/>
                <w:color w:val="auto"/>
              </w:rPr>
            </w:pP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20" w:hanging="332"/>
        <w:spacing w:after="0" w:line="250" w:lineRule="auto"/>
        <w:tabs>
          <w:tab w:leader="none" w:pos="332"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a result of the Reorganization Transactions and the IPO completed in April 2019, certain earnings information is being presented separately for Tradeweb Markets LLC and Tradeweb Markets Inc.</w:t>
      </w:r>
    </w:p>
    <w:p>
      <w:pPr>
        <w:ind w:left="980" w:hanging="324"/>
        <w:spacing w:after="0"/>
        <w:tabs>
          <w:tab w:leader="none" w:pos="9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Presents information for Tradeweb Markets Inc. (post-IPO period).</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Presents information for Tradeweb Markets LLC (pre-IPO period).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See Note 15 — Earnings Per Share to our unaudited consolidated financial statements included elsewhere in this Quarterly Report on Form 10-Q.</w:t>
      </w:r>
    </w:p>
    <w:p>
      <w:pPr>
        <w:spacing w:after="0" w:line="1" w:lineRule="exact"/>
        <w:rPr>
          <w:sz w:val="20"/>
          <w:szCs w:val="20"/>
          <w:color w:val="auto"/>
        </w:rPr>
      </w:pPr>
    </w:p>
    <w:p>
      <w:pPr>
        <w:ind w:left="340" w:right="100" w:hanging="332"/>
        <w:spacing w:after="0" w:line="241" w:lineRule="auto"/>
        <w:tabs>
          <w:tab w:leader="none" w:pos="332"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ind w:left="340" w:right="160" w:hanging="332"/>
        <w:spacing w:after="0" w:line="241" w:lineRule="auto"/>
        <w:tabs>
          <w:tab w:leader="none" w:pos="332"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(where all assets were marked to fair value as of the closing date of the Refinitiv Transaction).</w:t>
      </w:r>
    </w:p>
    <w:p>
      <w:pPr>
        <w:ind w:left="340" w:right="40" w:hanging="332"/>
        <w:spacing w:after="0" w:line="241" w:lineRule="auto"/>
        <w:tabs>
          <w:tab w:leader="none" w:pos="332"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foreign exchange gain or loss from the revaluation of cash denominated in a different currency than the entity’s functional currency.</w:t>
      </w:r>
    </w:p>
    <w:p>
      <w:pPr>
        <w:spacing w:after="0" w:line="1" w:lineRule="exact"/>
        <w:rPr>
          <w:rFonts w:ascii="Arial" w:cs="Arial" w:eastAsia="Arial" w:hAnsi="Arial"/>
          <w:sz w:val="14"/>
          <w:szCs w:val="14"/>
          <w:color w:val="auto"/>
        </w:rPr>
      </w:pPr>
    </w:p>
    <w:p>
      <w:pPr>
        <w:ind w:left="340" w:right="40" w:hanging="332"/>
        <w:spacing w:after="0" w:line="260" w:lineRule="auto"/>
        <w:tabs>
          <w:tab w:leader="none" w:pos="332"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corporate income taxes at an assumed effective tax rate of 22.0% and 26.4% applied to Adjusted Net Income before income taxes for the three and nine months ended September 30, 2020 and 2019, respectively. For pre-IPO periods, this adjustment assumes Tradeweb Markets LLC was subject to a corporate tax rate for the periods presented.</w:t>
      </w:r>
    </w:p>
    <w:p>
      <w:pPr>
        <w:ind w:left="340" w:right="40" w:hanging="332"/>
        <w:spacing w:after="0" w:line="246" w:lineRule="auto"/>
        <w:tabs>
          <w:tab w:leader="none" w:pos="332" w:val="left"/>
        </w:tabs>
        <w:numPr>
          <w:ilvl w:val="0"/>
          <w:numId w:val="33"/>
        </w:numPr>
        <w:rPr>
          <w:rFonts w:ascii="Arial" w:cs="Arial" w:eastAsia="Arial" w:hAnsi="Arial"/>
          <w:sz w:val="14"/>
          <w:szCs w:val="14"/>
          <w:color w:val="auto"/>
        </w:rPr>
      </w:pPr>
      <w:r>
        <w:rPr>
          <w:rFonts w:ascii="Arial" w:cs="Arial" w:eastAsia="Arial" w:hAnsi="Arial"/>
          <w:sz w:val="14"/>
          <w:szCs w:val="14"/>
          <w:color w:val="auto"/>
        </w:rPr>
        <w:t>Due to the Reorganization Transactions and the IPO completed in April 2019, shares outstanding during the nine months ended September 30, 2019 represent shares of TWM LLC (pre-IPO period) and shares of Class A and Class B common stock of Tradeweb Markets, Inc. (post-IPO period). Shares outstanding during the three and nine months ended September 30,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calculation of Adjusted Diluted EPS for the three and nine months ended September 30, 2020 and 2019:</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Pre-IPO Period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Post-IPO Period</w:t>
            </w:r>
          </w:p>
        </w:tc>
      </w:tr>
      <w:tr>
        <w:trPr>
          <w:trHeight w:val="135"/>
        </w:trPr>
        <w:tc>
          <w:tcPr>
            <w:tcW w:w="41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5"/>
              </w:rPr>
              <w:t>Reconciliation of Diluted Weighted Average Shares Outstanding</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144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97"/>
              </w:rPr>
              <w:t>Nine Months Ended</w:t>
            </w: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4100" w:type="dxa"/>
            <w:vAlign w:val="bottom"/>
            <w:gridSpan w:val="2"/>
          </w:tcPr>
          <w:p>
            <w:pPr>
              <w:ind w:left="20"/>
              <w:spacing w:after="0"/>
              <w:rPr>
                <w:sz w:val="20"/>
                <w:szCs w:val="20"/>
                <w:color w:val="auto"/>
              </w:rPr>
            </w:pPr>
            <w:r>
              <w:rPr>
                <w:rFonts w:ascii="Arial" w:cs="Arial" w:eastAsia="Arial" w:hAnsi="Arial"/>
                <w:sz w:val="14"/>
                <w:szCs w:val="14"/>
                <w:b w:val="1"/>
                <w:bCs w:val="1"/>
                <w:color w:val="auto"/>
              </w:rPr>
              <w:t>to Adjusted Diluted Weighted Average Shares Outstanding</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2020</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 2019</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September 30, 2020</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 2019</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2019</w:t>
            </w:r>
          </w:p>
        </w:tc>
      </w:tr>
      <w:tr>
        <w:trPr>
          <w:trHeight w:val="184"/>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Diluted weighted average TWM LLC shares outstanding</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223,320,457</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right="140"/>
        <w:spacing w:after="0" w:line="232" w:lineRule="auto"/>
        <w:rPr>
          <w:sz w:val="20"/>
          <w:szCs w:val="20"/>
          <w:color w:val="auto"/>
        </w:rPr>
      </w:pPr>
      <w:r>
        <w:rPr>
          <w:rFonts w:ascii="Arial" w:cs="Arial" w:eastAsia="Arial" w:hAnsi="Arial"/>
          <w:sz w:val="14"/>
          <w:szCs w:val="14"/>
          <w:color w:val="auto"/>
        </w:rPr>
        <w:t>Diluted weighted average shares of Class A and Class B common stock outstanding</w:t>
      </w:r>
    </w:p>
    <w:p>
      <w:pPr>
        <w:spacing w:after="0" w:line="21" w:lineRule="exact"/>
        <w:rPr>
          <w:sz w:val="20"/>
          <w:szCs w:val="20"/>
          <w:color w:val="auto"/>
        </w:rPr>
      </w:pPr>
    </w:p>
    <w:p>
      <w:pPr>
        <w:ind w:left="20" w:right="80"/>
        <w:spacing w:after="0" w:line="242" w:lineRule="auto"/>
        <w:rPr>
          <w:sz w:val="20"/>
          <w:szCs w:val="20"/>
          <w:color w:val="auto"/>
        </w:rPr>
      </w:pPr>
      <w:r>
        <w:rPr>
          <w:rFonts w:ascii="Arial" w:cs="Arial" w:eastAsia="Arial" w:hAnsi="Arial"/>
          <w:sz w:val="14"/>
          <w:szCs w:val="14"/>
          <w:color w:val="auto"/>
        </w:rPr>
        <w:t xml:space="preserve">Assumed exchange of LLC interests for shares of Class A or Class B common stock </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00" w:type="dxa"/>
            <w:vAlign w:val="bottom"/>
          </w:tcPr>
          <w:p>
            <w:pPr>
              <w:jc w:val="right"/>
              <w:ind w:right="308"/>
              <w:spacing w:after="0"/>
              <w:rPr>
                <w:sz w:val="20"/>
                <w:szCs w:val="20"/>
                <w:color w:val="auto"/>
              </w:rPr>
            </w:pPr>
            <w:r>
              <w:rPr>
                <w:rFonts w:ascii="Arial" w:cs="Arial" w:eastAsia="Arial" w:hAnsi="Arial"/>
                <w:sz w:val="14"/>
                <w:szCs w:val="14"/>
                <w:color w:val="auto"/>
                <w:w w:val="89"/>
              </w:rPr>
              <w:t>194,955,695</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151,362,643</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185,026,108</w:t>
            </w:r>
          </w:p>
        </w:tc>
        <w:tc>
          <w:tcPr>
            <w:tcW w:w="1160" w:type="dxa"/>
            <w:vAlign w:val="bottom"/>
          </w:tcPr>
          <w:p>
            <w:pPr>
              <w:ind w:left="6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151,158,760</w:t>
            </w:r>
          </w:p>
        </w:tc>
      </w:tr>
      <w:tr>
        <w:trPr>
          <w:trHeight w:val="378"/>
        </w:trPr>
        <w:tc>
          <w:tcPr>
            <w:tcW w:w="1100" w:type="dxa"/>
            <w:vAlign w:val="bottom"/>
          </w:tcPr>
          <w:p>
            <w:pPr>
              <w:jc w:val="right"/>
              <w:ind w:right="308"/>
              <w:spacing w:after="0"/>
              <w:rPr>
                <w:sz w:val="20"/>
                <w:szCs w:val="20"/>
                <w:color w:val="auto"/>
              </w:rPr>
            </w:pPr>
            <w:r>
              <w:rPr>
                <w:rFonts w:ascii="Arial" w:cs="Arial" w:eastAsia="Arial" w:hAnsi="Arial"/>
                <w:sz w:val="14"/>
                <w:szCs w:val="14"/>
                <w:color w:val="auto"/>
                <w:w w:val="99"/>
              </w:rPr>
              <w:t>39,513,246</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79,289,005</w:t>
            </w:r>
          </w:p>
        </w:tc>
        <w:tc>
          <w:tcPr>
            <w:tcW w:w="1740" w:type="dxa"/>
            <w:vAlign w:val="bottom"/>
          </w:tcPr>
          <w:p>
            <w:pPr>
              <w:jc w:val="right"/>
              <w:ind w:right="588"/>
              <w:spacing w:after="0"/>
              <w:rPr>
                <w:sz w:val="20"/>
                <w:szCs w:val="20"/>
                <w:color w:val="auto"/>
              </w:rPr>
            </w:pPr>
            <w:r>
              <w:rPr>
                <w:rFonts w:ascii="Arial" w:cs="Arial" w:eastAsia="Arial" w:hAnsi="Arial"/>
                <w:sz w:val="14"/>
                <w:szCs w:val="14"/>
                <w:color w:val="auto"/>
              </w:rPr>
              <w:t>48,397,598</w:t>
            </w:r>
          </w:p>
        </w:tc>
        <w:tc>
          <w:tcPr>
            <w:tcW w:w="1160" w:type="dxa"/>
            <w:vAlign w:val="bottom"/>
          </w:tcPr>
          <w:p>
            <w:pPr>
              <w:ind w:left="6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79,289,005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-231775</wp:posOffset>
            </wp:positionV>
            <wp:extent cx="713232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3940" w:space="720"/>
            <w:col w:w="65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4100" w:type="dxa"/>
            <w:vAlign w:val="bottom"/>
          </w:tcPr>
          <w:p>
            <w:pPr>
              <w:ind w:left="20"/>
              <w:spacing w:after="0"/>
              <w:rPr>
                <w:sz w:val="20"/>
                <w:szCs w:val="20"/>
                <w:color w:val="auto"/>
              </w:rPr>
            </w:pPr>
            <w:r>
              <w:rPr>
                <w:rFonts w:ascii="Arial" w:cs="Arial" w:eastAsia="Arial" w:hAnsi="Arial"/>
                <w:sz w:val="14"/>
                <w:szCs w:val="14"/>
                <w:color w:val="auto"/>
              </w:rPr>
              <w:t>Adjusted diluted weighted average shares outstanding</w:t>
            </w: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234,468,941</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230,651,648</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233,423,706</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223,320,457</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230,447,765</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Income (in thousands)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69,939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61,627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225,691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52,190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118,255</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100" w:type="dxa"/>
            <w:vAlign w:val="bottom"/>
          </w:tcPr>
          <w:p>
            <w:pPr>
              <w:ind w:left="20"/>
              <w:spacing w:after="0"/>
              <w:rPr>
                <w:sz w:val="20"/>
                <w:szCs w:val="20"/>
                <w:color w:val="auto"/>
              </w:rPr>
            </w:pPr>
            <w:r>
              <w:rPr>
                <w:rFonts w:ascii="Arial" w:cs="Arial" w:eastAsia="Arial" w:hAnsi="Arial"/>
                <w:sz w:val="14"/>
                <w:szCs w:val="14"/>
                <w:color w:val="auto"/>
              </w:rPr>
              <w:t>Adjusted Diluted EPS</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0.23</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r>
      <w:tr>
        <w:trPr>
          <w:trHeight w:val="20"/>
        </w:trPr>
        <w:tc>
          <w:tcPr>
            <w:tcW w:w="4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right="140" w:hanging="332"/>
        <w:spacing w:after="0" w:line="273" w:lineRule="auto"/>
        <w:tabs>
          <w:tab w:leader="none" w:pos="332"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Assumes the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consolidated financial statements included elsewhere in this Quarterly Report on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and disclosures in our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pushdown accounting, intangible assets, goodwill, software development costs, stock based compensation, and current and deferred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225"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on the date of the Refinitiv Transaction. We, as a consolidating subsidiary of Refinitiv, also accounted for the Refinitiv Transaction using pushdown accounting. Under pushdown accounting, the excess of our fair value above the fair value accounting basis of our net assets and liabilities is recorded as goodwill. The fair value of assets acquired and liabilities assumed was determined based on assumptions that reasonable market participants would use in the principal (or most advantageous) market for the asset or liability.</w:t>
      </w:r>
    </w:p>
    <w:p>
      <w:pPr>
        <w:spacing w:after="0" w:line="19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determining the fair value of the assets acquired and the liabilities assumed, we considered a report of a third-party valuation expert. Management is responsible for these internal and third-party valuations and appraisals.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We amortize our intangible assets over the estimated useful lives and test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discounted cash flows relating to the asset or asset group is less than the corresponding carrying value. Intangible assets are amortized over their estimated useful lives of seven to twelve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based on the fair market value of the Company’s Class A common shares. We calculate such loss as the difference between the estimated fair value of goodwill and its carrying value. If future events or results differ adversely from the estimates and assumptions made at acquisition or as part of subsequent impairment tests, we may record increased amortization or impairment charges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 We are required to make significant judgements for the Refinitiv market data fees. Significant judgements used in accounting for this contract include:</w:t>
      </w:r>
    </w:p>
    <w:p>
      <w:pPr>
        <w:spacing w:after="0" w:line="18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jc w:val="both"/>
        <w:ind w:left="660" w:right="70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stock-based compensation that our employees receive is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49" w:lineRule="exact"/>
        <w:rPr>
          <w:sz w:val="20"/>
          <w:szCs w:val="20"/>
          <w:color w:val="auto"/>
        </w:rPr>
      </w:pPr>
    </w:p>
    <w:p>
      <w:pPr>
        <w:ind w:right="420" w:firstLine="324"/>
        <w:spacing w:after="0" w:line="311" w:lineRule="auto"/>
        <w:rPr>
          <w:sz w:val="20"/>
          <w:szCs w:val="20"/>
          <w:color w:val="auto"/>
        </w:rPr>
      </w:pPr>
      <w:r>
        <w:rPr>
          <w:rFonts w:ascii="Arial" w:cs="Arial" w:eastAsia="Arial" w:hAnsi="Arial"/>
          <w:sz w:val="16"/>
          <w:szCs w:val="16"/>
          <w:color w:val="auto"/>
        </w:rPr>
        <w:t>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consolidated statements of income.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For grants made during the post-IPO period, the fair value of the equity instruments is determined based on the price of the Company’s Class A common stock on the grant date.</w:t>
      </w:r>
    </w:p>
    <w:p>
      <w:pPr>
        <w:spacing w:after="0" w:line="17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Prior to and following the IPO, we awarded options to management and other employees (collectively, the “Special Option Award”) under the Amended and Restated Tradeweb Markets Inc. Option Plan. In accounting for the options issued under this plan, we measure and recognize compensation expense for all awards based on their estimated fair values measured as of the grant date. Costs related to these options are recognized as an expense in our consolidated statements of income over the requisite service period, with an offsetting increase to additional paid-in capital. We started to expense the non-cash stock-based compensation related to the Special Option Award beginning in the second quarter of 2019, with a charge of $20.4 million ($18.9 million of which was charged immediately upon the completion of the IPO), and will continue to expense over the following three years. For more information, please see “Executive Compensation—Narrative Disclosure to Summary Compensation Table—Amended and Restated Tradeweb Markets Inc. 2018 Share Option Plan” in our definitive proxy statement for the 2020 Annual Meeting of Stockholders filed with the SEC on April 9, 2020.</w:t>
      </w:r>
    </w:p>
    <w:p>
      <w:pPr>
        <w:spacing w:after="0" w:line="16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We use the Black-Scholes pricing model to value some of our stock-based awards. Determining the appropriate fair value model and calculating the fair value of the stock-based awards requires the input of highly subjective assumptions, including the expected life of the stock-based awards, the number of expected stock-based awards that will be forfeited prior to the completion of the vesting requirements, and the stock price volatility.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record valuation allowances when we believe that it is more likely than not that the Company will not be able to realize its deferred tax assets in the future.</w:t>
      </w:r>
    </w:p>
    <w:p>
      <w:pPr>
        <w:spacing w:after="0" w:line="178"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consolidated statements of income. Accrued interest and penalties are included within accounts payable, accrued expenses and other liabilities in our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w:t>
      </w:r>
    </w:p>
    <w:p>
      <w:pPr>
        <w:spacing w:after="0" w:line="19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recorded an initial liability of $171.4 million related to our projected obligations under the Tax Receivable Agreement with respect to LLC Interests that were purchased by us using the net proceeds from the IPO. As of December 31, 2019, the liability was $240.8 million, primarily due to the purchase of LLC Interests by the Corporation using the net proceeds of the October 2019 follow-on offering as well as additional exchanges of LLC Interests by Continuing LLC Owners. During the first nine months of 2020, the liability increased to $373.0 million primarily due to the April 2020 follow-on offering and additional exchanges of LLC Interests by Continuing LLC Owners.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geographic mix of the our earnings, changes in tax legislation and tax rates or other factors that may impact our tax savings will be reflected in income before taxes in the period in which the change occurs.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 Recently Adopted</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See Note 2 – Significant Accounting Policies to our unaudited consolidated financial statements included elsewhere in this Quarterly Report on Form 10-Q for a discussion of recent accounting pronouncements (adopted and not yet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Jumpstart Our Business Startups Act of 2012 (the “JOBS Act”) permits us, as an “emerging growth company,” to take advantage of an extended transition period to comply with new or revised accounting standards applicable to public companies. We have elected to “opt out” of this provision and, as a result, we will comply with new or revised accounting standards on the relevant dates on which adoption of such standards is required for public companies that are not emerging growth companies. This decision to opt out of the extended transition period under the JOBS Act is irrevocable.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shows the percentage breakdown of our gross revenue and operating expenses denominated in currencies other than the U.S. dollar for the three and nine months ended September 30, 2020 and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hanging="194"/>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of revenue denominated in foreign currencies </w:t>
      </w:r>
      <w:r>
        <w:rPr>
          <w:rFonts w:ascii="Arial" w:cs="Arial" w:eastAsia="Arial" w:hAnsi="Arial"/>
          <w:sz w:val="9"/>
          <w:szCs w:val="9"/>
          <w:color w:val="auto"/>
        </w:rPr>
        <w:t>(1)</w:t>
      </w:r>
    </w:p>
    <w:p>
      <w:pPr>
        <w:spacing w:after="0" w:line="63" w:lineRule="exact"/>
        <w:rPr>
          <w:rFonts w:ascii="Arial" w:cs="Arial" w:eastAsia="Arial" w:hAnsi="Arial"/>
          <w:sz w:val="18"/>
          <w:szCs w:val="18"/>
          <w:color w:val="auto"/>
        </w:rPr>
      </w:pPr>
    </w:p>
    <w:p>
      <w:pPr>
        <w:ind w:left="220" w:hanging="194"/>
        <w:spacing w:after="0"/>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of operating expenses denominated in foreign currencies </w:t>
      </w:r>
      <w:r>
        <w:rPr>
          <w:rFonts w:ascii="Arial" w:cs="Arial" w:eastAsia="Arial" w:hAnsi="Arial"/>
          <w:sz w:val="9"/>
          <w:szCs w:val="9"/>
          <w:color w:val="auto"/>
        </w:rPr>
        <w:t>(2)</w:t>
      </w:r>
    </w:p>
    <w:p>
      <w:pPr>
        <w:spacing w:after="0" w:line="248"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Gross revenue in foreign currencies is primarily denominated in Euros.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Operating expenses in foreign currencies are primarily denominated in British pounds.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2140" w:type="dxa"/>
            <w:vAlign w:val="bottom"/>
            <w:gridSpan w:val="3"/>
          </w:tcPr>
          <w:p>
            <w:pPr>
              <w:jc w:val="right"/>
              <w:ind w:right="828"/>
              <w:spacing w:after="0"/>
              <w:rPr>
                <w:sz w:val="20"/>
                <w:szCs w:val="20"/>
                <w:color w:val="auto"/>
              </w:rPr>
            </w:pPr>
            <w:r>
              <w:rPr>
                <w:rFonts w:ascii="Arial" w:cs="Arial" w:eastAsia="Arial" w:hAnsi="Arial"/>
                <w:sz w:val="14"/>
                <w:szCs w:val="14"/>
                <w:b w:val="1"/>
                <w:bCs w:val="1"/>
                <w:color w:val="auto"/>
                <w:w w:val="93"/>
              </w:rPr>
              <w:t>Nine Months Ended</w:t>
            </w:r>
          </w:p>
        </w:tc>
      </w:tr>
      <w:tr>
        <w:trPr>
          <w:trHeight w:val="195"/>
        </w:trPr>
        <w:tc>
          <w:tcPr>
            <w:tcW w:w="400" w:type="dxa"/>
            <w:vAlign w:val="bottom"/>
          </w:tcPr>
          <w:p>
            <w:pPr>
              <w:spacing w:after="0"/>
              <w:rPr>
                <w:sz w:val="16"/>
                <w:szCs w:val="16"/>
                <w:color w:val="auto"/>
              </w:rPr>
            </w:pPr>
          </w:p>
        </w:tc>
        <w:tc>
          <w:tcPr>
            <w:tcW w:w="202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rPr>
              <w:t>September 30,</w:t>
            </w:r>
          </w:p>
        </w:tc>
      </w:tr>
      <w:tr>
        <w:trPr>
          <w:trHeight w:val="188"/>
        </w:trPr>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54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ind w:left="416"/>
              <w:spacing w:after="0"/>
              <w:rPr>
                <w:sz w:val="20"/>
                <w:szCs w:val="20"/>
                <w:color w:val="auto"/>
              </w:rPr>
            </w:pPr>
            <w:r>
              <w:rPr>
                <w:rFonts w:ascii="Arial" w:cs="Arial" w:eastAsia="Arial" w:hAnsi="Arial"/>
                <w:sz w:val="14"/>
                <w:szCs w:val="14"/>
                <w:b w:val="1"/>
                <w:bCs w:val="1"/>
                <w:color w:val="auto"/>
                <w:w w:val="96"/>
              </w:rPr>
              <w:t>2020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51"/>
        </w:trPr>
        <w:tc>
          <w:tcPr>
            <w:tcW w:w="400" w:type="dxa"/>
            <w:vAlign w:val="bottom"/>
          </w:tcPr>
          <w:p>
            <w:pPr>
              <w:jc w:val="center"/>
              <w:spacing w:after="0"/>
              <w:rPr>
                <w:sz w:val="20"/>
                <w:szCs w:val="20"/>
                <w:color w:val="auto"/>
              </w:rPr>
            </w:pPr>
            <w:r>
              <w:rPr>
                <w:rFonts w:ascii="Arial" w:cs="Arial" w:eastAsia="Arial" w:hAnsi="Arial"/>
                <w:sz w:val="18"/>
                <w:szCs w:val="18"/>
                <w:color w:val="auto"/>
                <w:w w:val="88"/>
              </w:rPr>
              <w:t>28%</w:t>
            </w:r>
          </w:p>
        </w:tc>
        <w:tc>
          <w:tcPr>
            <w:tcW w:w="1920" w:type="dxa"/>
            <w:vAlign w:val="bottom"/>
            <w:gridSpan w:val="2"/>
          </w:tcPr>
          <w:p>
            <w:pPr>
              <w:jc w:val="center"/>
              <w:ind w:left="456"/>
              <w:spacing w:after="0"/>
              <w:rPr>
                <w:sz w:val="20"/>
                <w:szCs w:val="20"/>
                <w:color w:val="auto"/>
              </w:rPr>
            </w:pPr>
            <w:r>
              <w:rPr>
                <w:rFonts w:ascii="Arial" w:cs="Arial" w:eastAsia="Arial" w:hAnsi="Arial"/>
                <w:sz w:val="18"/>
                <w:szCs w:val="18"/>
                <w:color w:val="auto"/>
                <w:w w:val="94"/>
              </w:rPr>
              <w:t>32%</w:t>
            </w:r>
          </w:p>
        </w:tc>
        <w:tc>
          <w:tcPr>
            <w:tcW w:w="100" w:type="dxa"/>
            <w:vAlign w:val="bottom"/>
          </w:tcPr>
          <w:p>
            <w:pPr>
              <w:spacing w:after="0"/>
              <w:rPr>
                <w:sz w:val="21"/>
                <w:szCs w:val="21"/>
                <w:color w:val="auto"/>
              </w:rPr>
            </w:pPr>
          </w:p>
        </w:tc>
        <w:tc>
          <w:tcPr>
            <w:tcW w:w="880" w:type="dxa"/>
            <w:vAlign w:val="bottom"/>
          </w:tcPr>
          <w:p>
            <w:pPr>
              <w:jc w:val="center"/>
              <w:ind w:left="416"/>
              <w:spacing w:after="0"/>
              <w:rPr>
                <w:sz w:val="20"/>
                <w:szCs w:val="20"/>
                <w:color w:val="auto"/>
              </w:rPr>
            </w:pPr>
            <w:r>
              <w:rPr>
                <w:rFonts w:ascii="Arial" w:cs="Arial" w:eastAsia="Arial" w:hAnsi="Arial"/>
                <w:sz w:val="18"/>
                <w:szCs w:val="18"/>
                <w:color w:val="auto"/>
                <w:w w:val="94"/>
              </w:rPr>
              <w:t>29%</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31 %</w:t>
            </w:r>
          </w:p>
        </w:tc>
      </w:tr>
      <w:tr>
        <w:trPr>
          <w:trHeight w:val="270"/>
        </w:trPr>
        <w:tc>
          <w:tcPr>
            <w:tcW w:w="40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920" w:type="dxa"/>
            <w:vAlign w:val="bottom"/>
            <w:gridSpan w:val="2"/>
          </w:tcPr>
          <w:p>
            <w:pPr>
              <w:jc w:val="center"/>
              <w:ind w:left="456"/>
              <w:spacing w:after="0"/>
              <w:rPr>
                <w:sz w:val="20"/>
                <w:szCs w:val="20"/>
                <w:color w:val="auto"/>
              </w:rPr>
            </w:pPr>
            <w:r>
              <w:rPr>
                <w:rFonts w:ascii="Arial" w:cs="Arial" w:eastAsia="Arial" w:hAnsi="Arial"/>
                <w:sz w:val="18"/>
                <w:szCs w:val="18"/>
                <w:color w:val="auto"/>
                <w:w w:val="94"/>
              </w:rPr>
              <w:t>16%</w:t>
            </w:r>
          </w:p>
        </w:tc>
        <w:tc>
          <w:tcPr>
            <w:tcW w:w="100" w:type="dxa"/>
            <w:vAlign w:val="bottom"/>
          </w:tcPr>
          <w:p>
            <w:pPr>
              <w:spacing w:after="0"/>
              <w:rPr>
                <w:sz w:val="23"/>
                <w:szCs w:val="23"/>
                <w:color w:val="auto"/>
              </w:rPr>
            </w:pPr>
          </w:p>
        </w:tc>
        <w:tc>
          <w:tcPr>
            <w:tcW w:w="880" w:type="dxa"/>
            <w:vAlign w:val="bottom"/>
          </w:tcPr>
          <w:p>
            <w:pPr>
              <w:jc w:val="center"/>
              <w:ind w:left="416"/>
              <w:spacing w:after="0"/>
              <w:rPr>
                <w:sz w:val="20"/>
                <w:szCs w:val="20"/>
                <w:color w:val="auto"/>
              </w:rPr>
            </w:pPr>
            <w:r>
              <w:rPr>
                <w:rFonts w:ascii="Arial" w:cs="Arial" w:eastAsia="Arial" w:hAnsi="Arial"/>
                <w:sz w:val="18"/>
                <w:szCs w:val="18"/>
                <w:color w:val="auto"/>
                <w:w w:val="94"/>
              </w:rPr>
              <w:t>15%</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-342265</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-471170</wp:posOffset>
            </wp:positionV>
            <wp:extent cx="18084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720" w:lineRule="exact"/>
        <w:rPr>
          <w:sz w:val="20"/>
          <w:szCs w:val="20"/>
          <w:color w:val="auto"/>
        </w:rPr>
      </w:pPr>
    </w:p>
    <w:p>
      <w:pPr>
        <w:sectPr>
          <w:pgSz w:w="11900" w:h="16838" w:orient="portrait"/>
          <w:cols w:equalWidth="0" w:num="2">
            <w:col w:w="5300" w:space="500"/>
            <w:col w:w="5440"/>
          </w:cols>
          <w:pgMar w:left="320" w:top="125" w:right="339" w:bottom="1440" w:gutter="0" w:footer="0" w:header="0"/>
          <w:type w:val="continuous"/>
        </w:sectPr>
      </w:pPr>
    </w:p>
    <w:p>
      <w:pPr>
        <w:spacing w:after="0" w:line="2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Since our consolidated financial statements are presented in U.S. dollars, we must translate revenues and expenses, as well as assets and liabilities, into U.S. dollars. Accordingly, increases or decreases in the value of the U.S. dollar against the other currencies will affect our net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comprehensive income.</w:t>
      </w:r>
    </w:p>
    <w:p>
      <w:pPr>
        <w:spacing w:after="0" w:line="1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shows the change in gross revenue and operating income caused by fluctuations in foreign currency rates during the three and nine months ended September 30, 2020 and 2019:</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756"/>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Impact of Foreign Currency Rate Fluctuations</w:t>
            </w:r>
          </w:p>
        </w:tc>
        <w:tc>
          <w:tcPr>
            <w:tcW w:w="8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19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r>
      <w:tr>
        <w:trPr>
          <w:trHeight w:val="26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gross revenue</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2,100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r>
      <w:tr>
        <w:trPr>
          <w:trHeight w:val="27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Increase (decrease) in operating income</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1,600</w:t>
            </w:r>
          </w:p>
        </w:tc>
        <w:tc>
          <w:tcPr>
            <w:tcW w:w="100" w:type="dxa"/>
            <w:vAlign w:val="bottom"/>
          </w:tcPr>
          <w:p>
            <w:pPr>
              <w:spacing w:after="0"/>
              <w:rPr>
                <w:sz w:val="23"/>
                <w:szCs w:val="23"/>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(1,200)</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(6,400)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would have on actual gross revenue and operating income for the three and nine months ended September 30, 2020 and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6"/>
                <w:szCs w:val="16"/>
                <w:color w:val="auto"/>
              </w:rPr>
            </w:pPr>
          </w:p>
        </w:tc>
      </w:tr>
      <w:tr>
        <w:trPr>
          <w:trHeight w:val="228"/>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Hypothetical 10% Change in Value of U.S. Dollar</w:t>
            </w:r>
          </w:p>
        </w:tc>
        <w:tc>
          <w:tcPr>
            <w:tcW w:w="5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190"/>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7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gross revenue</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2"/>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$6,800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r>
      <w:tr>
        <w:trPr>
          <w:trHeight w:val="27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w w:val="92"/>
              </w:rPr>
              <w:t>+/-</w:t>
            </w: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3"/>
                <w:szCs w:val="23"/>
                <w:color w:val="auto"/>
              </w:rPr>
            </w:pPr>
          </w:p>
        </w:tc>
        <w:tc>
          <w:tcPr>
            <w:tcW w:w="7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3"/>
                <w:szCs w:val="23"/>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w w:val="92"/>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23"/>
                <w:szCs w:val="23"/>
                <w:color w:val="auto"/>
              </w:rPr>
            </w:pPr>
          </w:p>
        </w:tc>
        <w:tc>
          <w:tcPr>
            <w:tcW w:w="720" w:type="dxa"/>
            <w:vAlign w:val="bottom"/>
          </w:tcPr>
          <w:p>
            <w:pPr>
              <w:jc w:val="right"/>
              <w:ind w:right="410"/>
              <w:spacing w:after="0"/>
              <w:rPr>
                <w:sz w:val="20"/>
                <w:szCs w:val="20"/>
                <w:color w:val="auto"/>
              </w:rPr>
            </w:pPr>
            <w:r>
              <w:rPr>
                <w:rFonts w:ascii="Arial" w:cs="Arial" w:eastAsia="Arial" w:hAnsi="Arial"/>
                <w:sz w:val="18"/>
                <w:szCs w:val="18"/>
                <w:color w:val="auto"/>
                <w:w w:val="92"/>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$11,400</w:t>
            </w:r>
          </w:p>
        </w:tc>
      </w:tr>
    </w:tbl>
    <w:p>
      <w:pPr>
        <w:spacing w:after="0" w:line="2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September 30, 2020 and December 31, 2019, the notional amount of our foreign currency forward contracts was $122.3 million and $83.9 million, respectively.</w:t>
      </w:r>
    </w:p>
    <w:p>
      <w:pPr>
        <w:spacing w:after="0" w:line="18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324"/>
        <w:spacing w:after="0" w:line="217" w:lineRule="exact"/>
        <w:rPr>
          <w:sz w:val="20"/>
          <w:szCs w:val="20"/>
          <w:color w:val="auto"/>
        </w:rPr>
      </w:pPr>
      <w:r>
        <w:rPr>
          <w:rFonts w:ascii="Arial" w:cs="Arial" w:eastAsia="Arial" w:hAnsi="Arial"/>
          <w:sz w:val="17"/>
          <w:szCs w:val="17"/>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of the Exchange Act,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quarter ended September 30, 2020 that have materially affected, or that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Except as set forth in our Quarterly Report on Form 10-Q filed on May 12, 2020, there have been no material changes from the legal proceedings previously disclosed under the heading “Item 3. Legal Proceedings” in our 2019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“Item 1A. Risk Factors” of our 2019 Form 10-K and the information set forth in “Item 2. Management’s Discussion and Analysis of Financial Condition and Results of Operation—Trends and Other Factors Affecting Our Performance—COVID-19”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68" w:name="page69"/>
    <w:bookmarkEnd w:id="68"/>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220" w:type="dxa"/>
            <w:vAlign w:val="bottom"/>
            <w:tcBorders>
              <w:bottom w:val="single" w:sz="8" w:color="auto"/>
            </w:tcBorders>
            <w:gridSpan w:val="6"/>
          </w:tcPr>
          <w:p>
            <w:pPr>
              <w:ind w:left="272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16"/>
                <w:szCs w:val="16"/>
                <w:color w:val="auto"/>
              </w:rPr>
            </w:pPr>
          </w:p>
        </w:tc>
      </w:tr>
      <w:tr>
        <w:trPr>
          <w:trHeight w:val="337"/>
        </w:trPr>
        <w:tc>
          <w:tcPr>
            <w:tcW w:w="15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line="207" w:lineRule="exact"/>
              <w:rPr>
                <w:rFonts w:ascii="Arial" w:cs="Arial" w:eastAsia="Arial" w:hAnsi="Arial"/>
                <w:sz w:val="18"/>
                <w:szCs w:val="18"/>
                <w:color w:val="0000FF"/>
                <w:w w:val="98"/>
              </w:rPr>
            </w:pPr>
            <w:hyperlink w:anchor="page71">
              <w:r>
                <w:rPr>
                  <w:rFonts w:ascii="Arial" w:cs="Arial" w:eastAsia="Arial" w:hAnsi="Arial"/>
                  <w:sz w:val="18"/>
                  <w:szCs w:val="18"/>
                  <w:color w:val="0000FF"/>
                  <w:w w:val="98"/>
                </w:rPr>
                <w:t>Certification of Chief Executive Officer pursuant to Rule 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or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of the Securities Exchange Act of 1934, as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amended, as adopted pursuant to Section 302 of the Sarbanes-Oxley Act of 2002.</w:t>
              </w:r>
            </w:hyperlink>
          </w:p>
        </w:tc>
        <w:tc>
          <w:tcPr>
            <w:tcW w:w="306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71"/>
        </w:trPr>
        <w:tc>
          <w:tcPr>
            <w:tcW w:w="15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line="207"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Certification of Chief Financial Officer pursuant to Rule 13a</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or 15d</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of the Securities Exchange Act of 1934, as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amended, as adopted pursuant to Section 302 of the Sarbanes-Oxley Act of 2002.</w:t>
              </w:r>
            </w:hyperlink>
          </w:p>
        </w:tc>
        <w:tc>
          <w:tcPr>
            <w:tcW w:w="3000" w:type="dxa"/>
            <w:vAlign w:val="bottom"/>
            <w:tcBorders>
              <w:top w:val="single" w:sz="8" w:color="0000FF"/>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71"/>
        </w:trPr>
        <w:tc>
          <w:tcPr>
            <w:tcW w:w="15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8"/>
                <w:szCs w:val="18"/>
                <w:color w:val="0000FF"/>
                <w:w w:val="93"/>
              </w:rPr>
            </w:pPr>
            <w:hyperlink w:anchor="page73">
              <w:r>
                <w:rPr>
                  <w:rFonts w:ascii="Arial" w:cs="Arial" w:eastAsia="Arial" w:hAnsi="Arial"/>
                  <w:sz w:val="18"/>
                  <w:szCs w:val="18"/>
                  <w:color w:val="0000FF"/>
                  <w:w w:val="93"/>
                </w:rPr>
                <w:t>Certification of Chief Executive Officer pursuant to 18 U.S.C. Section 1350, as adopted pursuant to Section 906 of the Sarbanes-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Oxley Act of 2002.</w:t>
              </w:r>
            </w:hyperlink>
          </w:p>
        </w:tc>
        <w:tc>
          <w:tcPr>
            <w:tcW w:w="3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71"/>
        </w:trPr>
        <w:tc>
          <w:tcPr>
            <w:tcW w:w="15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8"/>
                <w:szCs w:val="18"/>
                <w:color w:val="0000FF"/>
                <w:w w:val="94"/>
              </w:rPr>
            </w:pPr>
            <w:hyperlink w:anchor="page74">
              <w:r>
                <w:rPr>
                  <w:rFonts w:ascii="Arial" w:cs="Arial" w:eastAsia="Arial" w:hAnsi="Arial"/>
                  <w:sz w:val="18"/>
                  <w:szCs w:val="18"/>
                  <w:color w:val="0000FF"/>
                  <w:w w:val="94"/>
                </w:rPr>
                <w:t>Certification of Chief Financial Officer pursuant to 18 U.S.C. Section 1350, as adopted pursuant to Section 906 of the Sarbanes-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Oxley Act of 2002.</w:t>
              </w:r>
            </w:hyperlink>
          </w:p>
        </w:tc>
        <w:tc>
          <w:tcPr>
            <w:tcW w:w="380" w:type="dxa"/>
            <w:vAlign w:val="bottom"/>
            <w:gridSpan w:val="3"/>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7"/>
          </w:tcPr>
          <w:p>
            <w:pPr>
              <w:spacing w:after="0" w:line="20" w:lineRule="exact"/>
              <w:rPr>
                <w:sz w:val="1"/>
                <w:szCs w:val="1"/>
                <w:color w:val="auto"/>
              </w:rPr>
            </w:pPr>
          </w:p>
        </w:tc>
      </w:tr>
      <w:tr>
        <w:trPr>
          <w:trHeight w:val="41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1"/>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5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r>
        <w:trPr>
          <w:trHeight w:val="891"/>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3"/>
          </w:tcPr>
          <w:p>
            <w:pPr>
              <w:jc w:val="right"/>
              <w:ind w:right="1688"/>
              <w:spacing w:after="0"/>
              <w:rPr>
                <w:sz w:val="20"/>
                <w:szCs w:val="20"/>
                <w:color w:val="auto"/>
              </w:rPr>
            </w:pPr>
            <w:r>
              <w:rPr>
                <w:rFonts w:ascii="Arial" w:cs="Arial" w:eastAsia="Arial" w:hAnsi="Arial"/>
                <w:sz w:val="18"/>
                <w:szCs w:val="18"/>
                <w:color w:val="auto"/>
              </w:rPr>
              <w:t>69</w:t>
            </w: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color w:val="0000FF"/>
        </w:rPr>
      </w:pPr>
      <w:hyperlink w:anchor="page1">
        <w:r>
          <w:rPr>
            <w:rFonts w:ascii="Arial" w:cs="Arial" w:eastAsia="Arial" w:hAnsi="Arial"/>
            <w:sz w:val="18"/>
            <w:szCs w:val="18"/>
            <w:u w:val="single" w:color="auto"/>
            <w:color w:val="0000FF"/>
          </w:rPr>
          <w:t>Table</w:t>
        </w:r>
        <w:r>
          <w:rPr>
            <w:rFonts w:ascii="Arial" w:cs="Arial" w:eastAsia="Arial" w:hAnsi="Arial"/>
            <w:sz w:val="18"/>
            <w:szCs w:val="18"/>
            <w:color w:val="0000FF"/>
          </w:rPr>
          <w:t xml:space="preserve"> of </w:t>
        </w:r>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October 29, 2020</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Lee Olesky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October 29, 2020</w:t>
      </w:r>
      <w:r>
        <w:rPr>
          <w:sz w:val="20"/>
          <w:szCs w:val="20"/>
          <w:color w:val="auto"/>
        </w:rPr>
        <w:tab/>
      </w: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Robert Warshaw</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600"/>
          </w:cols>
          <w:pgMar w:left="320" w:top="125" w:right="9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Lee Olesky,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2020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October 29, 2020</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Lee Olesky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Lee Olesky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0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Warshaw,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2020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October 29, 2020</w:t>
      </w:r>
      <w:r>
        <w:rPr>
          <w:sz w:val="20"/>
          <w:szCs w:val="20"/>
          <w:color w:val="auto"/>
        </w:rPr>
        <w:tab/>
      </w:r>
      <w:r>
        <w:rPr>
          <w:rFonts w:ascii="Arial" w:cs="Arial" w:eastAsia="Arial" w:hAnsi="Arial"/>
          <w:sz w:val="15"/>
          <w:szCs w:val="15"/>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Warshaw</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September 30, 2020,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October 29, 2020</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Lee Olesky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on Form 10-Q of Tradeweb Markets Inc. (the “Company”) for the fiscal quarter ended September 30, 2020 as filed with the Securities and Exchange Commission on the date hereof (the “Report”), Robert Warshaw, Chief Financial Officer of the Company, hereby certifies, pursuant to 18 U.S.C. Section 1350, as adopted pursuant to Section 906 of the Sarbanes-Oxley Act of 2002, that, to his knowledge:</w:t>
      </w:r>
    </w:p>
    <w:p>
      <w:pPr>
        <w:spacing w:after="0" w:line="165"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October 29, 2020</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Warshaw</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Robert Warshaw</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lvl w:ilvl="1">
      <w:lvlJc w:val="left"/>
      <w:lvlText w:val="(%2)"/>
      <w:numFmt w:val="lowerLetter"/>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13">
    <w:nsid w:val="71F32454"/>
    <w:multiLevelType w:val="hybridMultilevel"/>
    <w:lvl w:ilvl="0">
      <w:lvlJc w:val="left"/>
      <w:lvlText w:val="%1."/>
      <w:numFmt w:val="decimal"/>
      <w:start w:val="3"/>
    </w:lvl>
    <w:lvl w:ilvl="1">
      <w:lvlJc w:val="left"/>
      <w:lvlText w:val="•"/>
      <w:numFmt w:val="bullet"/>
      <w:start w:val="1"/>
    </w:lvl>
    <w:lvl w:ilvl="2">
      <w:lvlJc w:val="left"/>
      <w:lvlText w:val="%3"/>
      <w:numFmt w:val="lowerRoman"/>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8"/>
    </w:lvl>
    <w:lvl w:ilvl="1">
      <w:lvlJc w:val="left"/>
      <w:lvlText w:val="•"/>
      <w:numFmt w:val="bullet"/>
      <w:start w:val="1"/>
    </w:lvl>
  </w:abstractNum>
  <w:abstractNum w:abstractNumId="17">
    <w:nsid w:val="3A95F874"/>
    <w:multiLevelType w:val="hybridMultilevel"/>
    <w:lvl w:ilvl="0">
      <w:lvlJc w:val="left"/>
      <w:lvlText w:val="%1."/>
      <w:numFmt w:val="decimal"/>
      <w:start w:val="1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2"/>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2"/>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2"/>
    </w:lvl>
  </w:abstractNum>
  <w:abstractNum w:abstractNumId="31">
    <w:nsid w:val="3804823E"/>
    <w:multiLevelType w:val="hybridMultilevel"/>
    <w:lvl w:ilvl="0">
      <w:lvlJc w:val="left"/>
      <w:lvlText w:val="(%1)"/>
      <w:numFmt w:val="decimal"/>
      <w:start w:val="1"/>
    </w:lvl>
    <w:lvl w:ilvl="1">
      <w:lvlJc w:val="left"/>
      <w:lvlText w:val="(%2)"/>
      <w:numFmt w:val="lowerLetter"/>
      <w:start w:val="1"/>
    </w:lvl>
  </w:abstractNum>
  <w:abstractNum w:abstractNumId="32">
    <w:nsid w:val="77465F01"/>
    <w:multiLevelType w:val="hybridMultilevel"/>
    <w:lvl w:ilvl="0">
      <w:lvlJc w:val="left"/>
      <w:lvlText w:val="(%1)"/>
      <w:numFmt w:val="decimal"/>
      <w:start w:val="2"/>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2020-10-29T15:50:49Z</dcterms:created>
  <dcterms:modified xsi:type="dcterms:W3CDTF">2020-10-29T15:50:49Z</dcterms:modified>
</cp:coreProperties>
</file>