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15,337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62,930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250</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63,180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5,360 unvested RSUs in respect of Class A Common Stock which are scheduled to vest on March 17, 2023, (ii) 6,293 unvested RSUs in respect of Class A Common Stock which are scheduled to vest in equal installments on each of March 15, 2023 and March 15, 2024, (iii) 18,878 unvested RSUs in respect of Class A Common Stock which are scheduled to vest on January 1, 2024, and (iv) 11,046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2023-01-04T19:26:05Z</dcterms:created>
  <dcterms:modified xsi:type="dcterms:W3CDTF">2023-01-04T19:26:05Z</dcterms:modified>
</cp:coreProperties>
</file>