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792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7923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02/21/2020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3"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1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1640" w:type="dxa"/>
            <w:vAlign w:val="bottom"/>
          </w:tcPr>
          <w:p>
            <w:pPr>
              <w:ind w:left="90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0" w:lineRule="exact"/>
        <w:rPr>
          <w:sz w:val="24"/>
          <w:szCs w:val="24"/>
          <w:color w:val="auto"/>
        </w:rPr>
      </w:pPr>
    </w:p>
    <w:p>
      <w:pPr>
        <w:sectPr>
          <w:pgSz w:w="11900" w:h="16838" w:orient="portrait"/>
          <w:cols w:equalWidth="0" w:num="3">
            <w:col w:w="3340" w:space="720"/>
            <w:col w:w="3257" w:space="720"/>
            <w:col w:w="3483"/>
          </w:cols>
          <w:pgMar w:left="240" w:top="223"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10036</w:t>
            </w:r>
          </w:p>
        </w:tc>
      </w:tr>
      <w:tr>
        <w:trPr>
          <w:trHeight w:val="153"/>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4"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9"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3"/>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0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jc w:val="right"/>
              <w:ind w:right="113"/>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02/21/2020</w:t>
            </w:r>
          </w:p>
        </w:tc>
        <w:tc>
          <w:tcPr>
            <w:tcW w:w="7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6"/>
              </w:rPr>
              <w:t>249,102</w:t>
            </w:r>
            <w:r>
              <w:rPr>
                <w:rFonts w:ascii="Arial" w:cs="Arial" w:eastAsia="Arial" w:hAnsi="Arial"/>
                <w:sz w:val="21"/>
                <w:szCs w:val="21"/>
                <w:color w:val="008000"/>
                <w:w w:val="86"/>
                <w:vertAlign w:val="superscript"/>
              </w:rPr>
              <w:t>(1)</w:t>
            </w:r>
          </w:p>
        </w:tc>
        <w:tc>
          <w:tcPr>
            <w:tcW w:w="50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434,283</w:t>
            </w:r>
            <w:r>
              <w:rPr>
                <w:rFonts w:ascii="Arial" w:cs="Arial" w:eastAsia="Arial" w:hAnsi="Arial"/>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40" w:type="dxa"/>
            <w:vAlign w:val="bottom"/>
            <w:gridSpan w:val="11"/>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 (A) 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w w:val="96"/>
              </w:rPr>
              <w:t>Disposed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 (Instr. 3,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color w:val="0000FF"/>
              </w:rPr>
              <w:t>Class A</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vMerge w:val="restart"/>
          </w:tcPr>
          <w:p>
            <w:pPr>
              <w:ind w:left="100"/>
              <w:spacing w:after="0" w:line="210" w:lineRule="exact"/>
              <w:rPr>
                <w:sz w:val="20"/>
                <w:szCs w:val="20"/>
                <w:color w:val="auto"/>
              </w:rPr>
            </w:pPr>
            <w:r>
              <w:rPr>
                <w:rFonts w:ascii="Arial" w:cs="Arial" w:eastAsia="Arial" w:hAnsi="Arial"/>
                <w:sz w:val="13"/>
                <w:szCs w:val="13"/>
                <w:color w:val="0000FF"/>
              </w:rPr>
              <w:t>452,898</w:t>
            </w:r>
            <w:r>
              <w:rPr>
                <w:rFonts w:ascii="Arial" w:cs="Arial" w:eastAsia="Arial" w:hAnsi="Arial"/>
                <w:sz w:val="21"/>
                <w:szCs w:val="21"/>
                <w:color w:val="008000"/>
                <w:vertAlign w:val="superscript"/>
              </w:rPr>
              <w:t>(3)</w:t>
            </w:r>
          </w:p>
        </w:tc>
        <w:tc>
          <w:tcPr>
            <w:tcW w:w="280" w:type="dxa"/>
            <w:vAlign w:val="bottom"/>
          </w:tcPr>
          <w:p>
            <w:pPr>
              <w:spacing w:after="0"/>
              <w:rPr>
                <w:sz w:val="5"/>
                <w:szCs w:val="5"/>
                <w:color w:val="auto"/>
              </w:rPr>
            </w:pPr>
          </w:p>
        </w:tc>
        <w:tc>
          <w:tcPr>
            <w:tcW w:w="80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(4)</w:t>
            </w:r>
          </w:p>
        </w:tc>
        <w:tc>
          <w:tcPr>
            <w:tcW w:w="7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60" w:type="dxa"/>
            <w:vAlign w:val="bottom"/>
            <w:vMerge w:val="restart"/>
          </w:tcPr>
          <w:p>
            <w:pPr>
              <w:ind w:left="40"/>
              <w:spacing w:after="0"/>
              <w:rPr>
                <w:sz w:val="20"/>
                <w:szCs w:val="20"/>
                <w:color w:val="auto"/>
              </w:rPr>
            </w:pPr>
            <w:r>
              <w:rPr>
                <w:rFonts w:ascii="Arial" w:cs="Arial" w:eastAsia="Arial" w:hAnsi="Arial"/>
                <w:sz w:val="17"/>
                <w:szCs w:val="17"/>
                <w:color w:val="0000FF"/>
                <w:w w:val="97"/>
              </w:rPr>
              <w:t>452,898</w:t>
            </w: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restart"/>
          </w:tcPr>
          <w:p>
            <w:pPr>
              <w:ind w:left="120"/>
              <w:spacing w:after="0" w:line="210" w:lineRule="exact"/>
              <w:rPr>
                <w:sz w:val="20"/>
                <w:szCs w:val="20"/>
                <w:color w:val="auto"/>
              </w:rPr>
            </w:pPr>
            <w:r>
              <w:rPr>
                <w:rFonts w:ascii="Arial" w:cs="Arial" w:eastAsia="Arial" w:hAnsi="Arial"/>
                <w:sz w:val="13"/>
                <w:szCs w:val="13"/>
                <w:color w:val="0000FF"/>
              </w:rPr>
              <w:t>2,449,890</w:t>
            </w:r>
            <w:r>
              <w:rPr>
                <w:rFonts w:ascii="Arial" w:cs="Arial" w:eastAsia="Arial" w:hAnsi="Arial"/>
                <w:sz w:val="21"/>
                <w:szCs w:val="21"/>
                <w:color w:val="008000"/>
                <w:vertAlign w:val="superscript"/>
              </w:rPr>
              <w:t>(5)</w:t>
            </w: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00" w:type="dxa"/>
            <w:vAlign w:val="bottom"/>
            <w:vMerge w:val="restart"/>
          </w:tcPr>
          <w:p>
            <w:pPr>
              <w:jc w:val="right"/>
              <w:ind w:right="199"/>
              <w:spacing w:after="0" w:line="144" w:lineRule="exact"/>
              <w:rPr>
                <w:sz w:val="20"/>
                <w:szCs w:val="20"/>
                <w:color w:val="auto"/>
              </w:rPr>
            </w:pPr>
            <w:r>
              <w:rPr>
                <w:rFonts w:ascii="Arial" w:cs="Arial" w:eastAsia="Arial" w:hAnsi="Arial"/>
                <w:sz w:val="13"/>
                <w:szCs w:val="13"/>
                <w:color w:val="0000FF"/>
              </w:rPr>
              <w:t>02/21/2020</w:t>
            </w: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restart"/>
          </w:tcPr>
          <w:p>
            <w:pPr>
              <w:ind w:left="120"/>
              <w:spacing w:after="0" w:line="144" w:lineRule="exact"/>
              <w:rPr>
                <w:sz w:val="20"/>
                <w:szCs w:val="20"/>
                <w:color w:val="auto"/>
              </w:rPr>
            </w:pPr>
            <w:r>
              <w:rPr>
                <w:rFonts w:ascii="Arial" w:cs="Arial" w:eastAsia="Arial" w:hAnsi="Arial"/>
                <w:sz w:val="13"/>
                <w:szCs w:val="13"/>
                <w:color w:val="0000FF"/>
              </w:rPr>
              <w:t>A</w:t>
            </w:r>
          </w:p>
        </w:tc>
        <w:tc>
          <w:tcPr>
            <w:tcW w:w="7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restart"/>
          </w:tcPr>
          <w:p>
            <w:pPr>
              <w:ind w:left="40"/>
              <w:spacing w:after="0" w:line="144" w:lineRule="exact"/>
              <w:rPr>
                <w:sz w:val="20"/>
                <w:szCs w:val="20"/>
                <w:color w:val="auto"/>
              </w:rPr>
            </w:pPr>
            <w:r>
              <w:rPr>
                <w:rFonts w:ascii="Arial" w:cs="Arial" w:eastAsia="Arial" w:hAnsi="Arial"/>
                <w:sz w:val="13"/>
                <w:szCs w:val="13"/>
                <w:color w:val="0000FF"/>
                <w:w w:val="98"/>
              </w:rPr>
              <w:t>10/26/2028</w:t>
            </w:r>
          </w:p>
        </w:tc>
        <w:tc>
          <w:tcPr>
            <w:tcW w:w="6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6"/>
                <w:szCs w:val="6"/>
                <w:color w:val="auto"/>
              </w:rPr>
            </w:pPr>
          </w:p>
        </w:tc>
        <w:tc>
          <w:tcPr>
            <w:tcW w:w="740" w:type="dxa"/>
            <w:vAlign w:val="bottom"/>
            <w:gridSpan w:val="2"/>
            <w:vMerge w:val="restart"/>
          </w:tcPr>
          <w:p>
            <w:pPr>
              <w:ind w:left="3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6"/>
                <w:szCs w:val="6"/>
                <w:color w:val="auto"/>
              </w:rPr>
            </w:pPr>
          </w:p>
        </w:tc>
        <w:tc>
          <w:tcPr>
            <w:tcW w:w="66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restart"/>
          </w:tcPr>
          <w:p>
            <w:pPr>
              <w:jc w:val="right"/>
              <w:ind w:right="113"/>
              <w:spacing w:after="0"/>
              <w:rPr>
                <w:sz w:val="20"/>
                <w:szCs w:val="20"/>
                <w:color w:val="auto"/>
              </w:rPr>
            </w:pPr>
            <w:r>
              <w:rPr>
                <w:rFonts w:ascii="Arial" w:cs="Arial" w:eastAsia="Arial" w:hAnsi="Arial"/>
                <w:sz w:val="13"/>
                <w:szCs w:val="13"/>
                <w:color w:val="0000FF"/>
                <w:w w:val="98"/>
              </w:rPr>
              <w:t>stock</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200" w:firstLine="4"/>
        <w:spacing w:after="0" w:line="274"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February 13, 2019, subject to the achievement of certain performance goals in respect of calendar year 2019. Those performance goals were deemed achieved at the maximum performance level on February 21, 2020. These RSUs remain unvested and are scheduled to vest on January 1, 2022, subject to the reporting person's continued employment through such date.</w:t>
      </w:r>
    </w:p>
    <w:p>
      <w:pPr>
        <w:spacing w:after="0" w:line="12" w:lineRule="exact"/>
        <w:rPr>
          <w:rFonts w:ascii="Arial" w:cs="Arial" w:eastAsia="Arial" w:hAnsi="Arial"/>
          <w:sz w:val="12"/>
          <w:szCs w:val="12"/>
          <w:color w:val="008000"/>
        </w:rPr>
      </w:pPr>
    </w:p>
    <w:p>
      <w:pPr>
        <w:ind w:left="40" w:right="300" w:firstLine="4"/>
        <w:spacing w:after="0" w:line="296"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173,181 unvested RSUs in respect of Class A Common Stock which are scheduled to vest on January 1, 2021, subject to the reporting person's continued employment through such date, and (ii) 249,102 unvested RSUs in respect of Class A Common Stock which are scheduled to vest on January 1, 2022, subject to the reporting person's continued employment through such date.</w:t>
      </w:r>
    </w:p>
    <w:p>
      <w:pPr>
        <w:ind w:left="40" w:right="28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2019 which were deemed achieved on February 21, 2020.</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47" w:lineRule="exact"/>
        <w:rPr>
          <w:rFonts w:ascii="Arial" w:cs="Arial" w:eastAsia="Arial" w:hAnsi="Arial"/>
          <w:sz w:val="13"/>
          <w:szCs w:val="13"/>
          <w:color w:val="008000"/>
        </w:rPr>
      </w:pPr>
    </w:p>
    <w:p>
      <w:pPr>
        <w:ind w:left="40" w:right="32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reflects the options reported on this Form 4 in addition to 1,996,992 options that were granted on October 26, 2018 and previously reported by the reporting person, all of which are currently vested and exercisable.</w:t>
      </w:r>
    </w:p>
    <w:p>
      <w:pPr>
        <w:spacing w:after="0" w:line="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02/25/2020</w:t>
            </w:r>
          </w:p>
        </w:tc>
        <w:tc>
          <w:tcPr>
            <w:tcW w:w="0" w:type="dxa"/>
            <w:vAlign w:val="bottom"/>
          </w:tcPr>
          <w:p>
            <w:pPr>
              <w:spacing w:after="0"/>
              <w:rPr>
                <w:sz w:val="1"/>
                <w:szCs w:val="1"/>
                <w:color w:val="auto"/>
              </w:rPr>
            </w:pPr>
          </w:p>
        </w:tc>
      </w:tr>
      <w:tr>
        <w:trPr>
          <w:trHeight w:val="90"/>
        </w:trPr>
        <w:tc>
          <w:tcPr>
            <w:tcW w:w="2020" w:type="dxa"/>
            <w:vAlign w:val="bottom"/>
            <w:tcBorders>
              <w:top w:val="single" w:sz="8" w:color="auto"/>
              <w:bottom w:val="single" w:sz="8" w:color="auto"/>
            </w:tcBorders>
            <w:gridSpan w:val="2"/>
            <w:vMerge w:val="restart"/>
          </w:tcPr>
          <w:p>
            <w:pPr>
              <w:spacing w:after="0" w:line="190" w:lineRule="exact"/>
              <w:rPr>
                <w:sz w:val="20"/>
                <w:szCs w:val="20"/>
                <w:color w:val="auto"/>
              </w:rPr>
            </w:pPr>
            <w:r>
              <w:rPr>
                <w:rFonts w:ascii="Arial" w:cs="Arial" w:eastAsia="Arial" w:hAnsi="Arial"/>
                <w:sz w:val="17"/>
                <w:szCs w:val="17"/>
                <w:color w:val="0000FF"/>
              </w:rPr>
              <w:t>Fact for William Hult</w:t>
            </w: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00" w:firstLine="4"/>
        <w:spacing w:after="0" w:line="314"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2020-02-25T17:47:50Z</dcterms:created>
  <dcterms:modified xsi:type="dcterms:W3CDTF">2020-02-25T17:47:50Z</dcterms:modified>
</cp:coreProperties>
</file>