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2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212"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1"/>
              <w:spacing w:after="0"/>
              <w:rPr>
                <w:sz w:val="20"/>
                <w:szCs w:val="20"/>
                <w:color w:val="auto"/>
              </w:rPr>
            </w:pPr>
            <w:r>
              <w:rPr>
                <w:rFonts w:ascii="Times New Roman" w:cs="Times New Roman" w:eastAsia="Times New Roman" w:hAnsi="Times New Roman"/>
                <w:sz w:val="13"/>
                <w:szCs w:val="13"/>
                <w:color w:val="0000FF"/>
              </w:rPr>
              <w:t>F</w:t>
            </w:r>
          </w:p>
        </w:tc>
        <w:tc>
          <w:tcPr>
            <w:tcW w:w="840" w:type="dxa"/>
            <w:vAlign w:val="bottom"/>
            <w:tcBorders>
              <w:bottom w:val="single" w:sz="8" w:color="2C2C2C"/>
            </w:tcBorders>
          </w:tcPr>
          <w:p>
            <w:pPr>
              <w:jc w:val="center"/>
              <w:ind w:right="3"/>
              <w:spacing w:after="0"/>
              <w:rPr>
                <w:sz w:val="20"/>
                <w:szCs w:val="20"/>
                <w:color w:val="auto"/>
              </w:rPr>
            </w:pPr>
            <w:r>
              <w:rPr>
                <w:rFonts w:ascii="Times New Roman" w:cs="Times New Roman" w:eastAsia="Times New Roman" w:hAnsi="Times New Roman"/>
                <w:sz w:val="17"/>
                <w:szCs w:val="17"/>
                <w:color w:val="0000FF"/>
                <w:w w:val="93"/>
              </w:rPr>
              <w:t>9,681</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60.79</w:t>
            </w:r>
          </w:p>
        </w:tc>
        <w:tc>
          <w:tcPr>
            <w:tcW w:w="118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55,434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1"/>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435</w:t>
            </w:r>
            <w:r>
              <w:rPr>
                <w:rFonts w:ascii="Times New Roman" w:cs="Times New Roman" w:eastAsia="Times New Roman" w:hAnsi="Times New Roman"/>
                <w:sz w:val="22"/>
                <w:szCs w:val="22"/>
                <w:color w:val="008000"/>
                <w:w w:val="89"/>
                <w:vertAlign w:val="superscript"/>
              </w:rPr>
              <w:t>(3)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55,869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60.9363</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54,569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61.838</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51,669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2,873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62.9144</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48,796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5,856</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64.0318</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42,940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2,453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64.4896</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rPr>
              <w:t>40,487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-4198620</wp:posOffset>
            </wp:positionV>
            <wp:extent cx="7031355" cy="4239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3926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22,004 unvested RSUs in respect of Class A Common Stock which are scheduled to vest on January 1, 2022 and (ii)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17, 2020.</w:t>
      </w:r>
    </w:p>
    <w:p>
      <w:pPr>
        <w:spacing w:after="0" w:line="50" w:lineRule="exact"/>
        <w:rPr>
          <w:rFonts w:ascii="Times New Roman" w:cs="Times New Roman" w:eastAsia="Times New Roman" w:hAnsi="Times New Roman"/>
          <w:sz w:val="13"/>
          <w:szCs w:val="13"/>
          <w:color w:val="008000"/>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$60.38 to $61.29,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8 and 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$61.41 to $62.26,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$62.41 to $63.38,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$63.41 to $64.32,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$64.42 to $64.50, inclusive.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02/02/2021</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Robert Warshaw</w:t>
            </w:r>
          </w:p>
        </w:tc>
        <w:tc>
          <w:tcPr>
            <w:tcW w:w="3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2021-02-02T18:19:32Z</dcterms:created>
  <dcterms:modified xsi:type="dcterms:W3CDTF">2021-02-02T18:19:32Z</dcterms:modified>
</cp:coreProperties>
</file>