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404495</wp:posOffset>
            </wp:positionH>
            <wp:positionV relativeFrom="page">
              <wp:posOffset>163195</wp:posOffset>
            </wp:positionV>
            <wp:extent cx="674814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404495</wp:posOffset>
            </wp:positionH>
            <wp:positionV relativeFrom="page">
              <wp:posOffset>204470</wp:posOffset>
            </wp:positionV>
            <wp:extent cx="67481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7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ind w:left="42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2667000</wp:posOffset>
            </wp:positionH>
            <wp:positionV relativeFrom="paragraph">
              <wp:posOffset>212725</wp:posOffset>
            </wp:positionV>
            <wp:extent cx="141414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jc w:val="center"/>
        <w:ind w:right="-7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SCHEDULE 14A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79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790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)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ind w:left="10"/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2667000</wp:posOffset>
            </wp:positionH>
            <wp:positionV relativeFrom="paragraph">
              <wp:posOffset>-120015</wp:posOffset>
            </wp:positionV>
            <wp:extent cx="141414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10"/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410" w:hanging="410"/>
        <w:spacing w:after="0"/>
        <w:tabs>
          <w:tab w:leader="none" w:pos="41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12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10" w:hanging="410"/>
        <w:spacing w:after="0"/>
        <w:tabs>
          <w:tab w:leader="none" w:pos="41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6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10" w:hanging="410"/>
        <w:spacing w:after="0"/>
        <w:tabs>
          <w:tab w:leader="none" w:pos="41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Proxy Statement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410" w:hanging="410"/>
        <w:spacing w:after="0"/>
        <w:tabs>
          <w:tab w:leader="none" w:pos="41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Additional Materials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410" w:hanging="410"/>
        <w:spacing w:after="0"/>
        <w:tabs>
          <w:tab w:leader="none" w:pos="41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Soliciting Material under §240.14a-12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7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Tradeweb Markets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7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Payment of Filing Fee (Check all boxes that apply):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410" w:hanging="410"/>
        <w:spacing w:after="0"/>
        <w:tabs>
          <w:tab w:leader="none" w:pos="41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No fee required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410" w:hanging="410"/>
        <w:spacing w:after="0"/>
        <w:tabs>
          <w:tab w:leader="none" w:pos="41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</w:t>
      </w:r>
    </w:p>
    <w:p>
      <w:pPr>
        <w:spacing w:after="0" w:line="24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10" w:hanging="410"/>
        <w:spacing w:after="0"/>
        <w:tabs>
          <w:tab w:leader="none" w:pos="41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173355</wp:posOffset>
            </wp:positionV>
            <wp:extent cx="67481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214630</wp:posOffset>
            </wp:positionV>
            <wp:extent cx="6748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829"/>
          </w:cols>
          <w:pgMar w:left="630" w:top="502" w:right="1440" w:bottom="1440" w:gutter="0" w:footer="0" w:header="0"/>
        </w:sectPr>
      </w:pPr>
    </w:p>
    <w:bookmarkStart w:id="1" w:name="page2"/>
    <w:bookmarkEnd w:id="1"/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5"/>
          <w:szCs w:val="45"/>
          <w:color w:val="154E6F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193040</wp:posOffset>
            </wp:positionH>
            <wp:positionV relativeFrom="page">
              <wp:posOffset>88900</wp:posOffset>
            </wp:positionV>
            <wp:extent cx="7179310" cy="374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9310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5201285</wp:posOffset>
            </wp:positionH>
            <wp:positionV relativeFrom="page">
              <wp:posOffset>179705</wp:posOffset>
            </wp:positionV>
            <wp:extent cx="1951990" cy="18275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82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Arial" w:cs="Arial" w:eastAsia="Arial" w:hAnsi="Arial"/>
          <w:sz w:val="45"/>
          <w:szCs w:val="45"/>
          <w:b w:val="1"/>
          <w:bCs w:val="1"/>
          <w:color w:val="154E6F"/>
        </w:rPr>
        <w:t>Vote</w:t>
      </w:r>
      <w:r>
        <w:rPr>
          <w:rFonts w:ascii="Arial" w:cs="Arial" w:eastAsia="Arial" w:hAnsi="Arial"/>
          <w:sz w:val="45"/>
          <w:szCs w:val="45"/>
          <w:color w:val="154E6F"/>
        </w:rPr>
        <w:t xml:space="preserve"> Counts!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5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154E6F"/>
        </w:rPr>
        <w:t>TRADEWEB MARKETS INC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154E6F"/>
        </w:rPr>
        <w:t>2022 Annual Meeting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154E6F"/>
        </w:rPr>
        <w:t>Vote by May 09, 2022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154E6F"/>
        </w:rPr>
        <w:t>11:59 PM ET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154E6F"/>
        </w:rPr>
        <w:t>TRADEWEB MARKETS INC.</w:t>
      </w:r>
    </w:p>
    <w:p>
      <w:pPr>
        <w:ind w:left="340"/>
        <w:spacing w:after="0" w:line="2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154E6F"/>
        </w:rPr>
        <w:t>1177 6TH AVENUE</w:t>
      </w: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154E6F"/>
        </w:rPr>
        <w:t>NEW YORK, NY 10036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4667885</wp:posOffset>
            </wp:positionH>
            <wp:positionV relativeFrom="paragraph">
              <wp:posOffset>92075</wp:posOffset>
            </wp:positionV>
            <wp:extent cx="1951990" cy="15379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53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-128270</wp:posOffset>
            </wp:positionH>
            <wp:positionV relativeFrom="paragraph">
              <wp:posOffset>1506220</wp:posOffset>
            </wp:positionV>
            <wp:extent cx="1240790" cy="1155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154E6F"/>
        </w:rPr>
        <w:t>You invested in TRADEWEB MARKETS INC and it’s time to vote!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right="20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154E6F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7"/>
          <w:szCs w:val="17"/>
          <w:b w:val="1"/>
          <w:bCs w:val="1"/>
          <w:color w:val="154E6F"/>
        </w:rPr>
        <w:t>This is an important notice regarding the availability of proxy</w:t>
      </w:r>
      <w:r>
        <w:rPr>
          <w:rFonts w:ascii="Arial" w:cs="Arial" w:eastAsia="Arial" w:hAnsi="Arial"/>
          <w:sz w:val="17"/>
          <w:szCs w:val="17"/>
          <w:color w:val="154E6F"/>
        </w:rPr>
        <w:t xml:space="preserve"> </w:t>
      </w:r>
      <w:r>
        <w:rPr>
          <w:rFonts w:ascii="Arial" w:cs="Arial" w:eastAsia="Arial" w:hAnsi="Arial"/>
          <w:sz w:val="17"/>
          <w:szCs w:val="17"/>
          <w:b w:val="1"/>
          <w:bCs w:val="1"/>
          <w:color w:val="154E6F"/>
        </w:rPr>
        <w:t>material for the stockholder meeting to be held on May 10, 2022.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154E6F"/>
        </w:rPr>
        <w:t>Get informed before you vote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154E6F"/>
        </w:rPr>
        <w:t>View the Annual Report, Notice &amp; Proxy Statement online OR you can receive a free paper or email copy of the material(s) by requesting prior to April 26, 2022. If you would like to request a copy of the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-128270</wp:posOffset>
            </wp:positionH>
            <wp:positionV relativeFrom="paragraph">
              <wp:posOffset>55245</wp:posOffset>
            </wp:positionV>
            <wp:extent cx="6999605" cy="24892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248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154E6F"/>
        </w:rPr>
        <w:t>*Please check the meeting materials for any special requirements for meeting attendance.</w:t>
      </w:r>
    </w:p>
    <w:p>
      <w:pPr>
        <w:sectPr>
          <w:pgSz w:w="11900" w:h="16838" w:orient="portrait"/>
          <w:cols w:equalWidth="0" w:num="1">
            <w:col w:w="10160"/>
          </w:cols>
          <w:pgMar w:left="840" w:top="740" w:right="899" w:bottom="1440" w:gutter="0" w:footer="0" w:header="0"/>
        </w:sectPr>
      </w:pPr>
    </w:p>
    <w:bookmarkStart w:id="2" w:name="page3"/>
    <w:bookmarkEnd w:id="2"/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0077A9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193040</wp:posOffset>
            </wp:positionH>
            <wp:positionV relativeFrom="page">
              <wp:posOffset>88900</wp:posOffset>
            </wp:positionV>
            <wp:extent cx="7179310" cy="374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9310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147320</wp:posOffset>
            </wp:positionV>
            <wp:extent cx="6748145" cy="412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145" cy="4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154E6F"/>
        </w:rPr>
        <w:t>THIS IS NOT A VOTABLE BALLOT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154E6F"/>
        </w:rPr>
        <w:t>This is an overview of the proposals being presented at the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154E6F"/>
        </w:rPr>
        <w:t>upcoming stockholder meeting. Please follow the instructions on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154E6F"/>
        </w:rPr>
        <w:t>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154E6F"/>
                <w:w w:val="93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154E6F"/>
              </w:rPr>
              <w:t>Voting Items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154E6F"/>
                <w:w w:val="89"/>
              </w:rPr>
              <w:t>Recommends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0" w:type="dxa"/>
            <w:vAlign w:val="bottom"/>
            <w:shd w:val="clear" w:color="auto" w:fill="F2EFF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154E6F"/>
              </w:rPr>
              <w:t>1.</w:t>
            </w:r>
          </w:p>
        </w:tc>
        <w:tc>
          <w:tcPr>
            <w:tcW w:w="2520" w:type="dxa"/>
            <w:vAlign w:val="bottom"/>
            <w:shd w:val="clear" w:color="auto" w:fill="F2EFF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154E6F"/>
              </w:rPr>
              <w:t>Election of Directors</w:t>
            </w:r>
          </w:p>
        </w:tc>
        <w:tc>
          <w:tcPr>
            <w:tcW w:w="3280" w:type="dxa"/>
            <w:vAlign w:val="bottom"/>
            <w:shd w:val="clear" w:color="auto" w:fill="F2EFF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right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2EFF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2EFF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0" w:type="dxa"/>
            <w:vAlign w:val="bottom"/>
            <w:shd w:val="clear" w:color="auto" w:fill="F2EFF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shd w:val="clear" w:color="auto" w:fill="F2EFF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154E6F"/>
              </w:rPr>
              <w:t>Nominees:</w:t>
            </w:r>
          </w:p>
        </w:tc>
        <w:tc>
          <w:tcPr>
            <w:tcW w:w="3280" w:type="dxa"/>
            <w:vAlign w:val="bottom"/>
            <w:shd w:val="clear" w:color="auto" w:fill="F2EFF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right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2EFF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2EFF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154E6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0" w:type="dxa"/>
            <w:vAlign w:val="bottom"/>
            <w:shd w:val="clear" w:color="auto" w:fill="F2EFF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shd w:val="clear" w:color="auto" w:fill="F2EFF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154E6F"/>
              </w:rPr>
              <w:t>01)   Steven Berns</w:t>
            </w:r>
          </w:p>
        </w:tc>
        <w:tc>
          <w:tcPr>
            <w:tcW w:w="3280" w:type="dxa"/>
            <w:vAlign w:val="bottom"/>
            <w:shd w:val="clear" w:color="auto" w:fill="F2EFF6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154E6F"/>
              </w:rPr>
              <w:t>02)   William Hult</w:t>
            </w:r>
          </w:p>
        </w:tc>
        <w:tc>
          <w:tcPr>
            <w:tcW w:w="3360" w:type="dxa"/>
            <w:vAlign w:val="bottom"/>
            <w:tcBorders>
              <w:right w:val="single" w:sz="8" w:color="165A8E"/>
            </w:tcBorders>
            <w:shd w:val="clear" w:color="auto" w:fill="F2EFF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154E6F"/>
              </w:rPr>
              <w:t>03)   Lee Olesky</w:t>
            </w:r>
          </w:p>
        </w:tc>
        <w:tc>
          <w:tcPr>
            <w:tcW w:w="80" w:type="dxa"/>
            <w:vAlign w:val="bottom"/>
            <w:shd w:val="clear" w:color="auto" w:fill="F2EFF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2EFF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0" w:type="dxa"/>
            <w:vAlign w:val="bottom"/>
            <w:tcBorders>
              <w:bottom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160" w:type="dxa"/>
            <w:vAlign w:val="bottom"/>
            <w:tcBorders>
              <w:bottom w:val="single" w:sz="8" w:color="165A8E"/>
              <w:right w:val="single" w:sz="8" w:color="165A8E"/>
            </w:tcBorders>
            <w:gridSpan w:val="3"/>
            <w:shd w:val="clear" w:color="auto" w:fill="F2EFF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00" w:type="dxa"/>
            <w:vAlign w:val="bottom"/>
            <w:shd w:val="clear" w:color="auto" w:fill="F2EFF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154E6F"/>
              </w:rPr>
              <w:t>2.</w:t>
            </w:r>
          </w:p>
        </w:tc>
        <w:tc>
          <w:tcPr>
            <w:tcW w:w="9160" w:type="dxa"/>
            <w:vAlign w:val="bottom"/>
            <w:tcBorders>
              <w:right w:val="single" w:sz="8" w:color="165A8E"/>
            </w:tcBorders>
            <w:gridSpan w:val="3"/>
            <w:shd w:val="clear" w:color="auto" w:fill="F2EFF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154E6F"/>
                <w:w w:val="94"/>
              </w:rPr>
              <w:t>Ratification of the appointment of Deloitte &amp; Touche LLP as our independent registered public accounting firm for the fiscal year</w:t>
            </w:r>
          </w:p>
        </w:tc>
        <w:tc>
          <w:tcPr>
            <w:tcW w:w="80" w:type="dxa"/>
            <w:vAlign w:val="bottom"/>
            <w:shd w:val="clear" w:color="auto" w:fill="F2EFF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  <w:shd w:val="clear" w:color="auto" w:fill="F2EFF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154E6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0" w:type="dxa"/>
            <w:vAlign w:val="bottom"/>
            <w:shd w:val="clear" w:color="auto" w:fill="F2EFF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  <w:shd w:val="clear" w:color="auto" w:fill="F2EFF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154E6F"/>
              </w:rPr>
              <w:t>ending December 31, 2022.</w:t>
            </w:r>
          </w:p>
        </w:tc>
        <w:tc>
          <w:tcPr>
            <w:tcW w:w="3280" w:type="dxa"/>
            <w:vAlign w:val="bottom"/>
            <w:shd w:val="clear" w:color="auto" w:fill="F2EFF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right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2EFF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F2EFF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400" w:type="dxa"/>
            <w:vAlign w:val="bottom"/>
            <w:shd w:val="clear" w:color="auto" w:fill="F2EFF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  <w:shd w:val="clear" w:color="auto" w:fill="F2EFF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shd w:val="clear" w:color="auto" w:fill="F2EFF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right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2EFF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2EFF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0" w:type="dxa"/>
            <w:vAlign w:val="bottom"/>
            <w:tcBorders>
              <w:bottom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bottom w:val="single" w:sz="8" w:color="165A8E"/>
            </w:tcBorders>
            <w:gridSpan w:val="2"/>
            <w:shd w:val="clear" w:color="auto" w:fill="F2EFF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165A8E"/>
              <w:right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400" w:type="dxa"/>
            <w:vAlign w:val="bottom"/>
            <w:shd w:val="clear" w:color="auto" w:fill="F2EFF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154E6F"/>
              </w:rPr>
              <w:t>3.</w:t>
            </w:r>
          </w:p>
        </w:tc>
        <w:tc>
          <w:tcPr>
            <w:tcW w:w="5800" w:type="dxa"/>
            <w:vAlign w:val="bottom"/>
            <w:gridSpan w:val="2"/>
            <w:shd w:val="clear" w:color="auto" w:fill="F2EFF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154E6F"/>
                <w:w w:val="95"/>
              </w:rPr>
              <w:t>The stockholder proposal relating to the adoption of a policy on board diversity.</w:t>
            </w:r>
          </w:p>
        </w:tc>
        <w:tc>
          <w:tcPr>
            <w:tcW w:w="3360" w:type="dxa"/>
            <w:vAlign w:val="bottom"/>
            <w:tcBorders>
              <w:right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F2EFF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F2EFF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154E6F"/>
              </w:rPr>
              <w:t>Against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400" w:type="dxa"/>
            <w:vAlign w:val="bottom"/>
            <w:tcBorders>
              <w:bottom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160" w:type="dxa"/>
            <w:vAlign w:val="bottom"/>
            <w:tcBorders>
              <w:bottom w:val="single" w:sz="8" w:color="165A8E"/>
              <w:right w:val="single" w:sz="8" w:color="165A8E"/>
            </w:tcBorders>
            <w:gridSpan w:val="3"/>
            <w:shd w:val="clear" w:color="auto" w:fill="F2EFF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9560" w:type="dxa"/>
            <w:vAlign w:val="bottom"/>
            <w:tcBorders>
              <w:bottom w:val="single" w:sz="8" w:color="F2EFF6"/>
              <w:right w:val="single" w:sz="8" w:color="F2EFF6"/>
            </w:tcBorders>
            <w:gridSpan w:val="4"/>
            <w:shd w:val="clear" w:color="auto" w:fill="F2EFF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154E6F"/>
              </w:rPr>
              <w:t xml:space="preserve">NOTE: </w:t>
            </w:r>
            <w:r>
              <w:rPr>
                <w:rFonts w:ascii="Arial" w:cs="Arial" w:eastAsia="Arial" w:hAnsi="Arial"/>
                <w:sz w:val="17"/>
                <w:szCs w:val="17"/>
                <w:color w:val="154E6F"/>
              </w:rPr>
              <w:t>Such other business as may properly come before the meeting or any adjournment thereof.</w:t>
            </w:r>
          </w:p>
        </w:tc>
        <w:tc>
          <w:tcPr>
            <w:tcW w:w="80" w:type="dxa"/>
            <w:vAlign w:val="bottom"/>
            <w:tcBorders>
              <w:bottom w:val="single" w:sz="8" w:color="F2EFF6"/>
            </w:tcBorders>
            <w:shd w:val="clear" w:color="auto" w:fill="F2EFF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F2EFF6"/>
            </w:tcBorders>
            <w:shd w:val="clear" w:color="auto" w:fill="F2EFF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15"/>
        </w:trPr>
        <w:tc>
          <w:tcPr>
            <w:tcW w:w="400" w:type="dxa"/>
            <w:vAlign w:val="bottom"/>
            <w:tcBorders>
              <w:top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top w:val="single" w:sz="8" w:color="165A8E"/>
              <w:right w:val="single" w:sz="8" w:color="F2EFF6"/>
            </w:tcBorders>
            <w:shd w:val="clear" w:color="auto" w:fill="F2EFF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165A8E"/>
            </w:tcBorders>
            <w:shd w:val="clear" w:color="auto" w:fill="F2EFF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41275</wp:posOffset>
            </wp:positionV>
            <wp:extent cx="6748145" cy="1987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145" cy="198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6125845</wp:posOffset>
            </wp:positionH>
            <wp:positionV relativeFrom="paragraph">
              <wp:posOffset>-4853940</wp:posOffset>
            </wp:positionV>
            <wp:extent cx="132080" cy="1320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6125845</wp:posOffset>
            </wp:positionH>
            <wp:positionV relativeFrom="paragraph">
              <wp:posOffset>-4407535</wp:posOffset>
            </wp:positionV>
            <wp:extent cx="132080" cy="1320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6125845</wp:posOffset>
            </wp:positionH>
            <wp:positionV relativeFrom="paragraph">
              <wp:posOffset>-4101465</wp:posOffset>
            </wp:positionV>
            <wp:extent cx="132080" cy="1320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FFFFFF"/>
        </w:rPr>
        <w:t>Prefer to receive an email instead? While voting on www.ProxyVote.com, be sure to click “Sign up for E-delivery”.</w:t>
      </w:r>
    </w:p>
    <w:sectPr>
      <w:pgSz w:w="11900" w:h="16838" w:orient="portrait"/>
      <w:cols w:equalWidth="0" w:num="1">
        <w:col w:w="10620"/>
      </w:cols>
      <w:pgMar w:left="640" w:top="242" w:right="6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2022-03-29T05:38:42Z</dcterms:created>
  <dcterms:modified xsi:type="dcterms:W3CDTF">2022-03-29T05:38:42Z</dcterms:modified>
</cp:coreProperties>
</file>