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WARSHAW ROBERT J</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Tradeweb Markets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03/18/2021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65"/>
        <w:spacing w:after="0"/>
        <w:rPr>
          <w:sz w:val="20"/>
          <w:szCs w:val="20"/>
          <w:color w:val="auto"/>
        </w:rPr>
      </w:pPr>
      <w:r>
        <w:rPr>
          <w:rFonts w:ascii="Arial" w:cs="Arial" w:eastAsia="Arial" w:hAnsi="Arial"/>
          <w:sz w:val="17"/>
          <w:szCs w:val="17"/>
          <w:color w:val="0000FF"/>
        </w:rPr>
        <w:t>Chief Financial Officer</w:t>
      </w:r>
    </w:p>
    <w:p>
      <w:pPr>
        <w:spacing w:after="0" w:line="402"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80" w:type="dxa"/>
            <w:vAlign w:val="bottom"/>
            <w:gridSpan w:val="7"/>
          </w:tcPr>
          <w:p>
            <w:pPr>
              <w:ind w:left="100"/>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1"/>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20" w:type="dxa"/>
            <w:vAlign w:val="bottom"/>
            <w:gridSpan w:val="4"/>
          </w:tcPr>
          <w:p>
            <w:pPr>
              <w:ind w:left="440"/>
              <w:spacing w:after="0"/>
              <w:rPr>
                <w:sz w:val="20"/>
                <w:szCs w:val="20"/>
                <w:color w:val="auto"/>
              </w:rPr>
            </w:pPr>
            <w:r>
              <w:rPr>
                <w:rFonts w:ascii="Arial" w:cs="Arial" w:eastAsia="Arial" w:hAnsi="Arial"/>
                <w:sz w:val="13"/>
                <w:szCs w:val="13"/>
                <w:color w:val="auto"/>
              </w:rPr>
              <w:t>Line)</w:t>
            </w: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9"/>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NEW YORK</w:t>
            </w: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NY</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10036</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920" w:type="dxa"/>
            <w:vAlign w:val="bottom"/>
            <w:gridSpan w:val="8"/>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92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vMerge w:val="restart"/>
          </w:tcPr>
          <w:p>
            <w:pPr>
              <w:spacing w:after="0"/>
              <w:rPr>
                <w:sz w:val="5"/>
                <w:szCs w:val="5"/>
                <w:color w:val="auto"/>
              </w:rPr>
            </w:pPr>
          </w:p>
        </w:tc>
        <w:tc>
          <w:tcPr>
            <w:tcW w:w="1180" w:type="dxa"/>
            <w:vAlign w:val="bottom"/>
            <w:gridSpan w:val="3"/>
            <w:vMerge w:val="restart"/>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6"/>
                <w:szCs w:val="6"/>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40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vMerge w:val="continue"/>
          </w:tcPr>
          <w:p>
            <w:pPr>
              <w:spacing w:after="0"/>
              <w:rPr>
                <w:sz w:val="6"/>
                <w:szCs w:val="6"/>
                <w:color w:val="auto"/>
              </w:rPr>
            </w:pPr>
          </w:p>
        </w:tc>
        <w:tc>
          <w:tcPr>
            <w:tcW w:w="1180" w:type="dxa"/>
            <w:vAlign w:val="bottom"/>
            <w:gridSpan w:val="3"/>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400" w:type="dxa"/>
            <w:vAlign w:val="bottom"/>
            <w:gridSpan w:val="3"/>
            <w:vMerge w:val="continue"/>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6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380" w:type="dxa"/>
            <w:vAlign w:val="bottom"/>
            <w:tcBorders>
              <w:bottom w:val="single" w:sz="8" w:color="2C2C2C"/>
            </w:tcBorders>
            <w:gridSpan w:val="3"/>
          </w:tcPr>
          <w:p>
            <w:pPr>
              <w:spacing w:after="0"/>
              <w:rPr>
                <w:sz w:val="11"/>
                <w:szCs w:val="11"/>
                <w:color w:val="auto"/>
              </w:rPr>
            </w:pPr>
          </w:p>
        </w:tc>
        <w:tc>
          <w:tcPr>
            <w:tcW w:w="2700" w:type="dxa"/>
            <w:vAlign w:val="bottom"/>
            <w:tcBorders>
              <w:bottom w:val="single" w:sz="8" w:color="2C2C2C"/>
            </w:tcBorders>
            <w:gridSpan w:val="6"/>
          </w:tcPr>
          <w:p>
            <w:pPr>
              <w:spacing w:after="0"/>
              <w:rPr>
                <w:sz w:val="11"/>
                <w:szCs w:val="11"/>
                <w:color w:val="auto"/>
              </w:rPr>
            </w:pPr>
          </w:p>
        </w:tc>
        <w:tc>
          <w:tcPr>
            <w:tcW w:w="300" w:type="dxa"/>
            <w:vAlign w:val="bottom"/>
            <w:tcBorders>
              <w:bottom w:val="single" w:sz="8" w:color="2C2C2C"/>
            </w:tcBorders>
            <w:gridSpan w:val="2"/>
          </w:tcPr>
          <w:p>
            <w:pPr>
              <w:spacing w:after="0"/>
              <w:rPr>
                <w:sz w:val="11"/>
                <w:szCs w:val="11"/>
                <w:color w:val="auto"/>
              </w:rPr>
            </w:pPr>
          </w:p>
        </w:tc>
        <w:tc>
          <w:tcPr>
            <w:tcW w:w="118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740" w:type="dxa"/>
            <w:vAlign w:val="bottom"/>
            <w:tcBorders>
              <w:top w:val="single" w:sz="8" w:color="2C2C2C"/>
            </w:tcBorders>
            <w:gridSpan w:val="17"/>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0" w:type="dxa"/>
            <w:vAlign w:val="bottom"/>
            <w:gridSpan w:val="3"/>
          </w:tcPr>
          <w:p>
            <w:pPr>
              <w:ind w:left="560"/>
              <w:spacing w:after="0"/>
              <w:rPr>
                <w:sz w:val="20"/>
                <w:szCs w:val="20"/>
                <w:color w:val="auto"/>
              </w:rPr>
            </w:pPr>
            <w:r>
              <w:rPr>
                <w:rFonts w:ascii="Arial" w:cs="Arial" w:eastAsia="Arial" w:hAnsi="Arial"/>
                <w:sz w:val="12"/>
                <w:szCs w:val="12"/>
                <w:b w:val="1"/>
                <w:bCs w:val="1"/>
                <w:color w:val="auto"/>
              </w:rPr>
              <w:t>2. Transaction</w:t>
            </w:r>
          </w:p>
        </w:tc>
        <w:tc>
          <w:tcPr>
            <w:tcW w:w="1400" w:type="dxa"/>
            <w:vAlign w:val="bottom"/>
            <w:gridSpan w:val="3"/>
          </w:tcPr>
          <w:p>
            <w:pPr>
              <w:ind w:left="280"/>
              <w:spacing w:after="0"/>
              <w:rPr>
                <w:sz w:val="20"/>
                <w:szCs w:val="20"/>
                <w:color w:val="auto"/>
              </w:rPr>
            </w:pPr>
            <w:r>
              <w:rPr>
                <w:rFonts w:ascii="Arial" w:cs="Arial" w:eastAsia="Arial" w:hAnsi="Arial"/>
                <w:sz w:val="12"/>
                <w:szCs w:val="12"/>
                <w:b w:val="1"/>
                <w:bCs w:val="1"/>
                <w:color w:val="auto"/>
              </w:rPr>
              <w:t>2A. Deemed</w:t>
            </w:r>
          </w:p>
        </w:tc>
        <w:tc>
          <w:tcPr>
            <w:tcW w:w="100" w:type="dxa"/>
            <w:vAlign w:val="bottom"/>
          </w:tcPr>
          <w:p>
            <w:pPr>
              <w:spacing w:after="0"/>
              <w:rPr>
                <w:sz w:val="20"/>
                <w:szCs w:val="20"/>
                <w:color w:val="auto"/>
              </w:rPr>
            </w:pPr>
            <w:r>
              <w:rPr>
                <w:rFonts w:ascii="Arial" w:cs="Arial" w:eastAsia="Arial" w:hAnsi="Arial"/>
                <w:sz w:val="12"/>
                <w:szCs w:val="12"/>
                <w:b w:val="1"/>
                <w:bCs w:val="1"/>
                <w:color w:val="auto"/>
                <w:w w:val="79"/>
              </w:rPr>
              <w:t>3.</w:t>
            </w:r>
          </w:p>
        </w:tc>
        <w:tc>
          <w:tcPr>
            <w:tcW w:w="640" w:type="dxa"/>
            <w:vAlign w:val="bottom"/>
          </w:tcPr>
          <w:p>
            <w:pPr>
              <w:spacing w:after="0"/>
              <w:rPr>
                <w:sz w:val="15"/>
                <w:szCs w:val="15"/>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0" w:type="dxa"/>
            <w:vAlign w:val="bottom"/>
            <w:gridSpan w:val="3"/>
          </w:tcPr>
          <w:p>
            <w:pPr>
              <w:ind w:left="560"/>
              <w:spacing w:after="0" w:line="131"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28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80" w:type="dxa"/>
            <w:vAlign w:val="bottom"/>
            <w:gridSpan w:val="4"/>
          </w:tcPr>
          <w:p>
            <w:pPr>
              <w:ind w:left="56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(Month/Day/Year)</w:t>
            </w:r>
          </w:p>
        </w:tc>
        <w:tc>
          <w:tcPr>
            <w:tcW w:w="100" w:type="dxa"/>
            <w:vAlign w:val="bottom"/>
          </w:tcPr>
          <w:p>
            <w:pPr>
              <w:spacing w:after="0" w:line="133" w:lineRule="exact"/>
              <w:rPr>
                <w:sz w:val="20"/>
                <w:szCs w:val="20"/>
                <w:color w:val="auto"/>
              </w:rPr>
            </w:pPr>
            <w:r>
              <w:rPr>
                <w:rFonts w:ascii="Arial" w:cs="Arial" w:eastAsia="Arial" w:hAnsi="Arial"/>
                <w:sz w:val="12"/>
                <w:szCs w:val="12"/>
                <w:b w:val="1"/>
                <w:bCs w:val="1"/>
                <w:color w:val="auto"/>
                <w:w w:val="74"/>
              </w:rPr>
              <w:t>8)</w:t>
            </w: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3"/>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1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2180" w:type="dxa"/>
            <w:vAlign w:val="bottom"/>
            <w:tcBorders>
              <w:bottom w:val="single" w:sz="8" w:color="2C2C2C"/>
            </w:tcBorders>
            <w:gridSpan w:val="4"/>
          </w:tcPr>
          <w:p>
            <w:pPr>
              <w:jc w:val="right"/>
              <w:ind w:right="679"/>
              <w:spacing w:after="0"/>
              <w:rPr>
                <w:sz w:val="20"/>
                <w:szCs w:val="20"/>
                <w:color w:val="auto"/>
              </w:rPr>
            </w:pPr>
            <w:r>
              <w:rPr>
                <w:rFonts w:ascii="Arial" w:cs="Arial" w:eastAsia="Arial" w:hAnsi="Arial"/>
                <w:sz w:val="17"/>
                <w:szCs w:val="17"/>
                <w:color w:val="0000FF"/>
              </w:rPr>
              <w:t>03/18/2021</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458"/>
              <w:spacing w:after="0"/>
              <w:rPr>
                <w:sz w:val="20"/>
                <w:szCs w:val="20"/>
                <w:color w:val="auto"/>
              </w:rPr>
            </w:pPr>
            <w:r>
              <w:rPr>
                <w:rFonts w:ascii="Arial" w:cs="Arial" w:eastAsia="Arial" w:hAnsi="Arial"/>
                <w:sz w:val="13"/>
                <w:szCs w:val="13"/>
                <w:color w:val="0000FF"/>
              </w:rPr>
              <w:t>F</w:t>
            </w:r>
          </w:p>
        </w:tc>
        <w:tc>
          <w:tcPr>
            <w:tcW w:w="840" w:type="dxa"/>
            <w:vAlign w:val="bottom"/>
            <w:tcBorders>
              <w:bottom w:val="single" w:sz="8" w:color="2C2C2C"/>
            </w:tcBorders>
          </w:tcPr>
          <w:p>
            <w:pPr>
              <w:jc w:val="center"/>
              <w:ind w:right="13"/>
              <w:spacing w:after="0"/>
              <w:rPr>
                <w:sz w:val="20"/>
                <w:szCs w:val="20"/>
                <w:color w:val="auto"/>
              </w:rPr>
            </w:pPr>
            <w:r>
              <w:rPr>
                <w:rFonts w:ascii="Arial" w:cs="Arial" w:eastAsia="Arial" w:hAnsi="Arial"/>
                <w:sz w:val="17"/>
                <w:szCs w:val="17"/>
                <w:color w:val="0000FF"/>
                <w:w w:val="85"/>
              </w:rPr>
              <w:t>1,712</w:t>
            </w:r>
            <w:r>
              <w:rPr>
                <w:rFonts w:ascii="Arial" w:cs="Arial" w:eastAsia="Arial" w:hAnsi="Arial"/>
                <w:sz w:val="22"/>
                <w:szCs w:val="22"/>
                <w:color w:val="008000"/>
                <w:w w:val="85"/>
                <w:vertAlign w:val="superscript"/>
              </w:rPr>
              <w:t>(1)</w:t>
            </w:r>
          </w:p>
        </w:tc>
        <w:tc>
          <w:tcPr>
            <w:tcW w:w="50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D</w:t>
            </w:r>
          </w:p>
        </w:tc>
        <w:tc>
          <w:tcPr>
            <w:tcW w:w="8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72.75</w:t>
            </w:r>
          </w:p>
        </w:tc>
        <w:tc>
          <w:tcPr>
            <w:tcW w:w="2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240"/>
              <w:spacing w:after="0"/>
              <w:rPr>
                <w:sz w:val="20"/>
                <w:szCs w:val="20"/>
                <w:color w:val="auto"/>
              </w:rPr>
            </w:pPr>
            <w:r>
              <w:rPr>
                <w:rFonts w:ascii="Arial" w:cs="Arial" w:eastAsia="Arial" w:hAnsi="Arial"/>
                <w:sz w:val="17"/>
                <w:szCs w:val="17"/>
                <w:color w:val="0000FF"/>
                <w:w w:val="85"/>
              </w:rPr>
              <w:t>65,606</w:t>
            </w:r>
            <w:r>
              <w:rPr>
                <w:rFonts w:ascii="Arial" w:cs="Arial" w:eastAsia="Arial" w:hAnsi="Arial"/>
                <w:sz w:val="22"/>
                <w:szCs w:val="22"/>
                <w:color w:val="008000"/>
                <w:w w:val="85"/>
                <w:vertAlign w:val="superscript"/>
              </w:rPr>
              <w:t>(2)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2180" w:type="dxa"/>
            <w:vAlign w:val="bottom"/>
            <w:tcBorders>
              <w:bottom w:val="single" w:sz="8" w:color="2C2C2C"/>
            </w:tcBorders>
            <w:gridSpan w:val="4"/>
          </w:tcPr>
          <w:p>
            <w:pPr>
              <w:jc w:val="right"/>
              <w:ind w:right="679"/>
              <w:spacing w:after="0"/>
              <w:rPr>
                <w:sz w:val="20"/>
                <w:szCs w:val="20"/>
                <w:color w:val="auto"/>
              </w:rPr>
            </w:pPr>
            <w:r>
              <w:rPr>
                <w:rFonts w:ascii="Arial" w:cs="Arial" w:eastAsia="Arial" w:hAnsi="Arial"/>
                <w:sz w:val="17"/>
                <w:szCs w:val="17"/>
                <w:color w:val="0000FF"/>
              </w:rPr>
              <w:t>03/18/2021</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478"/>
              <w:spacing w:after="0"/>
              <w:rPr>
                <w:sz w:val="20"/>
                <w:szCs w:val="20"/>
                <w:color w:val="auto"/>
              </w:rPr>
            </w:pPr>
            <w:r>
              <w:rPr>
                <w:rFonts w:ascii="Arial" w:cs="Arial" w:eastAsia="Arial" w:hAnsi="Arial"/>
                <w:sz w:val="13"/>
                <w:szCs w:val="13"/>
                <w:color w:val="0000FF"/>
              </w:rPr>
              <w:t>A</w:t>
            </w:r>
          </w:p>
        </w:tc>
        <w:tc>
          <w:tcPr>
            <w:tcW w:w="840" w:type="dxa"/>
            <w:vAlign w:val="bottom"/>
            <w:tcBorders>
              <w:bottom w:val="single" w:sz="8" w:color="2C2C2C"/>
            </w:tcBorders>
          </w:tcPr>
          <w:p>
            <w:pPr>
              <w:jc w:val="center"/>
              <w:spacing w:after="0" w:line="320" w:lineRule="exact"/>
              <w:rPr>
                <w:sz w:val="20"/>
                <w:szCs w:val="20"/>
                <w:color w:val="auto"/>
              </w:rPr>
            </w:pPr>
            <w:r>
              <w:rPr>
                <w:rFonts w:ascii="Arial" w:cs="Arial" w:eastAsia="Arial" w:hAnsi="Arial"/>
                <w:sz w:val="34"/>
                <w:szCs w:val="34"/>
                <w:color w:val="0000FF"/>
                <w:w w:val="84"/>
                <w:vertAlign w:val="subscript"/>
              </w:rPr>
              <w:t>7</w:t>
            </w:r>
            <w:r>
              <w:rPr>
                <w:rFonts w:ascii="Arial" w:cs="Arial" w:eastAsia="Arial" w:hAnsi="Arial"/>
                <w:sz w:val="11"/>
                <w:szCs w:val="11"/>
                <w:color w:val="008000"/>
                <w:w w:val="84"/>
              </w:rPr>
              <w:t>(3)</w:t>
            </w:r>
          </w:p>
        </w:tc>
        <w:tc>
          <w:tcPr>
            <w:tcW w:w="50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jc w:val="center"/>
              <w:ind w:left="152"/>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8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240"/>
              <w:spacing w:after="0"/>
              <w:rPr>
                <w:sz w:val="20"/>
                <w:szCs w:val="20"/>
                <w:color w:val="auto"/>
              </w:rPr>
            </w:pPr>
            <w:r>
              <w:rPr>
                <w:rFonts w:ascii="Arial" w:cs="Arial" w:eastAsia="Arial" w:hAnsi="Arial"/>
                <w:sz w:val="17"/>
                <w:szCs w:val="17"/>
                <w:color w:val="0000FF"/>
                <w:w w:val="85"/>
              </w:rPr>
              <w:t>65,613</w:t>
            </w:r>
            <w:r>
              <w:rPr>
                <w:rFonts w:ascii="Arial" w:cs="Arial" w:eastAsia="Arial" w:hAnsi="Arial"/>
                <w:sz w:val="22"/>
                <w:szCs w:val="22"/>
                <w:color w:val="008000"/>
                <w:w w:val="85"/>
                <w:vertAlign w:val="superscript"/>
              </w:rPr>
              <w:t>(2)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2180" w:type="dxa"/>
            <w:vAlign w:val="bottom"/>
            <w:tcBorders>
              <w:bottom w:val="single" w:sz="8" w:color="2C2C2C"/>
            </w:tcBorders>
            <w:gridSpan w:val="4"/>
          </w:tcPr>
          <w:p>
            <w:pPr>
              <w:jc w:val="right"/>
              <w:ind w:right="679"/>
              <w:spacing w:after="0"/>
              <w:rPr>
                <w:sz w:val="20"/>
                <w:szCs w:val="20"/>
                <w:color w:val="auto"/>
              </w:rPr>
            </w:pPr>
            <w:r>
              <w:rPr>
                <w:rFonts w:ascii="Arial" w:cs="Arial" w:eastAsia="Arial" w:hAnsi="Arial"/>
                <w:sz w:val="17"/>
                <w:szCs w:val="17"/>
                <w:color w:val="0000FF"/>
              </w:rPr>
              <w:t>03/19/2021</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jc w:val="center"/>
              <w:ind w:right="358"/>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(4)</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1,789</w:t>
            </w:r>
          </w:p>
        </w:tc>
        <w:tc>
          <w:tcPr>
            <w:tcW w:w="50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D</w:t>
            </w:r>
          </w:p>
        </w:tc>
        <w:tc>
          <w:tcPr>
            <w:tcW w:w="860" w:type="dxa"/>
            <w:vAlign w:val="bottom"/>
            <w:tcBorders>
              <w:bottom w:val="single" w:sz="8" w:color="2C2C2C"/>
            </w:tcBorders>
            <w:gridSpan w:val="3"/>
          </w:tcPr>
          <w:p>
            <w:pPr>
              <w:jc w:val="center"/>
              <w:ind w:right="15"/>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72.2557</w:t>
            </w:r>
            <w:r>
              <w:rPr>
                <w:rFonts w:ascii="Arial" w:cs="Arial" w:eastAsia="Arial" w:hAnsi="Arial"/>
                <w:sz w:val="22"/>
                <w:szCs w:val="22"/>
                <w:color w:val="008000"/>
                <w:w w:val="87"/>
                <w:vertAlign w:val="superscript"/>
              </w:rPr>
              <w:t>(5)</w:t>
            </w:r>
          </w:p>
        </w:tc>
        <w:tc>
          <w:tcPr>
            <w:tcW w:w="2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240"/>
              <w:spacing w:after="0"/>
              <w:rPr>
                <w:sz w:val="20"/>
                <w:szCs w:val="20"/>
                <w:color w:val="auto"/>
              </w:rPr>
            </w:pPr>
            <w:r>
              <w:rPr>
                <w:rFonts w:ascii="Arial" w:cs="Arial" w:eastAsia="Arial" w:hAnsi="Arial"/>
                <w:sz w:val="17"/>
                <w:szCs w:val="17"/>
                <w:color w:val="0000FF"/>
                <w:w w:val="85"/>
              </w:rPr>
              <w:t>63,824</w:t>
            </w:r>
            <w:r>
              <w:rPr>
                <w:rFonts w:ascii="Arial" w:cs="Arial" w:eastAsia="Arial" w:hAnsi="Arial"/>
                <w:sz w:val="22"/>
                <w:szCs w:val="22"/>
                <w:color w:val="008000"/>
                <w:w w:val="85"/>
                <w:vertAlign w:val="superscript"/>
              </w:rPr>
              <w:t>(2)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6"/>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3"/>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2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1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Security</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(Instr. 5)</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00" w:type="dxa"/>
            <w:vAlign w:val="bottom"/>
          </w:tcPr>
          <w:p>
            <w:pPr>
              <w:spacing w:after="0"/>
              <w:rPr>
                <w:sz w:val="13"/>
                <w:szCs w:val="13"/>
                <w:color w:val="auto"/>
              </w:rPr>
            </w:pPr>
          </w:p>
        </w:tc>
        <w:tc>
          <w:tcPr>
            <w:tcW w:w="1480" w:type="dxa"/>
            <w:vAlign w:val="bottom"/>
            <w:gridSpan w:val="2"/>
          </w:tcPr>
          <w:p>
            <w:pPr>
              <w:ind w:left="8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-3314065</wp:posOffset>
            </wp:positionV>
            <wp:extent cx="7031355" cy="33591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3359150"/>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56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withheld by the issuer to satisfy the tax withholding obligation associated with the settlement of restricted stock units ("RSUs") in respect of the issuer's Class A common stock ("Class A Common Stock") held by the reporting person.</w:t>
      </w:r>
    </w:p>
    <w:p>
      <w:pPr>
        <w:spacing w:after="0" w:line="15" w:lineRule="exact"/>
        <w:rPr>
          <w:rFonts w:ascii="Arial" w:cs="Arial" w:eastAsia="Arial" w:hAnsi="Arial"/>
          <w:sz w:val="13"/>
          <w:szCs w:val="13"/>
          <w:color w:val="008000"/>
        </w:rPr>
      </w:pPr>
    </w:p>
    <w:p>
      <w:pPr>
        <w:jc w:val="both"/>
        <w:ind w:left="40" w:right="160" w:firstLine="7"/>
        <w:spacing w:after="0" w:line="245"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amount includes (i) 22,004 unvested RSUs in respect of the Class A Common Stock which are scheduled to vest on January 1, 2022, (ii) 6,989 unvested RSUs in respect of Class A Common Stock which are scheduled to vest in equal installments on each of March 17, 2022 and March 17, 2023, (iii) 20,966 unvested RSUs in respect of Class A Common Stock which are scheduled to vest on January 1, 2023, and (iv) 5,865 unvested RSUs in respect of Class A Common Stock which are scheduled to vest in equal installments on each of the first, second and third anniversaries of March 15, 2021, in each case subject to the reporting person's continued employed through the applicable vesting date.</w:t>
      </w:r>
    </w:p>
    <w:p>
      <w:pPr>
        <w:spacing w:after="0" w:line="29" w:lineRule="exact"/>
        <w:rPr>
          <w:rFonts w:ascii="Arial" w:cs="Arial" w:eastAsia="Arial" w:hAnsi="Arial"/>
          <w:sz w:val="13"/>
          <w:szCs w:val="13"/>
          <w:color w:val="008000"/>
        </w:rPr>
      </w:pPr>
    </w:p>
    <w:p>
      <w:pPr>
        <w:ind w:left="40" w:right="50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of Class A Common Stock acquired in connection with the settlement of certain dividend equivalent rights (the "DERs"). The DERs were granted in connection with previously awarded RSUs, and settled in shares of Class A Common Stock in connection with the settlement of the RSUs to which they relate.</w:t>
      </w:r>
    </w:p>
    <w:p>
      <w:pPr>
        <w:spacing w:after="0" w:line="15"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transaction was effected pursuant to a Rule 10b5-1 trading plan adopted by the reporting person on November 17, 2020.</w:t>
      </w:r>
    </w:p>
    <w:p>
      <w:pPr>
        <w:spacing w:after="0" w:line="50" w:lineRule="exact"/>
        <w:rPr>
          <w:rFonts w:ascii="Arial" w:cs="Arial" w:eastAsia="Arial" w:hAnsi="Arial"/>
          <w:sz w:val="13"/>
          <w:szCs w:val="13"/>
          <w:color w:val="008000"/>
        </w:rPr>
      </w:pPr>
    </w:p>
    <w:p>
      <w:pPr>
        <w:ind w:left="40" w:right="24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Column 4 is a weighted average price. These shares were sold in multiple transactions at prices ranging from $71.96 to $72.695, inclusive. The reporting person undertakes to provide the issuer, any security holder of the issuer, or the staff of the Securities and Exchange Commission, upon request, full information regarding the number of shares sold at each separate price within the range set forth in this footnote 5 to this Form 4.</w:t>
      </w:r>
    </w:p>
    <w:p>
      <w:pPr>
        <w:spacing w:after="0" w:line="19"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Scott Zucker, Attorney-in-</w:t>
            </w:r>
          </w:p>
        </w:tc>
        <w:tc>
          <w:tcPr>
            <w:tcW w:w="6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03/22/2021</w:t>
            </w:r>
          </w:p>
        </w:tc>
        <w:tc>
          <w:tcPr>
            <w:tcW w:w="0" w:type="dxa"/>
            <w:vAlign w:val="bottom"/>
          </w:tcPr>
          <w:p>
            <w:pPr>
              <w:spacing w:after="0"/>
              <w:rPr>
                <w:sz w:val="1"/>
                <w:szCs w:val="1"/>
                <w:color w:val="auto"/>
              </w:rPr>
            </w:pPr>
          </w:p>
        </w:tc>
      </w:tr>
      <w:tr>
        <w:trPr>
          <w:trHeight w:val="87"/>
        </w:trPr>
        <w:tc>
          <w:tcPr>
            <w:tcW w:w="1760" w:type="dxa"/>
            <w:vAlign w:val="bottom"/>
            <w:vMerge w:val="restart"/>
          </w:tcPr>
          <w:p>
            <w:pPr>
              <w:spacing w:after="0" w:line="194" w:lineRule="exact"/>
              <w:rPr>
                <w:sz w:val="20"/>
                <w:szCs w:val="20"/>
                <w:color w:val="auto"/>
              </w:rPr>
            </w:pPr>
            <w:r>
              <w:rPr>
                <w:rFonts w:ascii="Arial" w:cs="Arial" w:eastAsia="Arial" w:hAnsi="Arial"/>
                <w:sz w:val="17"/>
                <w:szCs w:val="17"/>
                <w:color w:val="0000FF"/>
                <w:w w:val="92"/>
              </w:rPr>
              <w:t>Fact for Robert Warshaw</w:t>
            </w:r>
          </w:p>
        </w:tc>
        <w:tc>
          <w:tcPr>
            <w:tcW w:w="36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760" w:type="dxa"/>
            <w:vAlign w:val="bottom"/>
            <w:tcBorders>
              <w:bottom w:val="single" w:sz="8" w:color="auto"/>
            </w:tcBorders>
            <w:vMerge w:val="continue"/>
          </w:tcPr>
          <w:p>
            <w:pPr>
              <w:spacing w:after="0"/>
              <w:rPr>
                <w:sz w:val="7"/>
                <w:szCs w:val="7"/>
                <w:color w:val="auto"/>
              </w:rPr>
            </w:pPr>
          </w:p>
        </w:tc>
        <w:tc>
          <w:tcPr>
            <w:tcW w:w="36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78872" TargetMode="External"/><Relationship Id="rId14"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2021-03-22T20:22:38Z</dcterms:created>
  <dcterms:modified xsi:type="dcterms:W3CDTF">2021-03-22T20:22:38Z</dcterms:modified>
</cp:coreProperties>
</file>