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01/14/2022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2,852</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91.2038</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76,017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2021.</w:t>
      </w:r>
    </w:p>
    <w:p>
      <w:pPr>
        <w:spacing w:after="0" w:line="50" w:lineRule="exact"/>
        <w:rPr>
          <w:rFonts w:ascii="Arial" w:cs="Arial" w:eastAsia="Arial" w:hAnsi="Arial"/>
          <w:sz w:val="13"/>
          <w:szCs w:val="13"/>
          <w:color w:val="008000"/>
        </w:rPr>
      </w:pPr>
    </w:p>
    <w:p>
      <w:pPr>
        <w:jc w:val="both"/>
        <w:ind w:left="40" w:right="5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$90.87 to $91.56, inclusive. The reporting person undertakes to provide the issuer, any security holder of the issuer, or the staff of the Securities and Exchange Commission, upon request, full information regarding the number of shares sole at each separate price within the range set forth in this footnote 2 to this Form 4.</w:t>
      </w:r>
    </w:p>
    <w:p>
      <w:pPr>
        <w:spacing w:after="0" w:line="25" w:lineRule="exact"/>
        <w:rPr>
          <w:rFonts w:ascii="Arial" w:cs="Arial" w:eastAsia="Arial" w:hAnsi="Arial"/>
          <w:sz w:val="13"/>
          <w:szCs w:val="13"/>
          <w:color w:val="008000"/>
        </w:rPr>
      </w:pPr>
    </w:p>
    <w:p>
      <w:pPr>
        <w:ind w:left="40" w:right="18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10,719 unvested restricted stock units ("RSUs") in respect of the issuer's Class A common stock ("Class A Common Stock") which are scheduled to vest in equal installments on each of March 17, 2022, and March 17, 2023, (ii) 32,158 unvested RSUs in respect of Class A Common Stock which are scheduled to vest on January 1, 2023, and (iii) 9,439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01/18/2022</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2022-01-18T19:04:47Z</dcterms:created>
  <dcterms:modified xsi:type="dcterms:W3CDTF">2022-01-18T19:04:47Z</dcterms:modified>
</cp:coreProperties>
</file>