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520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2018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6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Zucker Scott</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01/16/2020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4"/>
        <w:spacing w:after="0"/>
        <w:rPr>
          <w:sz w:val="20"/>
          <w:szCs w:val="20"/>
          <w:color w:val="auto"/>
        </w:rPr>
      </w:pPr>
      <w:r>
        <w:rPr>
          <w:rFonts w:ascii="Arial" w:cs="Arial" w:eastAsia="Arial" w:hAnsi="Arial"/>
          <w:sz w:val="17"/>
          <w:szCs w:val="17"/>
          <w:color w:val="0000FF"/>
        </w:rPr>
        <w:t>Chief Administrative Officer</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699"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12,540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60,835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12,540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45.4134</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48,295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7,460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55,755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7,090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45.752</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48,665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01/17/2020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370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46.3103</w:t>
            </w:r>
            <w:r>
              <w:rPr>
                <w:rFonts w:ascii="Arial" w:cs="Arial" w:eastAsia="Arial" w:hAnsi="Arial"/>
                <w:sz w:val="22"/>
                <w:szCs w:val="22"/>
                <w:color w:val="008000"/>
                <w:w w:val="90"/>
                <w:vertAlign w:val="superscript"/>
              </w:rPr>
              <w:t>(5)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48,295</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0000FF"/>
              </w:rPr>
              <w:t>12,540</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01/16/2020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jc w:val="right"/>
              <w:ind w:right="20"/>
              <w:spacing w:after="0" w:line="148" w:lineRule="exact"/>
              <w:rPr>
                <w:sz w:val="20"/>
                <w:szCs w:val="20"/>
                <w:color w:val="auto"/>
              </w:rPr>
            </w:pPr>
            <w:r>
              <w:rPr>
                <w:rFonts w:ascii="Arial" w:cs="Arial" w:eastAsia="Arial" w:hAnsi="Arial"/>
                <w:sz w:val="13"/>
                <w:szCs w:val="13"/>
                <w:color w:val="0000FF"/>
              </w:rPr>
              <w:t>12,540</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153,522</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7"/>
                <w:szCs w:val="17"/>
                <w:color w:val="0000FF"/>
              </w:rPr>
              <w:t>7,460</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01/17/2020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7,460</w:t>
            </w: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146,062</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60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22,868 unvested restricted stock units in respect of the issuer's Class A common stock ("RSUs") which are scheduled to vest on January 1, 2021, subject to the reporting person's continued employment through the vesting date. This amount also includes 21,427 vested RSUs which will be settled on February 3, 2020.</w:t>
      </w:r>
    </w:p>
    <w:p>
      <w:pPr>
        <w:spacing w:after="0" w:line="9"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$45.10 to $45.90,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$45.25 to $46.22,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$46.29 to $46.34,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60" w:type="dxa"/>
            <w:vAlign w:val="bottom"/>
            <w:gridSpan w:val="2"/>
          </w:tcPr>
          <w:p>
            <w:pPr>
              <w:ind w:left="160"/>
              <w:spacing w:after="0"/>
              <w:rPr>
                <w:sz w:val="20"/>
                <w:szCs w:val="20"/>
                <w:color w:val="auto"/>
              </w:rPr>
            </w:pPr>
            <w:r>
              <w:rPr>
                <w:rFonts w:ascii="Arial" w:cs="Arial" w:eastAsia="Arial" w:hAnsi="Arial"/>
                <w:sz w:val="17"/>
                <w:szCs w:val="17"/>
                <w:color w:val="0000FF"/>
                <w:w w:val="91"/>
              </w:rPr>
              <w:t>01/21/2020</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2020-01-21T19:42:32Z</dcterms:created>
  <dcterms:modified xsi:type="dcterms:W3CDTF">2020-01-21T19:42:32Z</dcterms:modified>
</cp:coreProperties>
</file>