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w:t>
      </w:r>
    </w:p>
    <w:p>
      <w:pPr>
        <w:spacing w:after="0" w:line="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82"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w:t>
      </w:r>
    </w:p>
    <w:p>
      <w:pPr>
        <w:spacing w:after="0" w:line="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February 16, 2023</w:t>
      </w:r>
    </w:p>
    <w:p>
      <w:pPr>
        <w:spacing w:after="0" w:line="30"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w:t>
      </w:r>
    </w:p>
    <w:p>
      <w:pPr>
        <w:spacing w:after="0" w:line="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Tradeweb Markets Inc.</w:t>
      </w:r>
    </w:p>
    <w:p>
      <w:pPr>
        <w:spacing w:after="0" w:line="7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6"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w:t>
      </w:r>
    </w:p>
    <w:p>
      <w:pPr>
        <w:spacing w:after="0" w:line="325" w:lineRule="exact"/>
        <w:rPr>
          <w:sz w:val="24"/>
          <w:szCs w:val="24"/>
          <w:color w:val="auto"/>
        </w:rPr>
      </w:pPr>
    </w:p>
    <w:tbl>
      <w:tblPr>
        <w:tblLayout w:type="fixed"/>
        <w:tblInd w:w="900" w:type="dxa"/>
        <w:tblCellMar>
          <w:top w:w="0" w:type="dxa"/>
          <w:left w:w="0" w:type="dxa"/>
          <w:bottom w:w="0" w:type="dxa"/>
          <w:right w:w="0" w:type="dxa"/>
        </w:tblCellMar>
      </w:tblPr>
      <w:tr>
        <w:trPr>
          <w:trHeight w:val="261"/>
        </w:trPr>
        <w:tc>
          <w:tcPr>
            <w:tcW w:w="4080" w:type="dxa"/>
            <w:vAlign w:val="bottom"/>
          </w:tcPr>
          <w:p>
            <w:pPr>
              <w:jc w:val="center"/>
              <w:ind w:right="20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420" w:type="dxa"/>
            <w:vAlign w:val="bottom"/>
          </w:tcPr>
          <w:p>
            <w:pPr>
              <w:jc w:val="center"/>
              <w:ind w:right="1070"/>
              <w:spacing w:after="0"/>
              <w:rPr>
                <w:sz w:val="20"/>
                <w:szCs w:val="20"/>
                <w:color w:val="auto"/>
              </w:rPr>
            </w:pPr>
            <w:r>
              <w:rPr>
                <w:rFonts w:ascii="Times New Roman" w:cs="Times New Roman" w:eastAsia="Times New Roman" w:hAnsi="Times New Roman"/>
                <w:sz w:val="18"/>
                <w:szCs w:val="18"/>
                <w:b w:val="1"/>
                <w:bCs w:val="1"/>
                <w:color w:val="auto"/>
                <w:w w:val="99"/>
              </w:rPr>
              <w:t>001-38860</w:t>
            </w:r>
          </w:p>
        </w:tc>
        <w:tc>
          <w:tcPr>
            <w:tcW w:w="26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83-2456358</w:t>
            </w:r>
          </w:p>
        </w:tc>
        <w:tc>
          <w:tcPr>
            <w:tcW w:w="0" w:type="dxa"/>
            <w:vAlign w:val="bottom"/>
          </w:tcPr>
          <w:p>
            <w:pPr>
              <w:spacing w:after="0"/>
              <w:rPr>
                <w:sz w:val="1"/>
                <w:szCs w:val="1"/>
                <w:color w:val="auto"/>
              </w:rPr>
            </w:pPr>
          </w:p>
        </w:tc>
      </w:tr>
      <w:tr>
        <w:trPr>
          <w:trHeight w:val="203"/>
        </w:trPr>
        <w:tc>
          <w:tcPr>
            <w:tcW w:w="4080" w:type="dxa"/>
            <w:vAlign w:val="bottom"/>
          </w:tcPr>
          <w:p>
            <w:pPr>
              <w:jc w:val="center"/>
              <w:ind w:right="2050"/>
              <w:spacing w:after="0" w:line="202"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2420" w:type="dxa"/>
            <w:vAlign w:val="bottom"/>
          </w:tcPr>
          <w:p>
            <w:pPr>
              <w:jc w:val="center"/>
              <w:ind w:right="1070"/>
              <w:spacing w:after="0" w:line="202" w:lineRule="exact"/>
              <w:rPr>
                <w:sz w:val="20"/>
                <w:szCs w:val="20"/>
                <w:color w:val="auto"/>
              </w:rPr>
            </w:pPr>
            <w:r>
              <w:rPr>
                <w:rFonts w:ascii="Times New Roman" w:cs="Times New Roman" w:eastAsia="Times New Roman" w:hAnsi="Times New Roman"/>
                <w:sz w:val="18"/>
                <w:szCs w:val="18"/>
                <w:color w:val="auto"/>
              </w:rPr>
              <w:t>(Commission</w:t>
            </w:r>
          </w:p>
        </w:tc>
        <w:tc>
          <w:tcPr>
            <w:tcW w:w="2640" w:type="dxa"/>
            <w:vAlign w:val="bottom"/>
          </w:tcPr>
          <w:p>
            <w:pPr>
              <w:jc w:val="center"/>
              <w:ind w:left="1190"/>
              <w:spacing w:after="0" w:line="202" w:lineRule="exact"/>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48"/>
        </w:trPr>
        <w:tc>
          <w:tcPr>
            <w:tcW w:w="4080" w:type="dxa"/>
            <w:vAlign w:val="bottom"/>
          </w:tcPr>
          <w:p>
            <w:pPr>
              <w:jc w:val="center"/>
              <w:ind w:right="205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2420" w:type="dxa"/>
            <w:vAlign w:val="bottom"/>
          </w:tcPr>
          <w:p>
            <w:pPr>
              <w:jc w:val="center"/>
              <w:ind w:right="1070"/>
              <w:spacing w:after="0"/>
              <w:rPr>
                <w:sz w:val="20"/>
                <w:szCs w:val="20"/>
                <w:color w:val="auto"/>
              </w:rPr>
            </w:pPr>
            <w:r>
              <w:rPr>
                <w:rFonts w:ascii="Times New Roman" w:cs="Times New Roman" w:eastAsia="Times New Roman" w:hAnsi="Times New Roman"/>
                <w:sz w:val="18"/>
                <w:szCs w:val="18"/>
                <w:color w:val="auto"/>
              </w:rPr>
              <w:t>File Number)</w:t>
            </w:r>
          </w:p>
        </w:tc>
        <w:tc>
          <w:tcPr>
            <w:tcW w:w="264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248"/>
        </w:trPr>
        <w:tc>
          <w:tcPr>
            <w:tcW w:w="408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1177 Avenue of the Americas</w:t>
            </w:r>
          </w:p>
        </w:tc>
        <w:tc>
          <w:tcPr>
            <w:tcW w:w="2420" w:type="dxa"/>
            <w:vAlign w:val="bottom"/>
          </w:tcPr>
          <w:p>
            <w:pPr>
              <w:spacing w:after="0"/>
              <w:rPr>
                <w:sz w:val="21"/>
                <w:szCs w:val="21"/>
                <w:color w:val="auto"/>
              </w:rPr>
            </w:pPr>
          </w:p>
        </w:tc>
        <w:tc>
          <w:tcPr>
            <w:tcW w:w="264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10036</w:t>
            </w:r>
          </w:p>
        </w:tc>
        <w:tc>
          <w:tcPr>
            <w:tcW w:w="0" w:type="dxa"/>
            <w:vAlign w:val="bottom"/>
          </w:tcPr>
          <w:p>
            <w:pPr>
              <w:spacing w:after="0"/>
              <w:rPr>
                <w:sz w:val="1"/>
                <w:szCs w:val="1"/>
                <w:color w:val="auto"/>
              </w:rPr>
            </w:pPr>
          </w:p>
        </w:tc>
      </w:tr>
      <w:tr>
        <w:trPr>
          <w:trHeight w:val="238"/>
        </w:trPr>
        <w:tc>
          <w:tcPr>
            <w:tcW w:w="408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420" w:type="dxa"/>
            <w:vAlign w:val="bottom"/>
          </w:tcPr>
          <w:p>
            <w:pPr>
              <w:spacing w:after="0"/>
              <w:rPr>
                <w:sz w:val="20"/>
                <w:szCs w:val="20"/>
                <w:color w:val="auto"/>
              </w:rPr>
            </w:pPr>
          </w:p>
        </w:tc>
        <w:tc>
          <w:tcPr>
            <w:tcW w:w="2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00" w:type="dxa"/>
            <w:vAlign w:val="bottom"/>
            <w:gridSpan w:val="2"/>
          </w:tcPr>
          <w:p>
            <w:pPr>
              <w:jc w:val="center"/>
              <w:ind w:right="7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64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12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(646) 430-6000</w:t>
      </w:r>
    </w:p>
    <w:p>
      <w:pPr>
        <w:spacing w:after="0" w:line="31"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w:t>
      </w:r>
    </w:p>
    <w:p>
      <w:pPr>
        <w:spacing w:after="0" w:line="233" w:lineRule="exact"/>
        <w:rPr>
          <w:sz w:val="24"/>
          <w:szCs w:val="24"/>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45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2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c>
          <w:tcPr>
            <w:tcW w:w="0" w:type="dxa"/>
            <w:vAlign w:val="bottom"/>
          </w:tcPr>
          <w:p>
            <w:pPr>
              <w:spacing w:after="0"/>
              <w:rPr>
                <w:sz w:val="1"/>
                <w:szCs w:val="1"/>
                <w:color w:val="auto"/>
              </w:rPr>
            </w:pPr>
          </w:p>
        </w:tc>
      </w:tr>
      <w:tr>
        <w:trPr>
          <w:trHeight w:val="238"/>
        </w:trPr>
        <w:tc>
          <w:tcPr>
            <w:tcW w:w="4560" w:type="dxa"/>
            <w:vAlign w:val="bottom"/>
            <w:gridSpan w:val="2"/>
            <w:vMerge w:val="continue"/>
          </w:tcPr>
          <w:p>
            <w:pPr>
              <w:spacing w:after="0"/>
              <w:rPr>
                <w:sz w:val="20"/>
                <w:szCs w:val="20"/>
                <w:color w:val="auto"/>
              </w:rPr>
            </w:pPr>
          </w:p>
        </w:tc>
        <w:tc>
          <w:tcPr>
            <w:tcW w:w="3260" w:type="dxa"/>
            <w:vAlign w:val="bottom"/>
            <w:gridSpan w:val="2"/>
            <w:vMerge w:val="continue"/>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c>
          <w:tcPr>
            <w:tcW w:w="0" w:type="dxa"/>
            <w:vAlign w:val="bottom"/>
          </w:tcPr>
          <w:p>
            <w:pPr>
              <w:spacing w:after="0"/>
              <w:rPr>
                <w:sz w:val="1"/>
                <w:szCs w:val="1"/>
                <w:color w:val="auto"/>
              </w:rPr>
            </w:pPr>
          </w:p>
        </w:tc>
      </w:tr>
      <w:tr>
        <w:trPr>
          <w:trHeight w:val="228"/>
        </w:trPr>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$0.00001</w:t>
            </w:r>
          </w:p>
        </w:tc>
        <w:tc>
          <w:tcPr>
            <w:tcW w:w="420" w:type="dxa"/>
            <w:vAlign w:val="bottom"/>
          </w:tcPr>
          <w:p>
            <w:pPr>
              <w:spacing w:after="0"/>
              <w:rPr>
                <w:sz w:val="19"/>
                <w:szCs w:val="19"/>
                <w:color w:val="auto"/>
              </w:rPr>
            </w:pPr>
          </w:p>
        </w:tc>
        <w:tc>
          <w:tcPr>
            <w:tcW w:w="2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TW</w:t>
            </w:r>
          </w:p>
        </w:tc>
        <w:tc>
          <w:tcPr>
            <w:tcW w:w="42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bl>
    <w:p>
      <w:pPr>
        <w:spacing w:after="0" w:line="287"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652780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 w:name="page2"/>
    <w:bookmarkEnd w:id="1"/>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72"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On February 16, 2023, the Board of Directors (the “Board”) of Tradeweb Markets Inc. (the “Company”) appointed Mr. Troy Dixon, age 51, as a Class I independent director, effective as of March 1, 2023. Mr. Dixon will hold office until the annual meeting of stockholders to be held in 2023 and until his successor shall be elected and qualified or until his earlier death, resignation, retirement, disqualification or removal.</w:t>
      </w:r>
    </w:p>
    <w:p>
      <w:pPr>
        <w:spacing w:after="0" w:line="204" w:lineRule="exact"/>
        <w:rPr>
          <w:sz w:val="20"/>
          <w:szCs w:val="20"/>
          <w:color w:val="auto"/>
        </w:rPr>
      </w:pPr>
    </w:p>
    <w:p>
      <w:pPr>
        <w:ind w:right="100" w:firstLine="648"/>
        <w:spacing w:after="0" w:line="245" w:lineRule="auto"/>
        <w:rPr>
          <w:sz w:val="20"/>
          <w:szCs w:val="20"/>
          <w:color w:val="auto"/>
        </w:rPr>
      </w:pPr>
      <w:r>
        <w:rPr>
          <w:rFonts w:ascii="Times New Roman" w:cs="Times New Roman" w:eastAsia="Times New Roman" w:hAnsi="Times New Roman"/>
          <w:sz w:val="18"/>
          <w:szCs w:val="18"/>
          <w:color w:val="auto"/>
        </w:rPr>
        <w:t>Mr. Dixon was designated to serve on the Board by Refinitiv Parent Limited (“Refinitiv”), our controlling stockholder, pursuant to Refinitiv’s director designation right as set forth in Section 2.1 of that certain Stockholders Agreement, dated as of April 8, 2019, by and among the Company and the stockholders named therein. Mr. Dixon does not have any family relationships with any director or executive officer of the Company and there are no transactions in which Mr. Dixon has an interest requiring disclosure under Item 404(a) of Regulation S-K.</w:t>
      </w:r>
    </w:p>
    <w:p>
      <w:pPr>
        <w:spacing w:after="0" w:line="194" w:lineRule="exact"/>
        <w:rPr>
          <w:sz w:val="20"/>
          <w:szCs w:val="20"/>
          <w:color w:val="auto"/>
        </w:rPr>
      </w:pPr>
    </w:p>
    <w:p>
      <w:pPr>
        <w:jc w:val="both"/>
        <w:ind w:right="200" w:firstLine="648"/>
        <w:spacing w:after="0" w:line="250" w:lineRule="auto"/>
        <w:rPr>
          <w:sz w:val="20"/>
          <w:szCs w:val="20"/>
          <w:color w:val="auto"/>
        </w:rPr>
      </w:pPr>
      <w:r>
        <w:rPr>
          <w:rFonts w:ascii="Times New Roman" w:cs="Times New Roman" w:eastAsia="Times New Roman" w:hAnsi="Times New Roman"/>
          <w:sz w:val="18"/>
          <w:szCs w:val="18"/>
          <w:color w:val="auto"/>
        </w:rPr>
        <w:t>In connection with his appointment to the Board, Mr. Dixon will be entitled to receive an annual cash retainer of $100,000 and an annual equity award of restricted stock units with a value of $150,000, prorated to reflect days of service and in accordance with the Company’s non-employee director compensation program.</w:t>
      </w:r>
    </w:p>
    <w:p>
      <w:pPr>
        <w:spacing w:after="0" w:line="217" w:lineRule="exact"/>
        <w:rPr>
          <w:sz w:val="20"/>
          <w:szCs w:val="20"/>
          <w:color w:val="auto"/>
        </w:rPr>
      </w:pPr>
    </w:p>
    <w:p>
      <w:pPr>
        <w:ind w:right="100" w:firstLine="648"/>
        <w:spacing w:after="0" w:line="246" w:lineRule="auto"/>
        <w:rPr>
          <w:sz w:val="20"/>
          <w:szCs w:val="20"/>
          <w:color w:val="auto"/>
        </w:rPr>
      </w:pPr>
      <w:r>
        <w:rPr>
          <w:rFonts w:ascii="Times New Roman" w:cs="Times New Roman" w:eastAsia="Times New Roman" w:hAnsi="Times New Roman"/>
          <w:sz w:val="18"/>
          <w:szCs w:val="18"/>
          <w:color w:val="auto"/>
        </w:rPr>
        <w:t>Mr. Dixon is the Founder and Chief Investment Officer of Hollis Park Partners LP, an alternative asset manager that specializes in structured products, a position he has held since 2013. Mr. Dixon has nearly thirty years of industry experience, including leading residential mortgage-backed securities (RMBS) trading at UBS Inc. from 2002 to 2006 and at Deutsche Bank from 2006 to 2013. At Deutsche Bank he was also a member of the Corporate Banking &amp; Securities Americas Executive Committee and the Rates and Credit Trading Executive Committee. Mr. Dixon currently serves as an independent board member and head of the Audit Committee of Lafayette Square Business Development Corporation, and a board member of Boys Hope Girls Hope and New Height Youth Inc. He previously served on the Securities Industry and Financial Markets Association’s (SIFMA) RMBS Executive Board. He received a Bachelor of Arts degree from The College of the Holy Cross. Mr. Dixon was appointed to serve on our Board because of his deep knowledge of the trading industry.</w:t>
      </w:r>
    </w:p>
    <w:p>
      <w:pPr>
        <w:spacing w:after="0" w:line="193"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Company will enter into its standard form of indemnification agreement for directors and officers, a copy of which was previously filed as Exhibit 10.16 to the Company’s Registration Statement on Form S-1 (File No. 333-230115) and is incorporated herein by reference, with Mr. Dixon.</w:t>
      </w:r>
    </w:p>
    <w:p>
      <w:pPr>
        <w:spacing w:after="0" w:line="239" w:lineRule="exact"/>
        <w:rPr>
          <w:sz w:val="20"/>
          <w:szCs w:val="20"/>
          <w:color w:val="auto"/>
        </w:rPr>
      </w:pPr>
    </w:p>
    <w:p>
      <w:pPr>
        <w:ind w:left="20"/>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08"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On February 21, 2023, the Company issued a press release announcing the appointment of Troy Dixon. A copy of the press release is attached as Exhibit 99.1 hereto and is incorporated herein by reference.</w:t>
      </w:r>
    </w:p>
    <w:p>
      <w:pPr>
        <w:spacing w:after="0" w:line="189" w:lineRule="exact"/>
        <w:rPr>
          <w:sz w:val="20"/>
          <w:szCs w:val="20"/>
          <w:color w:val="auto"/>
        </w:rPr>
      </w:pPr>
    </w:p>
    <w:p>
      <w:pPr>
        <w:ind w:right="140" w:firstLine="648"/>
        <w:spacing w:after="0" w:line="245"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 this Item 7.01 of this Current Report on Form 8-K, including Exhibit 99.1 attached hereto, shall not be deemed “filed” for the purposes of Section 18 of the Securities Exchange Act of 1934, as amended, or otherwise subject to the liabilities of that section, nor shall it be deemed incorporated by reference in any filing under the Securities Act of 1933, as amended, or the Securities Exchange Act of 1934, as amended, except as shall be expressly set forth by specific reference in such a filing.</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6920" w:type="dxa"/>
            <w:vAlign w:val="bottom"/>
            <w:gridSpan w:val="3"/>
          </w:tcPr>
          <w:p>
            <w:pPr>
              <w:ind w:left="1540"/>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0" w:type="dxa"/>
            <w:vAlign w:val="bottom"/>
          </w:tcPr>
          <w:p>
            <w:pPr>
              <w:spacing w:after="0"/>
              <w:rPr>
                <w:sz w:val="1"/>
                <w:szCs w:val="1"/>
                <w:color w:val="auto"/>
              </w:rPr>
            </w:pPr>
          </w:p>
        </w:tc>
      </w:tr>
      <w:tr>
        <w:trPr>
          <w:trHeight w:val="225"/>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380" w:type="dxa"/>
            <w:vAlign w:val="bottom"/>
            <w:tcBorders>
              <w:top w:val="single" w:sz="8" w:color="auto"/>
            </w:tcBorders>
            <w:gridSpan w:val="4"/>
          </w:tcPr>
          <w:p>
            <w:pPr>
              <w:spacing w:after="0" w:line="189" w:lineRule="exact"/>
              <w:rPr>
                <w:rFonts w:ascii="Times New Roman" w:cs="Times New Roman" w:eastAsia="Times New Roman" w:hAnsi="Times New Roman"/>
                <w:sz w:val="18"/>
                <w:szCs w:val="18"/>
                <w:color w:val="0000FF"/>
              </w:rPr>
            </w:pPr>
            <w:hyperlink r:id="rId13">
              <w:r>
                <w:rPr>
                  <w:rFonts w:ascii="Times New Roman" w:cs="Times New Roman" w:eastAsia="Times New Roman" w:hAnsi="Times New Roman"/>
                  <w:sz w:val="18"/>
                  <w:szCs w:val="18"/>
                  <w:color w:val="0000FF"/>
                </w:rPr>
                <w:t>Form of Indemnification Agreement (incorporated by reference to Exhibit 10.16 to the Company’s Registration Statement on</w:t>
              </w:r>
            </w:hyperlink>
          </w:p>
        </w:tc>
        <w:tc>
          <w:tcPr>
            <w:tcW w:w="0" w:type="dxa"/>
            <w:vAlign w:val="bottom"/>
          </w:tcPr>
          <w:p>
            <w:pPr>
              <w:spacing w:after="0"/>
              <w:rPr>
                <w:sz w:val="1"/>
                <w:szCs w:val="1"/>
                <w:color w:val="auto"/>
              </w:rPr>
            </w:pPr>
          </w:p>
        </w:tc>
      </w:tr>
      <w:tr>
        <w:trPr>
          <w:trHeight w:val="155"/>
        </w:trPr>
        <w:tc>
          <w:tcPr>
            <w:tcW w:w="1740" w:type="dxa"/>
            <w:vAlign w:val="bottom"/>
            <w:tcBorders>
              <w:top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6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6"/>
                <w:szCs w:val="16"/>
                <w:color w:val="0000FF"/>
              </w:rPr>
            </w:pPr>
            <w:hyperlink r:id="rId13">
              <w:r>
                <w:rPr>
                  <w:rFonts w:ascii="Times New Roman" w:cs="Times New Roman" w:eastAsia="Times New Roman" w:hAnsi="Times New Roman"/>
                  <w:sz w:val="16"/>
                  <w:szCs w:val="16"/>
                  <w:color w:val="0000FF"/>
                </w:rPr>
                <w:t>Form S-1 (File No. 333-230115)).</w:t>
              </w:r>
            </w:hyperlink>
          </w:p>
        </w:tc>
        <w:tc>
          <w:tcPr>
            <w:tcW w:w="2320" w:type="dxa"/>
            <w:vAlign w:val="bottom"/>
            <w:tcBorders>
              <w:top w:val="single" w:sz="8" w:color="0000FF"/>
            </w:tcBorders>
          </w:tcPr>
          <w:p>
            <w:pPr>
              <w:spacing w:after="0"/>
              <w:rPr>
                <w:sz w:val="13"/>
                <w:szCs w:val="13"/>
                <w:color w:val="auto"/>
              </w:rPr>
            </w:pPr>
          </w:p>
        </w:tc>
        <w:tc>
          <w:tcPr>
            <w:tcW w:w="4240" w:type="dxa"/>
            <w:vAlign w:val="bottom"/>
            <w:tcBorders>
              <w:top w:val="single" w:sz="8" w:color="0000FF"/>
            </w:tcBorders>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3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Press Release of Tradeweb Markets Inc., dated February 21, 2023.</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80" w:type="dxa"/>
            <w:vAlign w:val="bottom"/>
            <w:gridSpan w:val="2"/>
            <w:shd w:val="clear" w:color="auto" w:fill="0000FF"/>
          </w:tcPr>
          <w:p>
            <w:pPr>
              <w:spacing w:after="0" w:line="20" w:lineRule="exact"/>
              <w:rPr>
                <w:sz w:val="1"/>
                <w:szCs w:val="1"/>
                <w:color w:val="auto"/>
              </w:rPr>
            </w:pPr>
          </w:p>
        </w:tc>
        <w:tc>
          <w:tcPr>
            <w:tcW w:w="4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1856105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9"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TRADEWEB MARKETS INC.</w:t>
      </w:r>
    </w:p>
    <w:p>
      <w:pPr>
        <w:spacing w:after="0" w:line="320" w:lineRule="exact"/>
        <w:rPr>
          <w:sz w:val="20"/>
          <w:szCs w:val="20"/>
          <w:color w:val="auto"/>
        </w:rPr>
      </w:pPr>
    </w:p>
    <w:p>
      <w:pPr>
        <w:ind w:left="680"/>
        <w:spacing w:after="0"/>
        <w:tabs>
          <w:tab w:leader="none" w:pos="6680" w:val="left"/>
          <w:tab w:leader="none" w:pos="7140" w:val="left"/>
        </w:tabs>
        <w:rPr>
          <w:sz w:val="20"/>
          <w:szCs w:val="20"/>
          <w:color w:val="auto"/>
        </w:rPr>
      </w:pPr>
      <w:r>
        <w:rPr>
          <w:rFonts w:ascii="Times New Roman" w:cs="Times New Roman" w:eastAsia="Times New Roman" w:hAnsi="Times New Roman"/>
          <w:sz w:val="18"/>
          <w:szCs w:val="18"/>
          <w:color w:val="auto"/>
        </w:rPr>
        <w:t>Date: February 21,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Douglas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34290</wp:posOffset>
            </wp:positionV>
            <wp:extent cx="25114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43"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Name: Douglas Friedman</w:t>
      </w:r>
    </w:p>
    <w:p>
      <w:pPr>
        <w:spacing w:after="0" w:line="50"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Title: General Counsel</w:t>
      </w:r>
    </w:p>
    <w:p>
      <w:pPr>
        <w:sectPr>
          <w:pgSz w:w="11900" w:h="16838" w:orient="portrait"/>
          <w:cols w:equalWidth="0" w:num="1">
            <w:col w:w="10920"/>
          </w:cols>
          <w:pgMar w:left="320" w:top="887" w:right="659" w:bottom="1440" w:gutter="0" w:footer="0" w:header="0"/>
        </w:sectPr>
      </w:pPr>
    </w:p>
    <w:bookmarkStart w:id="3" w:name="page4"/>
    <w:bookmarkEnd w:id="3"/>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439420</wp:posOffset>
            </wp:positionH>
            <wp:positionV relativeFrom="page">
              <wp:posOffset>88900</wp:posOffset>
            </wp:positionV>
            <wp:extent cx="1028700" cy="3003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028700" cy="300355"/>
                    </a:xfrm>
                    <a:prstGeom prst="rect">
                      <a:avLst/>
                    </a:prstGeom>
                    <a:noFill/>
                  </pic:spPr>
                </pic:pic>
              </a:graphicData>
            </a:graphic>
          </wp:anchor>
        </w:drawing>
        <w:t>NEWS RELEASE</w:t>
      </w:r>
      <w:r>
        <w:rPr>
          <w:rFonts w:ascii="Arial" w:cs="Arial" w:eastAsia="Arial" w:hAnsi="Arial"/>
          <w:sz w:val="20"/>
          <w:szCs w:val="20"/>
          <w:color w:val="auto"/>
        </w:rPr>
        <w:t> </w:t>
      </w:r>
    </w:p>
    <w:p>
      <w:pPr>
        <w:jc w:val="center"/>
        <w:ind w:right="-39"/>
        <w:spacing w:after="0" w:line="190" w:lineRule="auto"/>
        <w:rPr>
          <w:sz w:val="20"/>
          <w:szCs w:val="20"/>
          <w:color w:val="auto"/>
        </w:rPr>
      </w:pPr>
      <w:r>
        <w:rPr>
          <w:rFonts w:ascii="Arial" w:cs="Arial" w:eastAsia="Arial" w:hAnsi="Arial"/>
          <w:sz w:val="18"/>
          <w:szCs w:val="18"/>
          <w:color w:val="auto"/>
        </w:rPr>
        <w:t> </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Troy Dixon Appointed to Tradeweb Board of Directors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NEW YORK – February 21, 2023 – Tradeweb Markets Inc. (Nasdaq: TW), a leading, global operator of electronic marketplaces for rates,</w:t>
      </w:r>
    </w:p>
    <w:p>
      <w:pPr>
        <w:spacing w:after="0" w:line="14" w:lineRule="exact"/>
        <w:rPr>
          <w:sz w:val="20"/>
          <w:szCs w:val="20"/>
          <w:color w:val="auto"/>
        </w:rPr>
      </w:pPr>
    </w:p>
    <w:p>
      <w:pPr>
        <w:ind w:right="360"/>
        <w:spacing w:after="0" w:line="237" w:lineRule="auto"/>
        <w:rPr>
          <w:sz w:val="20"/>
          <w:szCs w:val="20"/>
          <w:color w:val="auto"/>
        </w:rPr>
      </w:pPr>
      <w:r>
        <w:rPr>
          <w:rFonts w:ascii="Arial" w:cs="Arial" w:eastAsia="Arial" w:hAnsi="Arial"/>
          <w:sz w:val="18"/>
          <w:szCs w:val="18"/>
          <w:color w:val="auto"/>
        </w:rPr>
        <w:t>credit, equities and money markets, today announced the appointment of Troy Dixon to its Board of Directors as an independent director, effective March 1, 2023.</w:t>
      </w:r>
    </w:p>
    <w:p>
      <w:pPr>
        <w:spacing w:after="0" w:line="208"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Mr. Dixon brings nearly 30 years of industry experience to the Tradeweb Board. He is the Founder and Chief Investment Officer of Hollis Park Partners LP, an alternative asset manager that specializes in structured products, a position he has held since 2013. Prior to that he led residential mortgage-backed securities (RMBS) trading at UBS Inc. from 2002 to 2006 and at Deutsche Bank from 2006 to 2013. At Deutsche Bank he was also a member of the Corporate Banking &amp; Securities Americas Executive Committee and the Rates and Credit Trading Executive Committee.</w:t>
      </w:r>
    </w:p>
    <w:p>
      <w:pPr>
        <w:spacing w:after="0" w:line="20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Billy Hult, Chief Executive Officer at Tradeweb, commented: “I am excited to welcome Troy to the Tradeweb Board as we enter into this next era of growth for the firm. Troy’s deep understanding and experience navigating the complexities of fixed income markets, coupled with his extensive investment background, will prove invaluable as we look for new opportunities to advance our business.”</w:t>
      </w:r>
    </w:p>
    <w:p>
      <w:pPr>
        <w:spacing w:after="0" w:line="196" w:lineRule="exact"/>
        <w:rPr>
          <w:sz w:val="20"/>
          <w:szCs w:val="20"/>
          <w:color w:val="auto"/>
        </w:rPr>
      </w:pPr>
    </w:p>
    <w:p>
      <w:pPr>
        <w:jc w:val="both"/>
        <w:ind w:right="780"/>
        <w:spacing w:after="0" w:line="301" w:lineRule="auto"/>
        <w:rPr>
          <w:sz w:val="20"/>
          <w:szCs w:val="20"/>
          <w:color w:val="auto"/>
        </w:rPr>
      </w:pPr>
      <w:r>
        <w:rPr>
          <w:rFonts w:ascii="Arial" w:cs="Arial" w:eastAsia="Arial" w:hAnsi="Arial"/>
          <w:sz w:val="17"/>
          <w:szCs w:val="17"/>
          <w:color w:val="auto"/>
        </w:rPr>
        <w:t>Lee Olesky, Chairman of the Board at Tradeweb, commented: “Troy is a proven industry leader with robust experience in structured products, fixed income trading and asset management. He’s an excellent addition to the Board and we are thrilled to welcome him.”</w:t>
      </w:r>
    </w:p>
    <w:p>
      <w:pPr>
        <w:spacing w:after="0" w:line="171" w:lineRule="exact"/>
        <w:rPr>
          <w:sz w:val="20"/>
          <w:szCs w:val="20"/>
          <w:color w:val="auto"/>
        </w:rPr>
      </w:pPr>
    </w:p>
    <w:p>
      <w:pPr>
        <w:jc w:val="both"/>
        <w:ind w:right="160"/>
        <w:spacing w:after="0" w:line="253" w:lineRule="auto"/>
        <w:rPr>
          <w:sz w:val="20"/>
          <w:szCs w:val="20"/>
          <w:color w:val="auto"/>
        </w:rPr>
      </w:pPr>
      <w:r>
        <w:rPr>
          <w:rFonts w:ascii="Arial" w:cs="Arial" w:eastAsia="Arial" w:hAnsi="Arial"/>
          <w:sz w:val="18"/>
          <w:szCs w:val="18"/>
          <w:color w:val="auto"/>
        </w:rPr>
        <w:t>Mr. Dixon currently serves as an independent board member and head of the Audit Committee of Lafayette Square Business Development Corporation, and a board member of Boys Hope Girls Hope and New Height Youth Inc. He previously served on the Securities Industry and Financial Markets Association’s (SIFMA) RMBS Executive Board. He received his B.A. from The College of the Holy Cross.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Tradeweb Markets</w:t>
      </w:r>
      <w:r>
        <w:rPr>
          <w:rFonts w:ascii="Arial" w:cs="Arial" w:eastAsia="Arial" w:hAnsi="Arial"/>
          <w:sz w:val="18"/>
          <w:szCs w:val="18"/>
          <w:color w:val="auto"/>
        </w:rPr>
        <w:t> </w:t>
      </w:r>
    </w:p>
    <w:p>
      <w:pPr>
        <w:ind w:right="80"/>
        <w:spacing w:after="0" w:line="244" w:lineRule="auto"/>
        <w:rPr>
          <w:sz w:val="20"/>
          <w:szCs w:val="20"/>
          <w:color w:val="auto"/>
        </w:rPr>
      </w:pPr>
      <w:r>
        <w:rPr>
          <w:rFonts w:ascii="Arial" w:cs="Arial" w:eastAsia="Arial" w:hAnsi="Arial"/>
          <w:sz w:val="18"/>
          <w:szCs w:val="18"/>
          <w:color w:val="auto"/>
        </w:rPr>
        <w:t>Tradeweb Markets Inc. (Nasdaq: TW) is a leading, global operator of electronic marketplaces for rates, credit, equities and money markets. Founded in 1996, Tradeweb provides access to markets, data and analytics, electronic trading, straight-through-processing and reporting for more than 40 products to clients in the institutional, wholesale and retail markets. Advanced technologies developed by Tradeweb enhance price discovery, order execution and trade workflows while allowing for greater scale and helping to reduce risks in client trading operations. Tradeweb serves approximately 2,500 clients in more than 65 countries. On average, Tradeweb facilitated more than $1.1 trillion in notional value traded per day over the past four quarters. For more information, please go to www.tradeweb.com. </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Media contact</w:t>
      </w:r>
    </w:p>
    <w:p>
      <w:pPr>
        <w:ind w:left="20"/>
        <w:spacing w:after="0" w:line="219" w:lineRule="auto"/>
        <w:rPr>
          <w:sz w:val="20"/>
          <w:szCs w:val="20"/>
          <w:color w:val="auto"/>
        </w:rPr>
      </w:pPr>
      <w:r>
        <w:rPr>
          <w:rFonts w:ascii="Arial" w:cs="Arial" w:eastAsia="Arial" w:hAnsi="Arial"/>
          <w:sz w:val="18"/>
          <w:szCs w:val="18"/>
          <w:color w:val="auto"/>
        </w:rPr>
        <w:t>Daniel Noonan, Tradeweb +1 646 767 4677</w:t>
      </w:r>
    </w:p>
    <w:p>
      <w:pPr>
        <w:ind w:left="20"/>
        <w:spacing w:after="0"/>
        <w:rPr>
          <w:sz w:val="20"/>
          <w:szCs w:val="20"/>
          <w:color w:val="auto"/>
        </w:rPr>
      </w:pPr>
      <w:r>
        <w:rPr>
          <w:rFonts w:ascii="Arial" w:cs="Arial" w:eastAsia="Arial" w:hAnsi="Arial"/>
          <w:sz w:val="18"/>
          <w:szCs w:val="18"/>
          <w:u w:val="single" w:color="auto"/>
          <w:color w:val="0000FF"/>
        </w:rPr>
        <w:t>Daniel.Noonan@Tradeweb.com</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Investor contact</w:t>
      </w:r>
    </w:p>
    <w:p>
      <w:pPr>
        <w:ind w:left="20"/>
        <w:spacing w:after="0" w:line="219" w:lineRule="auto"/>
        <w:rPr>
          <w:sz w:val="20"/>
          <w:szCs w:val="20"/>
          <w:color w:val="auto"/>
        </w:rPr>
      </w:pPr>
      <w:r>
        <w:rPr>
          <w:rFonts w:ascii="Arial" w:cs="Arial" w:eastAsia="Arial" w:hAnsi="Arial"/>
          <w:sz w:val="18"/>
          <w:szCs w:val="18"/>
          <w:color w:val="auto"/>
        </w:rPr>
        <w:t>Ashley Serrao, Tradeweb +1 646 430 6027</w:t>
      </w:r>
    </w:p>
    <w:p>
      <w:pPr>
        <w:ind w:left="20"/>
        <w:spacing w:after="0"/>
        <w:rPr>
          <w:sz w:val="20"/>
          <w:szCs w:val="20"/>
          <w:color w:val="auto"/>
        </w:rPr>
      </w:pPr>
      <w:r>
        <w:rPr>
          <w:rFonts w:ascii="Arial" w:cs="Arial" w:eastAsia="Arial" w:hAnsi="Arial"/>
          <w:sz w:val="18"/>
          <w:szCs w:val="18"/>
          <w:u w:val="single" w:color="auto"/>
          <w:color w:val="0000FF"/>
        </w:rPr>
        <w:t>Ashley.Serrao@Tradeweb.com</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Sameer Murukutla, Tradeweb +1 646 767 4864</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0000FF"/>
        </w:rPr>
        <w:t>Sameer.Murukutla@Tradeweb.com</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21" w:lineRule="auto"/>
        <w:rPr>
          <w:sz w:val="20"/>
          <w:szCs w:val="20"/>
          <w:color w:val="auto"/>
        </w:rPr>
      </w:pPr>
      <w:r>
        <w:rPr>
          <w:rFonts w:ascii="Arial" w:cs="Arial" w:eastAsia="Arial" w:hAnsi="Arial"/>
          <w:sz w:val="14"/>
          <w:szCs w:val="14"/>
          <w:b w:val="1"/>
          <w:bCs w:val="1"/>
          <w:color w:val="auto"/>
        </w:rPr>
        <w:t>Forward-Looking Statements</w:t>
      </w:r>
      <w:r>
        <w:rPr>
          <w:rFonts w:ascii="Arial" w:cs="Arial" w:eastAsia="Arial" w:hAnsi="Arial"/>
          <w:sz w:val="14"/>
          <w:szCs w:val="14"/>
          <w:color w:val="auto"/>
        </w:rPr>
        <w:t> </w:t>
      </w:r>
    </w:p>
    <w:p>
      <w:pPr>
        <w:ind w:right="180"/>
        <w:spacing w:after="0" w:line="211" w:lineRule="auto"/>
        <w:rPr>
          <w:sz w:val="20"/>
          <w:szCs w:val="20"/>
          <w:color w:val="auto"/>
        </w:rPr>
      </w:pPr>
      <w:r>
        <w:rPr>
          <w:rFonts w:ascii="Arial" w:cs="Arial" w:eastAsia="Arial" w:hAnsi="Arial"/>
          <w:sz w:val="14"/>
          <w:szCs w:val="14"/>
          <w:color w:val="auto"/>
        </w:rPr>
        <w:t>This release contains forward-looking statements within the meaning of the federal securities laws. Statements related to, among other things, our outlook and future performance, the industry and markets in which we operate, our expectations, beliefs, plans, strategies, objectives, prospects and assumptions and future events are forward-</w:t>
      </w:r>
    </w:p>
    <w:p>
      <w:pPr>
        <w:spacing w:after="0" w:line="221" w:lineRule="auto"/>
        <w:rPr>
          <w:sz w:val="20"/>
          <w:szCs w:val="20"/>
          <w:color w:val="auto"/>
        </w:rPr>
      </w:pPr>
      <w:r>
        <w:rPr>
          <w:rFonts w:ascii="Arial" w:cs="Arial" w:eastAsia="Arial" w:hAnsi="Arial"/>
          <w:sz w:val="14"/>
          <w:szCs w:val="14"/>
          <w:color w:val="auto"/>
        </w:rPr>
        <w:t>looking statements. </w:t>
      </w:r>
    </w:p>
    <w:p>
      <w:pPr>
        <w:spacing w:after="0" w:line="202" w:lineRule="auto"/>
        <w:rPr>
          <w:sz w:val="20"/>
          <w:szCs w:val="20"/>
          <w:color w:val="auto"/>
        </w:rPr>
      </w:pPr>
      <w:r>
        <w:rPr>
          <w:rFonts w:ascii="Arial" w:cs="Arial" w:eastAsia="Arial" w:hAnsi="Arial"/>
          <w:sz w:val="14"/>
          <w:szCs w:val="14"/>
          <w:color w:val="auto"/>
        </w:rPr>
        <w:t> </w:t>
      </w:r>
    </w:p>
    <w:p>
      <w:pPr>
        <w:ind w:right="320"/>
        <w:spacing w:after="0" w:line="221" w:lineRule="auto"/>
        <w:rPr>
          <w:sz w:val="20"/>
          <w:szCs w:val="20"/>
          <w:color w:val="auto"/>
        </w:rPr>
      </w:pPr>
      <w:r>
        <w:rPr>
          <w:rFonts w:ascii="Arial" w:cs="Arial" w:eastAsia="Arial" w:hAnsi="Arial"/>
          <w:sz w:val="14"/>
          <w:szCs w:val="14"/>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w:t>
      </w:r>
    </w:p>
    <w:p>
      <w:pPr>
        <w:spacing w:after="0" w:line="1" w:lineRule="exact"/>
        <w:rPr>
          <w:sz w:val="20"/>
          <w:szCs w:val="20"/>
          <w:color w:val="auto"/>
        </w:rPr>
      </w:pPr>
    </w:p>
    <w:p>
      <w:pPr>
        <w:ind w:right="500"/>
        <w:spacing w:after="0" w:line="231" w:lineRule="auto"/>
        <w:rPr>
          <w:sz w:val="20"/>
          <w:szCs w:val="20"/>
          <w:color w:val="auto"/>
        </w:rPr>
      </w:pPr>
      <w:r>
        <w:rPr>
          <w:rFonts w:ascii="Arial" w:cs="Arial" w:eastAsia="Arial" w:hAnsi="Arial"/>
          <w:sz w:val="14"/>
          <w:szCs w:val="14"/>
          <w:color w:val="auto"/>
        </w:rPr>
        <w:t>beyond our control. These and other important factors, including those discussed under the heading “Risk Factors” in documents of Tradeweb Markets Inc. on file with or furnished to the SEC, may cause our actual results, performance or achievements to differ materially from those expressed or</w:t>
      </w:r>
    </w:p>
    <w:p>
      <w:pPr>
        <w:sectPr>
          <w:pgSz w:w="11900" w:h="16838" w:orient="portrait"/>
          <w:cols w:equalWidth="0" w:num="1">
            <w:col w:w="11240"/>
          </w:cols>
          <w:pgMar w:left="320" w:top="1394"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439420</wp:posOffset>
            </wp:positionH>
            <wp:positionV relativeFrom="page">
              <wp:posOffset>88900</wp:posOffset>
            </wp:positionV>
            <wp:extent cx="1028700" cy="3003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028700" cy="300355"/>
                    </a:xfrm>
                    <a:prstGeom prst="rect">
                      <a:avLst/>
                    </a:prstGeom>
                    <a:noFill/>
                  </pic:spPr>
                </pic:pic>
              </a:graphicData>
            </a:graphic>
          </wp:anchor>
        </w:drawing>
        <w:t>implied by these forward-looking statements. Given these risks and uncertainties, you are cautioned not to place undue reliance on such forward-looking statements. The</w:t>
      </w:r>
    </w:p>
    <w:p>
      <w:pPr>
        <w:spacing w:after="0" w:line="2" w:lineRule="exact"/>
        <w:rPr>
          <w:sz w:val="20"/>
          <w:szCs w:val="20"/>
          <w:color w:val="auto"/>
        </w:rPr>
      </w:pPr>
    </w:p>
    <w:p>
      <w:pPr>
        <w:spacing w:after="0" w:line="211" w:lineRule="auto"/>
        <w:rPr>
          <w:sz w:val="20"/>
          <w:szCs w:val="20"/>
          <w:color w:val="auto"/>
        </w:rPr>
      </w:pPr>
      <w:r>
        <w:rPr>
          <w:rFonts w:ascii="Arial" w:cs="Arial" w:eastAsia="Arial" w:hAnsi="Arial"/>
          <w:sz w:val="14"/>
          <w:szCs w:val="14"/>
          <w:color w:val="auto"/>
        </w:rPr>
        <w:t>forward-looking statements contained in this release are not guarantees of future performance and our actual results of operations, financial condition or liquidity, and the development of the industry and markets in which we operate, may differ materially from the forward-looking statements contained in this release. In addition, even if our results</w:t>
      </w:r>
    </w:p>
    <w:p>
      <w:pPr>
        <w:spacing w:after="0" w:line="222" w:lineRule="auto"/>
        <w:rPr>
          <w:sz w:val="20"/>
          <w:szCs w:val="20"/>
          <w:color w:val="auto"/>
        </w:rPr>
      </w:pPr>
      <w:r>
        <w:rPr>
          <w:rFonts w:ascii="Arial" w:cs="Arial" w:eastAsia="Arial" w:hAnsi="Arial"/>
          <w:sz w:val="14"/>
          <w:szCs w:val="14"/>
          <w:color w:val="auto"/>
        </w:rPr>
        <w:t>of operations, financial condition or liquidity, and events in the industry and markets in which we operate, are consistent with the forward-looking statements contained in this</w:t>
      </w:r>
    </w:p>
    <w:p>
      <w:pPr>
        <w:spacing w:after="0" w:line="201" w:lineRule="auto"/>
        <w:rPr>
          <w:sz w:val="20"/>
          <w:szCs w:val="20"/>
          <w:color w:val="auto"/>
        </w:rPr>
      </w:pPr>
      <w:r>
        <w:rPr>
          <w:rFonts w:ascii="Arial" w:cs="Arial" w:eastAsia="Arial" w:hAnsi="Arial"/>
          <w:sz w:val="14"/>
          <w:szCs w:val="14"/>
          <w:color w:val="auto"/>
        </w:rPr>
        <w:t>release, they may not be predictive of results or developments in future periods. </w:t>
      </w:r>
    </w:p>
    <w:p>
      <w:pPr>
        <w:spacing w:after="0" w:line="221" w:lineRule="auto"/>
        <w:rPr>
          <w:sz w:val="20"/>
          <w:szCs w:val="20"/>
          <w:color w:val="auto"/>
        </w:rPr>
      </w:pPr>
      <w:r>
        <w:rPr>
          <w:rFonts w:ascii="Arial" w:cs="Arial" w:eastAsia="Arial" w:hAnsi="Arial"/>
          <w:sz w:val="14"/>
          <w:szCs w:val="14"/>
          <w:color w:val="auto"/>
        </w:rPr>
        <w:t> </w:t>
      </w:r>
    </w:p>
    <w:p>
      <w:pPr>
        <w:spacing w:after="0" w:line="222" w:lineRule="auto"/>
        <w:rPr>
          <w:sz w:val="20"/>
          <w:szCs w:val="20"/>
          <w:color w:val="auto"/>
        </w:rPr>
      </w:pPr>
      <w:r>
        <w:rPr>
          <w:rFonts w:ascii="Arial" w:cs="Arial" w:eastAsia="Arial" w:hAnsi="Arial"/>
          <w:sz w:val="14"/>
          <w:szCs w:val="14"/>
          <w:color w:val="auto"/>
        </w:rPr>
        <w:t>Any forward-looking statement that we make in this release speaks only as of the date of such statement. Except as required by law, we do not undertake any obligation to</w:t>
      </w:r>
    </w:p>
    <w:p>
      <w:pPr>
        <w:ind w:right="180"/>
        <w:spacing w:after="0" w:line="211" w:lineRule="auto"/>
        <w:rPr>
          <w:sz w:val="20"/>
          <w:szCs w:val="20"/>
          <w:color w:val="auto"/>
        </w:rPr>
      </w:pPr>
      <w:r>
        <w:rPr>
          <w:rFonts w:ascii="Arial" w:cs="Arial" w:eastAsia="Arial" w:hAnsi="Arial"/>
          <w:sz w:val="14"/>
          <w:szCs w:val="14"/>
          <w:color w:val="auto"/>
        </w:rPr>
        <w:t>update or revise, or to publicly announce any update or revision to, any of the forward-looking statements, whether as a result of new information, future events or otherwise, after the date of this release. </w:t>
      </w:r>
    </w:p>
    <w:p>
      <w:pPr>
        <w:spacing w:after="0"/>
        <w:rPr>
          <w:sz w:val="20"/>
          <w:szCs w:val="20"/>
          <w:color w:val="auto"/>
        </w:rPr>
      </w:pPr>
      <w:r>
        <w:rPr>
          <w:rFonts w:ascii="Arial" w:cs="Arial" w:eastAsia="Arial" w:hAnsi="Arial"/>
          <w:sz w:val="14"/>
          <w:szCs w:val="14"/>
          <w:color w:val="auto"/>
        </w:rPr>
        <w:t> </w:t>
      </w:r>
    </w:p>
    <w:sectPr>
      <w:pgSz w:w="11900" w:h="16838" w:orient="portrait"/>
      <w:cols w:equalWidth="0" w:num="1">
        <w:col w:w="11160"/>
      </w:cols>
      <w:pgMar w:left="320" w:top="1413"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jpeg"/><Relationship Id="rId17" Type="http://schemas.openxmlformats.org/officeDocument/2006/relationships/image" Target="media/image9.jpeg"/><Relationship Id="rId13" Type="http://schemas.openxmlformats.org/officeDocument/2006/relationships/hyperlink" Target="https://www.sec.gov/Archives/edgar/data/1758730/000114420419015706/tv515721_ex10-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2023-02-21T07:11:42Z</dcterms:created>
  <dcterms:modified xsi:type="dcterms:W3CDTF">2023-02-21T07:11:42Z</dcterms:modified>
</cp:coreProperties>
</file>