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3735" cy="323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375920</wp:posOffset>
            </wp:positionV>
            <wp:extent cx="57537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37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SECURITIES AND EXCHANGE COMMISSION</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69850</wp:posOffset>
            </wp:positionV>
            <wp:extent cx="1444625"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4625" cy="15875"/>
                    </a:xfrm>
                    <a:prstGeom prst="rect">
                      <a:avLst/>
                    </a:prstGeom>
                    <a:noFill/>
                  </pic:spPr>
                </pic:pic>
              </a:graphicData>
            </a:graphic>
          </wp:anchor>
        </w:drawing>
      </w:r>
    </w:p>
    <w:p>
      <w:pPr>
        <w:spacing w:after="0" w:line="20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FORM 10-Q</w:t>
      </w:r>
    </w:p>
    <w:p>
      <w:pPr>
        <w:spacing w:after="0" w:line="71" w:lineRule="exact"/>
        <w:rPr>
          <w:sz w:val="24"/>
          <w:szCs w:val="24"/>
          <w:color w:val="auto"/>
        </w:rPr>
      </w:pPr>
    </w:p>
    <w:p>
      <w:pPr>
        <w:ind w:left="240" w:hanging="236"/>
        <w:spacing w:after="0"/>
        <w:tabs>
          <w:tab w:leader="none" w:pos="24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For the quarterly period ended June 30, 2019</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or</w:t>
      </w:r>
    </w:p>
    <w:p>
      <w:pPr>
        <w:spacing w:after="0" w:line="4" w:lineRule="exact"/>
        <w:rPr>
          <w:sz w:val="24"/>
          <w:szCs w:val="24"/>
          <w:color w:val="auto"/>
        </w:rPr>
      </w:pPr>
    </w:p>
    <w:p>
      <w:pPr>
        <w:ind w:left="240" w:hanging="236"/>
        <w:spacing w:after="0"/>
        <w:tabs>
          <w:tab w:leader="none" w:pos="24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46" w:lineRule="exact"/>
        <w:rPr>
          <w:rFonts w:ascii="MS PGothic" w:cs="MS PGothic" w:eastAsia="MS PGothic" w:hAnsi="MS PGothic"/>
          <w:sz w:val="17"/>
          <w:szCs w:val="17"/>
          <w:color w:val="auto"/>
          <w:highlight w:val="black"/>
        </w:rPr>
      </w:pPr>
    </w:p>
    <w:p>
      <w:pPr>
        <w:ind w:left="3200"/>
        <w:spacing w:after="0"/>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Commission File Number: 001-38860</w:t>
      </w:r>
    </w:p>
    <w:p>
      <w:pPr>
        <w:spacing w:after="0" w:line="7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Tradeweb Markets Inc.</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110490</wp:posOffset>
            </wp:positionV>
            <wp:extent cx="14446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289" w:lineRule="exact"/>
        <w:rPr>
          <w:sz w:val="24"/>
          <w:szCs w:val="24"/>
          <w:color w:val="auto"/>
        </w:rPr>
      </w:pPr>
    </w:p>
    <w:tbl>
      <w:tblPr>
        <w:tblLayout w:type="fixed"/>
        <w:tblInd w:w="200" w:type="dxa"/>
        <w:tblCellMar>
          <w:top w:w="0" w:type="dxa"/>
          <w:left w:w="0" w:type="dxa"/>
          <w:bottom w:w="0" w:type="dxa"/>
          <w:right w:w="0" w:type="dxa"/>
        </w:tblCellMar>
      </w:tblPr>
      <w:tr>
        <w:trPr>
          <w:trHeight w:val="195"/>
        </w:trPr>
        <w:tc>
          <w:tcPr>
            <w:tcW w:w="5140" w:type="dxa"/>
            <w:vAlign w:val="bottom"/>
          </w:tcPr>
          <w:p>
            <w:pPr>
              <w:jc w:val="center"/>
              <w:ind w:right="1015"/>
              <w:spacing w:after="0"/>
              <w:rPr>
                <w:sz w:val="20"/>
                <w:szCs w:val="20"/>
                <w:color w:val="auto"/>
              </w:rPr>
            </w:pPr>
            <w:r>
              <w:rPr>
                <w:rFonts w:ascii="Arial" w:cs="Arial" w:eastAsia="Arial" w:hAnsi="Arial"/>
                <w:sz w:val="17"/>
                <w:szCs w:val="17"/>
                <w:b w:val="1"/>
                <w:bCs w:val="1"/>
                <w:color w:val="auto"/>
                <w:w w:val="91"/>
              </w:rPr>
              <w:t>Delaware</w:t>
            </w:r>
          </w:p>
        </w:tc>
        <w:tc>
          <w:tcPr>
            <w:tcW w:w="2740" w:type="dxa"/>
            <w:vAlign w:val="bottom"/>
          </w:tcPr>
          <w:p>
            <w:pPr>
              <w:jc w:val="right"/>
              <w:ind w:right="735"/>
              <w:spacing w:after="0"/>
              <w:rPr>
                <w:sz w:val="20"/>
                <w:szCs w:val="20"/>
                <w:color w:val="auto"/>
              </w:rPr>
            </w:pPr>
            <w:r>
              <w:rPr>
                <w:rFonts w:ascii="Arial" w:cs="Arial" w:eastAsia="Arial" w:hAnsi="Arial"/>
                <w:sz w:val="17"/>
                <w:szCs w:val="17"/>
                <w:b w:val="1"/>
                <w:bCs w:val="1"/>
                <w:color w:val="auto"/>
              </w:rPr>
              <w:t>83-2456358</w:t>
            </w:r>
          </w:p>
        </w:tc>
      </w:tr>
      <w:tr>
        <w:trPr>
          <w:trHeight w:val="215"/>
        </w:trPr>
        <w:tc>
          <w:tcPr>
            <w:tcW w:w="5140" w:type="dxa"/>
            <w:vAlign w:val="bottom"/>
          </w:tcPr>
          <w:p>
            <w:pPr>
              <w:jc w:val="center"/>
              <w:ind w:right="1015"/>
              <w:spacing w:after="0"/>
              <w:rPr>
                <w:sz w:val="20"/>
                <w:szCs w:val="20"/>
                <w:color w:val="auto"/>
              </w:rPr>
            </w:pPr>
            <w:r>
              <w:rPr>
                <w:rFonts w:ascii="Arial" w:cs="Arial" w:eastAsia="Arial" w:hAnsi="Arial"/>
                <w:sz w:val="17"/>
                <w:szCs w:val="17"/>
                <w:color w:val="auto"/>
                <w:w w:val="92"/>
              </w:rPr>
              <w:t>(State of other jurisdiction of incorporation or organization)</w:t>
            </w:r>
          </w:p>
        </w:tc>
        <w:tc>
          <w:tcPr>
            <w:tcW w:w="2740" w:type="dxa"/>
            <w:vAlign w:val="bottom"/>
          </w:tcPr>
          <w:p>
            <w:pPr>
              <w:jc w:val="center"/>
              <w:ind w:left="195"/>
              <w:spacing w:after="0"/>
              <w:rPr>
                <w:sz w:val="20"/>
                <w:szCs w:val="20"/>
                <w:color w:val="auto"/>
              </w:rPr>
            </w:pPr>
            <w:r>
              <w:rPr>
                <w:rFonts w:ascii="Arial" w:cs="Arial" w:eastAsia="Arial" w:hAnsi="Arial"/>
                <w:sz w:val="17"/>
                <w:szCs w:val="17"/>
                <w:color w:val="auto"/>
                <w:w w:val="93"/>
              </w:rPr>
              <w:t>(I.R.S. Employer Identification No.)</w:t>
            </w:r>
          </w:p>
        </w:tc>
      </w:tr>
      <w:tr>
        <w:trPr>
          <w:trHeight w:val="251"/>
        </w:trPr>
        <w:tc>
          <w:tcPr>
            <w:tcW w:w="5140" w:type="dxa"/>
            <w:vAlign w:val="bottom"/>
          </w:tcPr>
          <w:p>
            <w:pPr>
              <w:jc w:val="center"/>
              <w:ind w:right="1015"/>
              <w:spacing w:after="0"/>
              <w:rPr>
                <w:sz w:val="20"/>
                <w:szCs w:val="20"/>
                <w:color w:val="auto"/>
              </w:rPr>
            </w:pPr>
            <w:r>
              <w:rPr>
                <w:rFonts w:ascii="Arial" w:cs="Arial" w:eastAsia="Arial" w:hAnsi="Arial"/>
                <w:sz w:val="17"/>
                <w:szCs w:val="17"/>
                <w:b w:val="1"/>
                <w:bCs w:val="1"/>
                <w:color w:val="auto"/>
                <w:w w:val="88"/>
              </w:rPr>
              <w:t>1177 Avenue of the Americas</w:t>
            </w:r>
          </w:p>
        </w:tc>
        <w:tc>
          <w:tcPr>
            <w:tcW w:w="2740" w:type="dxa"/>
            <w:vAlign w:val="bottom"/>
          </w:tcPr>
          <w:p>
            <w:pPr>
              <w:spacing w:after="0"/>
              <w:rPr>
                <w:sz w:val="21"/>
                <w:szCs w:val="21"/>
                <w:color w:val="auto"/>
              </w:rPr>
            </w:pPr>
          </w:p>
        </w:tc>
      </w:tr>
      <w:tr>
        <w:trPr>
          <w:trHeight w:val="182"/>
        </w:trPr>
        <w:tc>
          <w:tcPr>
            <w:tcW w:w="5140" w:type="dxa"/>
            <w:vAlign w:val="bottom"/>
          </w:tcPr>
          <w:p>
            <w:pPr>
              <w:jc w:val="center"/>
              <w:ind w:right="1015"/>
              <w:spacing w:after="0" w:line="182" w:lineRule="exact"/>
              <w:rPr>
                <w:sz w:val="20"/>
                <w:szCs w:val="20"/>
                <w:color w:val="auto"/>
              </w:rPr>
            </w:pPr>
            <w:r>
              <w:rPr>
                <w:rFonts w:ascii="Arial" w:cs="Arial" w:eastAsia="Arial" w:hAnsi="Arial"/>
                <w:sz w:val="17"/>
                <w:szCs w:val="17"/>
                <w:b w:val="1"/>
                <w:bCs w:val="1"/>
                <w:color w:val="auto"/>
                <w:w w:val="92"/>
              </w:rPr>
              <w:t>New York, New York</w:t>
            </w:r>
          </w:p>
        </w:tc>
        <w:tc>
          <w:tcPr>
            <w:tcW w:w="2740" w:type="dxa"/>
            <w:vAlign w:val="bottom"/>
          </w:tcPr>
          <w:p>
            <w:pPr>
              <w:jc w:val="right"/>
              <w:ind w:right="935"/>
              <w:spacing w:after="0" w:line="182" w:lineRule="exact"/>
              <w:rPr>
                <w:sz w:val="20"/>
                <w:szCs w:val="20"/>
                <w:color w:val="auto"/>
              </w:rPr>
            </w:pPr>
            <w:r>
              <w:rPr>
                <w:rFonts w:ascii="Arial" w:cs="Arial" w:eastAsia="Arial" w:hAnsi="Arial"/>
                <w:sz w:val="17"/>
                <w:szCs w:val="17"/>
                <w:b w:val="1"/>
                <w:bCs w:val="1"/>
                <w:color w:val="auto"/>
              </w:rPr>
              <w:t>10036</w:t>
            </w:r>
          </w:p>
        </w:tc>
      </w:tr>
      <w:tr>
        <w:trPr>
          <w:trHeight w:val="215"/>
        </w:trPr>
        <w:tc>
          <w:tcPr>
            <w:tcW w:w="5140" w:type="dxa"/>
            <w:vAlign w:val="bottom"/>
          </w:tcPr>
          <w:p>
            <w:pPr>
              <w:jc w:val="center"/>
              <w:ind w:right="1015"/>
              <w:spacing w:after="0"/>
              <w:rPr>
                <w:sz w:val="20"/>
                <w:szCs w:val="20"/>
                <w:color w:val="auto"/>
              </w:rPr>
            </w:pPr>
            <w:r>
              <w:rPr>
                <w:rFonts w:ascii="Arial" w:cs="Arial" w:eastAsia="Arial" w:hAnsi="Arial"/>
                <w:sz w:val="17"/>
                <w:szCs w:val="17"/>
                <w:color w:val="auto"/>
                <w:w w:val="92"/>
              </w:rPr>
              <w:t>(Address of principal executive offices)</w:t>
            </w:r>
          </w:p>
        </w:tc>
        <w:tc>
          <w:tcPr>
            <w:tcW w:w="2740" w:type="dxa"/>
            <w:vAlign w:val="bottom"/>
          </w:tcPr>
          <w:p>
            <w:pPr>
              <w:jc w:val="center"/>
              <w:ind w:left="175"/>
              <w:spacing w:after="0"/>
              <w:rPr>
                <w:sz w:val="20"/>
                <w:szCs w:val="20"/>
                <w:color w:val="auto"/>
              </w:rPr>
            </w:pPr>
            <w:r>
              <w:rPr>
                <w:rFonts w:ascii="Arial" w:cs="Arial" w:eastAsia="Arial" w:hAnsi="Arial"/>
                <w:sz w:val="17"/>
                <w:szCs w:val="17"/>
                <w:color w:val="auto"/>
                <w:w w:val="94"/>
              </w:rPr>
              <w:t>(Zip Code)</w:t>
            </w:r>
          </w:p>
        </w:tc>
      </w:tr>
      <w:tr>
        <w:trPr>
          <w:trHeight w:val="267"/>
        </w:trPr>
        <w:tc>
          <w:tcPr>
            <w:tcW w:w="5140" w:type="dxa"/>
            <w:vAlign w:val="bottom"/>
          </w:tcPr>
          <w:p>
            <w:pPr>
              <w:jc w:val="right"/>
              <w:ind w:right="195"/>
              <w:spacing w:after="0"/>
              <w:rPr>
                <w:sz w:val="20"/>
                <w:szCs w:val="20"/>
                <w:color w:val="auto"/>
              </w:rPr>
            </w:pPr>
            <w:r>
              <w:rPr>
                <w:rFonts w:ascii="Arial" w:cs="Arial" w:eastAsia="Arial" w:hAnsi="Arial"/>
                <w:sz w:val="17"/>
                <w:szCs w:val="17"/>
                <w:b w:val="1"/>
                <w:bCs w:val="1"/>
                <w:color w:val="auto"/>
              </w:rPr>
              <w:t>(646) 430-6000</w:t>
            </w:r>
          </w:p>
        </w:tc>
        <w:tc>
          <w:tcPr>
            <w:tcW w:w="2740" w:type="dxa"/>
            <w:vAlign w:val="bottom"/>
          </w:tcPr>
          <w:p>
            <w:pPr>
              <w:spacing w:after="0"/>
              <w:rPr>
                <w:sz w:val="23"/>
                <w:szCs w:val="23"/>
                <w:color w:val="auto"/>
              </w:rPr>
            </w:pPr>
          </w:p>
        </w:tc>
      </w:tr>
    </w:tbl>
    <w:p>
      <w:pPr>
        <w:jc w:val="center"/>
        <w:ind w:right="20"/>
        <w:spacing w:after="0"/>
        <w:rPr>
          <w:sz w:val="20"/>
          <w:szCs w:val="20"/>
          <w:color w:val="auto"/>
        </w:rPr>
      </w:pPr>
      <w:r>
        <w:rPr>
          <w:rFonts w:ascii="Arial" w:cs="Arial" w:eastAsia="Arial" w:hAnsi="Arial"/>
          <w:sz w:val="17"/>
          <w:szCs w:val="17"/>
          <w:color w:val="auto"/>
        </w:rPr>
        <w:t>(Registrant’s telephone number, including area code)</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82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341"/>
        </w:trPr>
        <w:tc>
          <w:tcPr>
            <w:tcW w:w="20" w:type="dxa"/>
            <w:vAlign w:val="bottom"/>
          </w:tcPr>
          <w:p>
            <w:pPr>
              <w:spacing w:after="0"/>
              <w:rPr>
                <w:sz w:val="24"/>
                <w:szCs w:val="24"/>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Title of each class</w:t>
            </w: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Trading Symbol(s)</w:t>
            </w:r>
          </w:p>
        </w:tc>
        <w:tc>
          <w:tcPr>
            <w:tcW w:w="3260" w:type="dxa"/>
            <w:vAlign w:val="bottom"/>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165"/>
        </w:trPr>
        <w:tc>
          <w:tcPr>
            <w:tcW w:w="20" w:type="dxa"/>
            <w:vAlign w:val="bottom"/>
          </w:tcPr>
          <w:p>
            <w:pPr>
              <w:spacing w:after="0"/>
              <w:rPr>
                <w:sz w:val="14"/>
                <w:szCs w:val="14"/>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7"/>
              </w:rPr>
              <w:t>Class A common stock, par value $0.00001</w:t>
            </w:r>
          </w:p>
        </w:tc>
        <w:tc>
          <w:tcPr>
            <w:tcW w:w="180" w:type="dxa"/>
            <w:vAlign w:val="bottom"/>
          </w:tcPr>
          <w:p>
            <w:pPr>
              <w:spacing w:after="0"/>
              <w:rPr>
                <w:sz w:val="14"/>
                <w:szCs w:val="14"/>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TW</w:t>
            </w:r>
          </w:p>
        </w:tc>
        <w:tc>
          <w:tcPr>
            <w:tcW w:w="180" w:type="dxa"/>
            <w:vAlign w:val="bottom"/>
          </w:tcPr>
          <w:p>
            <w:pPr>
              <w:spacing w:after="0"/>
              <w:rPr>
                <w:sz w:val="14"/>
                <w:szCs w:val="14"/>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7"/>
              </w:rPr>
              <w:t>Nasdaq Global Select Market</w:t>
            </w:r>
          </w:p>
        </w:tc>
      </w:tr>
    </w:tbl>
    <w:p>
      <w:pPr>
        <w:spacing w:after="0" w:line="216" w:lineRule="exact"/>
        <w:rPr>
          <w:sz w:val="24"/>
          <w:szCs w:val="24"/>
          <w:color w:val="auto"/>
        </w:rPr>
      </w:pPr>
    </w:p>
    <w:p>
      <w:pPr>
        <w:jc w:val="both"/>
        <w:ind w:right="20"/>
        <w:spacing w:after="0" w:line="260"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61" w:lineRule="exact"/>
        <w:rPr>
          <w:sz w:val="20"/>
          <w:szCs w:val="20"/>
          <w:color w:val="auto"/>
        </w:rPr>
      </w:pPr>
      <w:r>
        <w:rPr>
          <w:rFonts w:ascii="Arial" w:cs="Arial" w:eastAsia="Arial" w:hAnsi="Arial"/>
          <w:sz w:val="14"/>
          <w:szCs w:val="14"/>
          <w:color w:val="auto"/>
        </w:rPr>
        <w:t xml:space="preserve">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61" w:lineRule="exact"/>
        <w:rPr>
          <w:sz w:val="24"/>
          <w:szCs w:val="24"/>
          <w:color w:val="auto"/>
        </w:rPr>
      </w:pPr>
    </w:p>
    <w:p>
      <w:pPr>
        <w:ind w:right="40"/>
        <w:spacing w:after="0" w:line="171"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41" w:lineRule="exact"/>
        <w:rPr>
          <w:sz w:val="24"/>
          <w:szCs w:val="24"/>
          <w:color w:val="auto"/>
        </w:rPr>
      </w:pPr>
    </w:p>
    <w:p>
      <w:pPr>
        <w:ind w:right="160"/>
        <w:spacing w:after="0" w:line="22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80"/>
          </w:cols>
          <w:pgMar w:left="1420" w:top="229" w:right="1399" w:bottom="1440" w:gutter="0" w:footer="0" w:header="0"/>
        </w:sectPr>
      </w:pPr>
    </w:p>
    <w:p>
      <w:pPr>
        <w:spacing w:after="0" w:line="58" w:lineRule="exact"/>
        <w:rPr>
          <w:sz w:val="24"/>
          <w:szCs w:val="24"/>
          <w:color w:val="auto"/>
        </w:rPr>
      </w:pPr>
    </w:p>
    <w:p>
      <w:pPr>
        <w:spacing w:after="0" w:line="303" w:lineRule="auto"/>
        <w:rPr>
          <w:sz w:val="20"/>
          <w:szCs w:val="20"/>
          <w:color w:val="auto"/>
        </w:rPr>
      </w:pPr>
      <w:r>
        <w:rPr>
          <w:rFonts w:ascii="Arial" w:cs="Arial" w:eastAsia="Arial" w:hAnsi="Arial"/>
          <w:sz w:val="12"/>
          <w:szCs w:val="12"/>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303" w:lineRule="auto"/>
        <w:rPr>
          <w:sz w:val="20"/>
          <w:szCs w:val="20"/>
          <w:color w:val="auto"/>
        </w:rPr>
      </w:pPr>
      <w:r>
        <w:rPr>
          <w:rFonts w:ascii="Arial" w:cs="Arial" w:eastAsia="Arial" w:hAnsi="Arial"/>
          <w:sz w:val="12"/>
          <w:szCs w:val="12"/>
          <w:color w:val="auto"/>
        </w:rPr>
        <w:t>Accelerated filer Emerging growth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60" w:lineRule="exact"/>
        <w:rPr>
          <w:sz w:val="24"/>
          <w:szCs w:val="24"/>
          <w:color w:val="auto"/>
        </w:rPr>
      </w:pPr>
    </w:p>
    <w:p>
      <w:pPr>
        <w:sectPr>
          <w:pgSz w:w="11900" w:h="16838" w:orient="portrait"/>
          <w:cols w:equalWidth="0" w:num="6">
            <w:col w:w="1500" w:space="660"/>
            <w:col w:w="180" w:space="720"/>
            <w:col w:w="1480" w:space="660"/>
            <w:col w:w="160" w:space="720"/>
            <w:col w:w="1400" w:space="720"/>
            <w:col w:w="880"/>
          </w:cols>
          <w:pgMar w:left="1420" w:top="229" w:right="1399" w:bottom="1440" w:gutter="0" w:footer="0" w:header="0"/>
          <w:type w:val="continuous"/>
        </w:sectPr>
      </w:pPr>
    </w:p>
    <w:p>
      <w:pPr>
        <w:ind w:right="180"/>
        <w:spacing w:after="0" w:line="17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gridSpan w:val="2"/>
          </w:tcPr>
          <w:p>
            <w:pPr>
              <w:ind w:left="2200"/>
              <w:spacing w:after="0"/>
              <w:rPr>
                <w:sz w:val="20"/>
                <w:szCs w:val="20"/>
                <w:color w:val="auto"/>
              </w:rPr>
            </w:pPr>
            <w:r>
              <w:rPr>
                <w:rFonts w:ascii="Arial" w:cs="Arial" w:eastAsia="Arial" w:hAnsi="Arial"/>
                <w:sz w:val="14"/>
                <w:szCs w:val="14"/>
                <w:color w:val="auto"/>
              </w:rPr>
              <w:t>Class of Stock</w:t>
            </w:r>
          </w:p>
        </w:tc>
        <w:tc>
          <w:tcPr>
            <w:tcW w:w="3760" w:type="dxa"/>
            <w:vAlign w:val="bottom"/>
            <w:gridSpan w:val="2"/>
          </w:tcPr>
          <w:p>
            <w:pPr>
              <w:jc w:val="right"/>
              <w:ind w:right="780"/>
              <w:spacing w:after="0"/>
              <w:rPr>
                <w:sz w:val="20"/>
                <w:szCs w:val="20"/>
                <w:color w:val="auto"/>
              </w:rPr>
            </w:pPr>
            <w:r>
              <w:rPr>
                <w:rFonts w:ascii="Arial" w:cs="Arial" w:eastAsia="Arial" w:hAnsi="Arial"/>
                <w:sz w:val="14"/>
                <w:szCs w:val="14"/>
                <w:color w:val="auto"/>
              </w:rPr>
              <w:t>Shares Outstanding as of August 5, 2019</w:t>
            </w:r>
          </w:p>
        </w:tc>
      </w:tr>
      <w:tr>
        <w:trPr>
          <w:trHeight w:val="114"/>
        </w:trPr>
        <w:tc>
          <w:tcPr>
            <w:tcW w:w="20" w:type="dxa"/>
            <w:vAlign w:val="bottom"/>
          </w:tcPr>
          <w:p>
            <w:pPr>
              <w:spacing w:after="0"/>
              <w:rPr>
                <w:sz w:val="9"/>
                <w:szCs w:val="9"/>
                <w:color w:val="auto"/>
              </w:rPr>
            </w:pPr>
          </w:p>
        </w:tc>
        <w:tc>
          <w:tcPr>
            <w:tcW w:w="5220" w:type="dxa"/>
            <w:vAlign w:val="bottom"/>
            <w:tcBorders>
              <w:top w:val="single" w:sz="8" w:color="auto"/>
            </w:tcBorders>
          </w:tcPr>
          <w:p>
            <w:pPr>
              <w:spacing w:after="0" w:line="114" w:lineRule="exact"/>
              <w:rPr>
                <w:sz w:val="20"/>
                <w:szCs w:val="20"/>
                <w:color w:val="auto"/>
              </w:rPr>
            </w:pPr>
            <w:r>
              <w:rPr>
                <w:rFonts w:ascii="Arial" w:cs="Arial" w:eastAsia="Arial" w:hAnsi="Arial"/>
                <w:sz w:val="12"/>
                <w:szCs w:val="12"/>
                <w:color w:val="auto"/>
              </w:rPr>
              <w:t>Class A Common Stock, par value $0.00001 per share</w:t>
            </w:r>
          </w:p>
        </w:tc>
        <w:tc>
          <w:tcPr>
            <w:tcW w:w="80" w:type="dxa"/>
            <w:vAlign w:val="bottom"/>
          </w:tcPr>
          <w:p>
            <w:pPr>
              <w:spacing w:after="0"/>
              <w:rPr>
                <w:sz w:val="9"/>
                <w:szCs w:val="9"/>
                <w:color w:val="auto"/>
              </w:rPr>
            </w:pPr>
          </w:p>
        </w:tc>
        <w:tc>
          <w:tcPr>
            <w:tcW w:w="3760" w:type="dxa"/>
            <w:vAlign w:val="bottom"/>
            <w:tcBorders>
              <w:top w:val="single" w:sz="8" w:color="auto"/>
            </w:tcBorders>
            <w:gridSpan w:val="2"/>
          </w:tcPr>
          <w:p>
            <w:pPr>
              <w:jc w:val="right"/>
              <w:spacing w:after="0" w:line="114" w:lineRule="exact"/>
              <w:rPr>
                <w:sz w:val="20"/>
                <w:szCs w:val="20"/>
                <w:color w:val="auto"/>
              </w:rPr>
            </w:pPr>
            <w:r>
              <w:rPr>
                <w:rFonts w:ascii="Arial" w:cs="Arial" w:eastAsia="Arial" w:hAnsi="Arial"/>
                <w:sz w:val="12"/>
                <w:szCs w:val="12"/>
                <w:color w:val="auto"/>
              </w:rPr>
              <w:t>46,000,000</w:t>
            </w:r>
          </w:p>
        </w:tc>
      </w:tr>
      <w:tr>
        <w:trPr>
          <w:trHeight w:val="140"/>
        </w:trPr>
        <w:tc>
          <w:tcPr>
            <w:tcW w:w="5320" w:type="dxa"/>
            <w:vAlign w:val="bottom"/>
            <w:gridSpan w:val="3"/>
          </w:tcPr>
          <w:p>
            <w:pPr>
              <w:spacing w:after="0" w:line="140" w:lineRule="exact"/>
              <w:rPr>
                <w:sz w:val="20"/>
                <w:szCs w:val="20"/>
                <w:color w:val="auto"/>
              </w:rPr>
            </w:pPr>
            <w:r>
              <w:rPr>
                <w:rFonts w:ascii="Arial" w:cs="Arial" w:eastAsia="Arial" w:hAnsi="Arial"/>
                <w:sz w:val="14"/>
                <w:szCs w:val="14"/>
                <w:color w:val="auto"/>
              </w:rPr>
              <w:t>Class B Common Stock, par value $0.00001 per share</w:t>
            </w:r>
          </w:p>
        </w:tc>
        <w:tc>
          <w:tcPr>
            <w:tcW w:w="37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96,933,192</w:t>
            </w:r>
          </w:p>
        </w:tc>
      </w:tr>
      <w:tr>
        <w:trPr>
          <w:trHeight w:val="140"/>
        </w:trPr>
        <w:tc>
          <w:tcPr>
            <w:tcW w:w="5320" w:type="dxa"/>
            <w:vAlign w:val="bottom"/>
            <w:gridSpan w:val="3"/>
          </w:tcPr>
          <w:p>
            <w:pPr>
              <w:spacing w:after="0" w:line="140" w:lineRule="exact"/>
              <w:rPr>
                <w:sz w:val="20"/>
                <w:szCs w:val="20"/>
                <w:color w:val="auto"/>
              </w:rPr>
            </w:pPr>
            <w:r>
              <w:rPr>
                <w:rFonts w:ascii="Arial" w:cs="Arial" w:eastAsia="Arial" w:hAnsi="Arial"/>
                <w:sz w:val="14"/>
                <w:szCs w:val="14"/>
                <w:color w:val="auto"/>
              </w:rPr>
              <w:t>Class C Common Stock, par value $0.00001 per share</w:t>
            </w:r>
          </w:p>
        </w:tc>
        <w:tc>
          <w:tcPr>
            <w:tcW w:w="37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10,006,269</w:t>
            </w:r>
          </w:p>
        </w:tc>
      </w:tr>
      <w:tr>
        <w:trPr>
          <w:trHeight w:val="173"/>
        </w:trPr>
        <w:tc>
          <w:tcPr>
            <w:tcW w:w="5320" w:type="dxa"/>
            <w:vAlign w:val="bottom"/>
            <w:gridSpan w:val="3"/>
          </w:tcPr>
          <w:p>
            <w:pPr>
              <w:spacing w:after="0"/>
              <w:rPr>
                <w:sz w:val="20"/>
                <w:szCs w:val="20"/>
                <w:color w:val="auto"/>
              </w:rPr>
            </w:pPr>
            <w:r>
              <w:rPr>
                <w:rFonts w:ascii="Arial" w:cs="Arial" w:eastAsia="Arial" w:hAnsi="Arial"/>
                <w:sz w:val="14"/>
                <w:szCs w:val="14"/>
                <w:color w:val="auto"/>
              </w:rPr>
              <w:t>Class D Common Stock, par value $0.00001 per share</w:t>
            </w:r>
          </w:p>
        </w:tc>
        <w:tc>
          <w:tcPr>
            <w:tcW w:w="3760" w:type="dxa"/>
            <w:vAlign w:val="bottom"/>
            <w:gridSpan w:val="2"/>
          </w:tcPr>
          <w:p>
            <w:pPr>
              <w:jc w:val="right"/>
              <w:spacing w:after="0"/>
              <w:rPr>
                <w:sz w:val="20"/>
                <w:szCs w:val="20"/>
                <w:color w:val="auto"/>
              </w:rPr>
            </w:pPr>
            <w:r>
              <w:rPr>
                <w:rFonts w:ascii="Arial" w:cs="Arial" w:eastAsia="Arial" w:hAnsi="Arial"/>
                <w:sz w:val="14"/>
                <w:szCs w:val="14"/>
                <w:color w:val="auto"/>
              </w:rPr>
              <w:t>69,282,736</w:t>
            </w:r>
          </w:p>
        </w:tc>
      </w:tr>
      <w:tr>
        <w:trPr>
          <w:trHeight w:val="62"/>
        </w:trPr>
        <w:tc>
          <w:tcPr>
            <w:tcW w:w="20" w:type="dxa"/>
            <w:vAlign w:val="bottom"/>
            <w:tcBorders>
              <w:bottom w:val="single" w:sz="8" w:color="auto"/>
            </w:tcBorders>
          </w:tcPr>
          <w:p>
            <w:pPr>
              <w:spacing w:after="0"/>
              <w:rPr>
                <w:sz w:val="5"/>
                <w:szCs w:val="5"/>
                <w:color w:val="auto"/>
              </w:rPr>
            </w:pPr>
          </w:p>
        </w:tc>
        <w:tc>
          <w:tcPr>
            <w:tcW w:w="5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36"/>
        </w:trPr>
        <w:tc>
          <w:tcPr>
            <w:tcW w:w="20" w:type="dxa"/>
            <w:vAlign w:val="bottom"/>
          </w:tcPr>
          <w:p>
            <w:pPr>
              <w:spacing w:after="0"/>
              <w:rPr>
                <w:sz w:val="3"/>
                <w:szCs w:val="3"/>
                <w:color w:val="auto"/>
              </w:rPr>
            </w:pPr>
          </w:p>
        </w:tc>
        <w:tc>
          <w:tcPr>
            <w:tcW w:w="5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035"/>
        </w:trPr>
        <w:tc>
          <w:tcPr>
            <w:tcW w:w="20" w:type="dxa"/>
            <w:vAlign w:val="bottom"/>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80"/>
          </w:cols>
          <w:pgMar w:left="1420" w:top="229" w:right="1399" w:bottom="1440" w:gutter="0" w:footer="0" w:header="0"/>
          <w:type w:val="continuous"/>
        </w:sectPr>
      </w:pPr>
    </w:p>
    <w:bookmarkStart w:id="1" w:name="page2"/>
    <w:bookmarkEnd w:id="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60" w:type="dxa"/>
            <w:vAlign w:val="bottom"/>
            <w:gridSpan w:val="5"/>
          </w:tcPr>
          <w:p>
            <w:pPr>
              <w:jc w:val="center"/>
              <w:ind w:right="2600"/>
              <w:spacing w:after="0"/>
              <w:rPr>
                <w:sz w:val="20"/>
                <w:szCs w:val="20"/>
                <w:color w:val="auto"/>
              </w:rPr>
            </w:pPr>
            <w:r>
              <w:rPr>
                <w:rFonts w:ascii="Arial" w:cs="Arial" w:eastAsia="Arial" w:hAnsi="Arial"/>
                <w:sz w:val="17"/>
                <w:szCs w:val="17"/>
                <w:b w:val="1"/>
                <w:bCs w:val="1"/>
                <w:color w:val="auto"/>
              </w:rPr>
              <w:t>TRADEWEB MARKETS INC.</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00" w:type="dxa"/>
            <w:vAlign w:val="bottom"/>
            <w:gridSpan w:val="4"/>
          </w:tcPr>
          <w:p>
            <w:pPr>
              <w:jc w:val="center"/>
              <w:ind w:right="2880"/>
              <w:spacing w:after="0"/>
              <w:rPr>
                <w:sz w:val="20"/>
                <w:szCs w:val="20"/>
                <w:color w:val="auto"/>
              </w:rPr>
            </w:pPr>
            <w:r>
              <w:rPr>
                <w:rFonts w:ascii="Arial" w:cs="Arial" w:eastAsia="Arial" w:hAnsi="Arial"/>
                <w:sz w:val="17"/>
                <w:szCs w:val="17"/>
                <w:b w:val="1"/>
                <w:bCs w:val="1"/>
                <w:color w:val="auto"/>
                <w:w w:val="99"/>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420" w:type="dxa"/>
            <w:vAlign w:val="bottom"/>
            <w:gridSpan w:val="22"/>
            <w:vMerge w:val="restart"/>
          </w:tcPr>
          <w:p>
            <w:pPr>
              <w:spacing w:after="0"/>
              <w:rPr>
                <w:sz w:val="20"/>
                <w:szCs w:val="20"/>
                <w:color w:val="auto"/>
              </w:rPr>
            </w:pPr>
            <w:r>
              <w:rPr>
                <w:rFonts w:ascii="Arial" w:cs="Arial" w:eastAsia="Arial" w:hAnsi="Arial"/>
                <w:sz w:val="17"/>
                <w:szCs w:val="17"/>
                <w:color w:val="auto"/>
              </w:rPr>
              <w:t>CAUTIONARY NOTE REGARDING FORWARD-LOOKING STATEMENTS</w:t>
            </w: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8420" w:type="dxa"/>
            <w:vAlign w:val="bottom"/>
            <w:gridSpan w:val="22"/>
            <w:vMerge w:val="continue"/>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2880" w:type="dxa"/>
            <w:vAlign w:val="bottom"/>
            <w:tcBorders>
              <w:bottom w:val="single" w:sz="8" w:color="0000EE"/>
            </w:tcBorders>
            <w:gridSpan w:val="13"/>
          </w:tcPr>
          <w:p>
            <w:pPr>
              <w:spacing w:after="0"/>
              <w:rPr>
                <w:rFonts w:ascii="Arial" w:cs="Arial" w:eastAsia="Arial" w:hAnsi="Arial"/>
                <w:sz w:val="17"/>
                <w:szCs w:val="17"/>
                <w:color w:val="0000EE"/>
                <w:w w:val="97"/>
              </w:rPr>
            </w:pPr>
            <w:hyperlink w:anchor="page7">
              <w:r>
                <w:rPr>
                  <w:rFonts w:ascii="Arial" w:cs="Arial" w:eastAsia="Arial" w:hAnsi="Arial"/>
                  <w:sz w:val="17"/>
                  <w:szCs w:val="17"/>
                  <w:color w:val="0000EE"/>
                  <w:w w:val="97"/>
                </w:rPr>
                <w:t>PART I — FINANCIAL INFORMATION</w:t>
              </w:r>
            </w:hyperlink>
          </w:p>
        </w:tc>
        <w:tc>
          <w:tcPr>
            <w:tcW w:w="5540" w:type="dxa"/>
            <w:vAlign w:val="bottom"/>
            <w:gridSpan w:val="9"/>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80" w:type="dxa"/>
            <w:vAlign w:val="bottom"/>
            <w:tcBorders>
              <w:bottom w:val="single" w:sz="8" w:color="0000EE"/>
            </w:tcBorders>
          </w:tcPr>
          <w:p>
            <w:pPr>
              <w:spacing w:after="0"/>
              <w:rPr>
                <w:rFonts w:ascii="Arial" w:cs="Arial" w:eastAsia="Arial" w:hAnsi="Arial"/>
                <w:sz w:val="17"/>
                <w:szCs w:val="17"/>
                <w:color w:val="0000EE"/>
                <w:w w:val="88"/>
              </w:rPr>
            </w:pPr>
            <w:hyperlink w:anchor="page7">
              <w:r>
                <w:rPr>
                  <w:rFonts w:ascii="Arial" w:cs="Arial" w:eastAsia="Arial" w:hAnsi="Arial"/>
                  <w:sz w:val="17"/>
                  <w:szCs w:val="17"/>
                  <w:color w:val="0000EE"/>
                  <w:w w:val="88"/>
                </w:rPr>
                <w:t>Item 1.</w:t>
              </w:r>
            </w:hyperlink>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Borders>
              <w:bottom w:val="single" w:sz="8" w:color="0000EE"/>
            </w:tcBorders>
            <w:gridSpan w:val="5"/>
          </w:tcPr>
          <w:p>
            <w:pPr>
              <w:spacing w:after="0"/>
              <w:rPr>
                <w:rFonts w:ascii="Arial" w:cs="Arial" w:eastAsia="Arial" w:hAnsi="Arial"/>
                <w:sz w:val="17"/>
                <w:szCs w:val="17"/>
                <w:color w:val="0000EE"/>
                <w:w w:val="88"/>
              </w:rPr>
            </w:pPr>
            <w:hyperlink w:anchor="page7">
              <w:r>
                <w:rPr>
                  <w:rFonts w:ascii="Arial" w:cs="Arial" w:eastAsia="Arial" w:hAnsi="Arial"/>
                  <w:sz w:val="17"/>
                  <w:szCs w:val="17"/>
                  <w:color w:val="0000EE"/>
                  <w:w w:val="88"/>
                </w:rPr>
                <w:t>Financial Statements</w:t>
              </w:r>
            </w:hyperlink>
          </w:p>
        </w:tc>
        <w:tc>
          <w:tcPr>
            <w:tcW w:w="6180" w:type="dxa"/>
            <w:vAlign w:val="bottom"/>
            <w:gridSpan w:val="1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387"/>
        </w:trPr>
        <w:tc>
          <w:tcPr>
            <w:tcW w:w="3260" w:type="dxa"/>
            <w:vAlign w:val="bottom"/>
            <w:tcBorders>
              <w:bottom w:val="single" w:sz="8" w:color="0000EE"/>
            </w:tcBorders>
            <w:gridSpan w:val="17"/>
          </w:tcPr>
          <w:p>
            <w:pPr>
              <w:spacing w:after="0"/>
              <w:rPr>
                <w:rFonts w:ascii="Arial" w:cs="Arial" w:eastAsia="Arial" w:hAnsi="Arial"/>
                <w:sz w:val="17"/>
                <w:szCs w:val="17"/>
                <w:color w:val="0000EE"/>
                <w:w w:val="90"/>
              </w:rPr>
            </w:pPr>
            <w:hyperlink w:anchor="page7">
              <w:r>
                <w:rPr>
                  <w:rFonts w:ascii="Arial" w:cs="Arial" w:eastAsia="Arial" w:hAnsi="Arial"/>
                  <w:sz w:val="17"/>
                  <w:szCs w:val="17"/>
                  <w:color w:val="0000EE"/>
                  <w:w w:val="90"/>
                </w:rPr>
                <w:t>Consolidated Statements of Financial Condition</w:t>
              </w:r>
            </w:hyperlink>
          </w:p>
        </w:tc>
        <w:tc>
          <w:tcPr>
            <w:tcW w:w="516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387"/>
        </w:trPr>
        <w:tc>
          <w:tcPr>
            <w:tcW w:w="2420" w:type="dxa"/>
            <w:vAlign w:val="bottom"/>
            <w:tcBorders>
              <w:bottom w:val="single" w:sz="8" w:color="0000EE"/>
            </w:tcBorders>
            <w:gridSpan w:val="9"/>
          </w:tcPr>
          <w:p>
            <w:pPr>
              <w:spacing w:after="0"/>
              <w:rPr>
                <w:rFonts w:ascii="Arial" w:cs="Arial" w:eastAsia="Arial" w:hAnsi="Arial"/>
                <w:sz w:val="17"/>
                <w:szCs w:val="17"/>
                <w:color w:val="0000EE"/>
                <w:w w:val="89"/>
              </w:rPr>
            </w:pPr>
            <w:hyperlink w:anchor="page8">
              <w:r>
                <w:rPr>
                  <w:rFonts w:ascii="Arial" w:cs="Arial" w:eastAsia="Arial" w:hAnsi="Arial"/>
                  <w:sz w:val="17"/>
                  <w:szCs w:val="17"/>
                  <w:color w:val="0000EE"/>
                  <w:w w:val="89"/>
                </w:rPr>
                <w:t>Consolidated Statements of Income</w:t>
              </w:r>
            </w:hyperlink>
          </w:p>
        </w:tc>
        <w:tc>
          <w:tcPr>
            <w:tcW w:w="6000" w:type="dxa"/>
            <w:vAlign w:val="bottom"/>
            <w:gridSpan w:val="1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387"/>
        </w:trPr>
        <w:tc>
          <w:tcPr>
            <w:tcW w:w="3520" w:type="dxa"/>
            <w:vAlign w:val="bottom"/>
            <w:tcBorders>
              <w:bottom w:val="single" w:sz="8" w:color="0000EE"/>
            </w:tcBorders>
            <w:gridSpan w:val="18"/>
          </w:tcPr>
          <w:p>
            <w:pPr>
              <w:spacing w:after="0"/>
              <w:rPr>
                <w:rFonts w:ascii="Arial" w:cs="Arial" w:eastAsia="Arial" w:hAnsi="Arial"/>
                <w:sz w:val="17"/>
                <w:szCs w:val="17"/>
                <w:color w:val="0000EE"/>
                <w:w w:val="89"/>
              </w:rPr>
            </w:pPr>
            <w:hyperlink w:anchor="page9">
              <w:r>
                <w:rPr>
                  <w:rFonts w:ascii="Arial" w:cs="Arial" w:eastAsia="Arial" w:hAnsi="Arial"/>
                  <w:sz w:val="17"/>
                  <w:szCs w:val="17"/>
                  <w:color w:val="0000EE"/>
                  <w:w w:val="89"/>
                </w:rPr>
                <w:t>Consolidated Statements of Comprehensive Income</w:t>
              </w:r>
            </w:hyperlink>
          </w:p>
        </w:tc>
        <w:tc>
          <w:tcPr>
            <w:tcW w:w="490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387"/>
        </w:trPr>
        <w:tc>
          <w:tcPr>
            <w:tcW w:w="3160" w:type="dxa"/>
            <w:vAlign w:val="bottom"/>
            <w:tcBorders>
              <w:bottom w:val="single" w:sz="8" w:color="0000EE"/>
            </w:tcBorders>
            <w:gridSpan w:val="16"/>
          </w:tcPr>
          <w:p>
            <w:pPr>
              <w:spacing w:after="0"/>
              <w:rPr>
                <w:rFonts w:ascii="Arial" w:cs="Arial" w:eastAsia="Arial" w:hAnsi="Arial"/>
                <w:sz w:val="17"/>
                <w:szCs w:val="17"/>
                <w:color w:val="0000EE"/>
                <w:w w:val="89"/>
              </w:rPr>
            </w:pPr>
            <w:hyperlink w:anchor="page10">
              <w:r>
                <w:rPr>
                  <w:rFonts w:ascii="Arial" w:cs="Arial" w:eastAsia="Arial" w:hAnsi="Arial"/>
                  <w:sz w:val="17"/>
                  <w:szCs w:val="17"/>
                  <w:color w:val="0000EE"/>
                  <w:w w:val="89"/>
                </w:rPr>
                <w:t>Consolidated Statements of Changes in Equity</w:t>
              </w:r>
            </w:hyperlink>
          </w:p>
        </w:tc>
        <w:tc>
          <w:tcPr>
            <w:tcW w:w="526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387"/>
        </w:trPr>
        <w:tc>
          <w:tcPr>
            <w:tcW w:w="2700" w:type="dxa"/>
            <w:vAlign w:val="bottom"/>
            <w:tcBorders>
              <w:bottom w:val="single" w:sz="8" w:color="0000EE"/>
            </w:tcBorders>
            <w:gridSpan w:val="12"/>
          </w:tcPr>
          <w:p>
            <w:pPr>
              <w:spacing w:after="0"/>
              <w:rPr>
                <w:rFonts w:ascii="Arial" w:cs="Arial" w:eastAsia="Arial" w:hAnsi="Arial"/>
                <w:sz w:val="17"/>
                <w:szCs w:val="17"/>
                <w:color w:val="0000EE"/>
                <w:w w:val="88"/>
              </w:rPr>
            </w:pPr>
            <w:hyperlink w:anchor="page12">
              <w:r>
                <w:rPr>
                  <w:rFonts w:ascii="Arial" w:cs="Arial" w:eastAsia="Arial" w:hAnsi="Arial"/>
                  <w:sz w:val="17"/>
                  <w:szCs w:val="17"/>
                  <w:color w:val="0000EE"/>
                  <w:w w:val="88"/>
                </w:rPr>
                <w:t>Consolidated Statements of Cash Flows</w:t>
              </w:r>
            </w:hyperlink>
          </w:p>
        </w:tc>
        <w:tc>
          <w:tcPr>
            <w:tcW w:w="5720" w:type="dxa"/>
            <w:vAlign w:val="bottom"/>
            <w:gridSpan w:val="10"/>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387"/>
        </w:trPr>
        <w:tc>
          <w:tcPr>
            <w:tcW w:w="8420" w:type="dxa"/>
            <w:vAlign w:val="bottom"/>
            <w:gridSpan w:val="22"/>
          </w:tcPr>
          <w:p>
            <w:pPr>
              <w:spacing w:after="0"/>
              <w:rPr>
                <w:rFonts w:ascii="Arial" w:cs="Arial" w:eastAsia="Arial" w:hAnsi="Arial"/>
                <w:sz w:val="17"/>
                <w:szCs w:val="17"/>
                <w:color w:val="0000EE"/>
              </w:rPr>
            </w:pPr>
            <w:hyperlink w:anchor="page13">
              <w:r>
                <w:rPr>
                  <w:rFonts w:ascii="Arial" w:cs="Arial" w:eastAsia="Arial" w:hAnsi="Arial"/>
                  <w:sz w:val="17"/>
                  <w:szCs w:val="17"/>
                  <w:color w:val="0000EE"/>
                </w:rPr>
                <w:t>Table of Contents (Notes)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8420" w:type="dxa"/>
            <w:vAlign w:val="bottom"/>
            <w:gridSpan w:val="22"/>
          </w:tcPr>
          <w:p>
            <w:pPr>
              <w:spacing w:after="0"/>
              <w:rPr>
                <w:rFonts w:ascii="Arial" w:cs="Arial" w:eastAsia="Arial" w:hAnsi="Arial"/>
                <w:sz w:val="17"/>
                <w:szCs w:val="17"/>
                <w:color w:val="0000EE"/>
              </w:rPr>
            </w:pPr>
            <w:hyperlink w:anchor="page14">
              <w:r>
                <w:rPr>
                  <w:rFonts w:ascii="Arial" w:cs="Arial" w:eastAsia="Arial" w:hAnsi="Arial"/>
                  <w:sz w:val="17"/>
                  <w:szCs w:val="17"/>
                  <w:color w:val="0000EE"/>
                </w:rPr>
                <w:t>Notes to Consolidated Financial Statements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80" w:type="dxa"/>
            <w:vAlign w:val="bottom"/>
          </w:tcPr>
          <w:p>
            <w:pPr>
              <w:spacing w:after="0"/>
              <w:rPr>
                <w:rFonts w:ascii="Arial" w:cs="Arial" w:eastAsia="Arial" w:hAnsi="Arial"/>
                <w:sz w:val="17"/>
                <w:szCs w:val="17"/>
                <w:color w:val="0000EE"/>
                <w:w w:val="88"/>
              </w:rPr>
            </w:pPr>
            <w:hyperlink w:anchor="page37">
              <w:r>
                <w:rPr>
                  <w:rFonts w:ascii="Arial" w:cs="Arial" w:eastAsia="Arial" w:hAnsi="Arial"/>
                  <w:sz w:val="17"/>
                  <w:szCs w:val="17"/>
                  <w:color w:val="0000EE"/>
                  <w:w w:val="88"/>
                </w:rPr>
                <w:t>Item 2.</w:t>
              </w:r>
            </w:hyperlink>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0" w:type="dxa"/>
            <w:vAlign w:val="bottom"/>
            <w:gridSpan w:val="19"/>
          </w:tcPr>
          <w:p>
            <w:pPr>
              <w:spacing w:after="0"/>
              <w:rPr>
                <w:rFonts w:ascii="Arial" w:cs="Arial" w:eastAsia="Arial" w:hAnsi="Arial"/>
                <w:sz w:val="17"/>
                <w:szCs w:val="17"/>
                <w:color w:val="0000EE"/>
              </w:rPr>
            </w:pPr>
            <w:hyperlink w:anchor="page37">
              <w:r>
                <w:rPr>
                  <w:rFonts w:ascii="Arial" w:cs="Arial" w:eastAsia="Arial" w:hAnsi="Arial"/>
                  <w:sz w:val="17"/>
                  <w:szCs w:val="17"/>
                  <w:color w:val="0000EE"/>
                </w:rPr>
                <w:t>Management’s Discussion and Analysis of Financial Condition and Results of Operations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387"/>
        </w:trPr>
        <w:tc>
          <w:tcPr>
            <w:tcW w:w="480" w:type="dxa"/>
            <w:vAlign w:val="bottom"/>
            <w:tcBorders>
              <w:top w:val="single" w:sz="8" w:color="0000EE"/>
              <w:bottom w:val="single" w:sz="8" w:color="0000EE"/>
            </w:tcBorders>
          </w:tcPr>
          <w:p>
            <w:pPr>
              <w:spacing w:after="0"/>
              <w:rPr>
                <w:rFonts w:ascii="Arial" w:cs="Arial" w:eastAsia="Arial" w:hAnsi="Arial"/>
                <w:sz w:val="17"/>
                <w:szCs w:val="17"/>
                <w:color w:val="0000EE"/>
                <w:w w:val="88"/>
              </w:rPr>
            </w:pPr>
            <w:hyperlink w:anchor="page70">
              <w:r>
                <w:rPr>
                  <w:rFonts w:ascii="Arial" w:cs="Arial" w:eastAsia="Arial" w:hAnsi="Arial"/>
                  <w:sz w:val="17"/>
                  <w:szCs w:val="17"/>
                  <w:color w:val="0000EE"/>
                  <w:w w:val="88"/>
                </w:rPr>
                <w:t>Item 3.</w:t>
              </w:r>
            </w:hyperlink>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tcBorders>
              <w:top w:val="single" w:sz="8" w:color="0000EE"/>
              <w:bottom w:val="single" w:sz="8" w:color="0000EE"/>
            </w:tcBorders>
            <w:gridSpan w:val="16"/>
          </w:tcPr>
          <w:p>
            <w:pPr>
              <w:spacing w:after="0"/>
              <w:rPr>
                <w:rFonts w:ascii="Arial" w:cs="Arial" w:eastAsia="Arial" w:hAnsi="Arial"/>
                <w:sz w:val="17"/>
                <w:szCs w:val="17"/>
                <w:color w:val="0000EE"/>
                <w:w w:val="91"/>
              </w:rPr>
            </w:pPr>
            <w:hyperlink w:anchor="page70">
              <w:r>
                <w:rPr>
                  <w:rFonts w:ascii="Arial" w:cs="Arial" w:eastAsia="Arial" w:hAnsi="Arial"/>
                  <w:sz w:val="17"/>
                  <w:szCs w:val="17"/>
                  <w:color w:val="0000EE"/>
                  <w:w w:val="91"/>
                </w:rPr>
                <w:t>Quantitative and Qualitative Disclosures about Market Risk</w:t>
              </w:r>
            </w:hyperlink>
          </w:p>
        </w:tc>
        <w:tc>
          <w:tcPr>
            <w:tcW w:w="2020" w:type="dxa"/>
            <w:vAlign w:val="bottom"/>
            <w:tcBorders>
              <w:top w:val="single" w:sz="8" w:color="0000EE"/>
            </w:tcBorders>
            <w:gridSpan w:val="2"/>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387"/>
        </w:trPr>
        <w:tc>
          <w:tcPr>
            <w:tcW w:w="480" w:type="dxa"/>
            <w:vAlign w:val="bottom"/>
          </w:tcPr>
          <w:p>
            <w:pPr>
              <w:spacing w:after="0"/>
              <w:rPr>
                <w:rFonts w:ascii="Arial" w:cs="Arial" w:eastAsia="Arial" w:hAnsi="Arial"/>
                <w:sz w:val="17"/>
                <w:szCs w:val="17"/>
                <w:color w:val="0000EE"/>
                <w:w w:val="88"/>
              </w:rPr>
            </w:pPr>
            <w:hyperlink w:anchor="page72">
              <w:r>
                <w:rPr>
                  <w:rFonts w:ascii="Arial" w:cs="Arial" w:eastAsia="Arial" w:hAnsi="Arial"/>
                  <w:sz w:val="17"/>
                  <w:szCs w:val="17"/>
                  <w:color w:val="0000EE"/>
                  <w:w w:val="88"/>
                </w:rPr>
                <w:t>Item 4.</w:t>
              </w:r>
            </w:hyperlink>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0" w:type="dxa"/>
            <w:vAlign w:val="bottom"/>
            <w:gridSpan w:val="19"/>
          </w:tcPr>
          <w:p>
            <w:pPr>
              <w:spacing w:after="0"/>
              <w:rPr>
                <w:rFonts w:ascii="Arial" w:cs="Arial" w:eastAsia="Arial" w:hAnsi="Arial"/>
                <w:sz w:val="17"/>
                <w:szCs w:val="17"/>
                <w:color w:val="0000EE"/>
              </w:rPr>
            </w:pPr>
            <w:hyperlink w:anchor="page72">
              <w:r>
                <w:rPr>
                  <w:rFonts w:ascii="Arial" w:cs="Arial" w:eastAsia="Arial" w:hAnsi="Arial"/>
                  <w:sz w:val="17"/>
                  <w:szCs w:val="17"/>
                  <w:color w:val="0000EE"/>
                </w:rPr>
                <w:t>Controls and Procedures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8420" w:type="dxa"/>
            <w:vAlign w:val="bottom"/>
            <w:gridSpan w:val="22"/>
          </w:tcPr>
          <w:p>
            <w:pPr>
              <w:spacing w:after="0"/>
              <w:rPr>
                <w:rFonts w:ascii="Arial" w:cs="Arial" w:eastAsia="Arial" w:hAnsi="Arial"/>
                <w:sz w:val="17"/>
                <w:szCs w:val="17"/>
                <w:color w:val="0000EE"/>
              </w:rPr>
            </w:pPr>
            <w:hyperlink w:anchor="page73">
              <w:r>
                <w:rPr>
                  <w:rFonts w:ascii="Arial" w:cs="Arial" w:eastAsia="Arial" w:hAnsi="Arial"/>
                  <w:sz w:val="17"/>
                  <w:szCs w:val="17"/>
                  <w:color w:val="0000EE"/>
                </w:rPr>
                <w:t>PART II — OTHER INFORMATION</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387"/>
        </w:trPr>
        <w:tc>
          <w:tcPr>
            <w:tcW w:w="480" w:type="dxa"/>
            <w:vAlign w:val="bottom"/>
            <w:tcBorders>
              <w:top w:val="single" w:sz="8" w:color="0000EE"/>
              <w:bottom w:val="single" w:sz="8" w:color="0000EE"/>
            </w:tcBorders>
          </w:tcPr>
          <w:p>
            <w:pPr>
              <w:spacing w:after="0"/>
              <w:rPr>
                <w:rFonts w:ascii="Arial" w:cs="Arial" w:eastAsia="Arial" w:hAnsi="Arial"/>
                <w:sz w:val="17"/>
                <w:szCs w:val="17"/>
                <w:color w:val="0000EE"/>
                <w:w w:val="88"/>
              </w:rPr>
            </w:pPr>
            <w:hyperlink w:anchor="page73">
              <w:r>
                <w:rPr>
                  <w:rFonts w:ascii="Arial" w:cs="Arial" w:eastAsia="Arial" w:hAnsi="Arial"/>
                  <w:sz w:val="17"/>
                  <w:szCs w:val="17"/>
                  <w:color w:val="0000EE"/>
                  <w:w w:val="88"/>
                </w:rPr>
                <w:t>Item 1.</w:t>
              </w:r>
            </w:hyperlink>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6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88"/>
              </w:rPr>
            </w:pPr>
            <w:hyperlink w:anchor="page73">
              <w:r>
                <w:rPr>
                  <w:rFonts w:ascii="Arial" w:cs="Arial" w:eastAsia="Arial" w:hAnsi="Arial"/>
                  <w:sz w:val="17"/>
                  <w:szCs w:val="17"/>
                  <w:color w:val="0000EE"/>
                  <w:w w:val="88"/>
                </w:rPr>
                <w:t>Legal Proceedings</w:t>
              </w:r>
            </w:hyperlink>
          </w:p>
        </w:tc>
        <w:tc>
          <w:tcPr>
            <w:tcW w:w="500" w:type="dxa"/>
            <w:vAlign w:val="bottom"/>
            <w:tcBorders>
              <w:top w:val="single" w:sz="8" w:color="0000EE"/>
            </w:tcBorders>
            <w:gridSpan w:val="4"/>
          </w:tcPr>
          <w:p>
            <w:pPr>
              <w:spacing w:after="0"/>
              <w:rPr>
                <w:sz w:val="24"/>
                <w:szCs w:val="24"/>
                <w:color w:val="auto"/>
              </w:rPr>
            </w:pPr>
          </w:p>
        </w:tc>
        <w:tc>
          <w:tcPr>
            <w:tcW w:w="5840" w:type="dxa"/>
            <w:vAlign w:val="bottom"/>
            <w:gridSpan w:val="11"/>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387"/>
        </w:trPr>
        <w:tc>
          <w:tcPr>
            <w:tcW w:w="600" w:type="dxa"/>
            <w:vAlign w:val="bottom"/>
            <w:tcBorders>
              <w:bottom w:val="single" w:sz="8" w:color="0000EE"/>
            </w:tcBorders>
            <w:gridSpan w:val="2"/>
          </w:tcPr>
          <w:p>
            <w:pPr>
              <w:spacing w:after="0"/>
              <w:rPr>
                <w:rFonts w:ascii="Arial" w:cs="Arial" w:eastAsia="Arial" w:hAnsi="Arial"/>
                <w:sz w:val="17"/>
                <w:szCs w:val="17"/>
                <w:color w:val="0000EE"/>
                <w:w w:val="91"/>
              </w:rPr>
            </w:pPr>
            <w:hyperlink w:anchor="page73">
              <w:r>
                <w:rPr>
                  <w:rFonts w:ascii="Arial" w:cs="Arial" w:eastAsia="Arial" w:hAnsi="Arial"/>
                  <w:sz w:val="17"/>
                  <w:szCs w:val="17"/>
                  <w:color w:val="0000EE"/>
                  <w:w w:val="91"/>
                </w:rPr>
                <w:t>Item 1A.</w:t>
              </w:r>
            </w:hyperlink>
          </w:p>
        </w:tc>
        <w:tc>
          <w:tcPr>
            <w:tcW w:w="220" w:type="dxa"/>
            <w:vAlign w:val="bottom"/>
          </w:tcPr>
          <w:p>
            <w:pPr>
              <w:spacing w:after="0"/>
              <w:rPr>
                <w:sz w:val="24"/>
                <w:szCs w:val="24"/>
                <w:color w:val="auto"/>
              </w:rPr>
            </w:pPr>
          </w:p>
        </w:tc>
        <w:tc>
          <w:tcPr>
            <w:tcW w:w="920" w:type="dxa"/>
            <w:vAlign w:val="bottom"/>
            <w:tcBorders>
              <w:bottom w:val="single" w:sz="8" w:color="0000EE"/>
            </w:tcBorders>
            <w:gridSpan w:val="2"/>
          </w:tcPr>
          <w:p>
            <w:pPr>
              <w:spacing w:after="0"/>
              <w:rPr>
                <w:rFonts w:ascii="Arial" w:cs="Arial" w:eastAsia="Arial" w:hAnsi="Arial"/>
                <w:sz w:val="17"/>
                <w:szCs w:val="17"/>
                <w:color w:val="0000EE"/>
                <w:w w:val="93"/>
              </w:rPr>
            </w:pPr>
            <w:hyperlink w:anchor="page73">
              <w:r>
                <w:rPr>
                  <w:rFonts w:ascii="Arial" w:cs="Arial" w:eastAsia="Arial" w:hAnsi="Arial"/>
                  <w:sz w:val="17"/>
                  <w:szCs w:val="17"/>
                  <w:color w:val="0000EE"/>
                  <w:w w:val="93"/>
                </w:rPr>
                <w:t>Risk Factors</w:t>
              </w:r>
            </w:hyperlink>
          </w:p>
        </w:tc>
        <w:tc>
          <w:tcPr>
            <w:tcW w:w="6680" w:type="dxa"/>
            <w:vAlign w:val="bottom"/>
            <w:gridSpan w:val="17"/>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387"/>
        </w:trPr>
        <w:tc>
          <w:tcPr>
            <w:tcW w:w="480" w:type="dxa"/>
            <w:vAlign w:val="bottom"/>
            <w:tcBorders>
              <w:bottom w:val="single" w:sz="8" w:color="0000EE"/>
            </w:tcBorders>
          </w:tcPr>
          <w:p>
            <w:pPr>
              <w:spacing w:after="0"/>
              <w:rPr>
                <w:rFonts w:ascii="Arial" w:cs="Arial" w:eastAsia="Arial" w:hAnsi="Arial"/>
                <w:sz w:val="17"/>
                <w:szCs w:val="17"/>
                <w:color w:val="0000EE"/>
                <w:w w:val="88"/>
              </w:rPr>
            </w:pPr>
            <w:hyperlink w:anchor="page73">
              <w:r>
                <w:rPr>
                  <w:rFonts w:ascii="Arial" w:cs="Arial" w:eastAsia="Arial" w:hAnsi="Arial"/>
                  <w:sz w:val="17"/>
                  <w:szCs w:val="17"/>
                  <w:color w:val="0000EE"/>
                  <w:w w:val="88"/>
                </w:rPr>
                <w:t>Item 2.</w:t>
              </w:r>
            </w:hyperlink>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00" w:type="dxa"/>
            <w:vAlign w:val="bottom"/>
            <w:tcBorders>
              <w:bottom w:val="single" w:sz="8" w:color="0000EE"/>
            </w:tcBorders>
            <w:gridSpan w:val="17"/>
          </w:tcPr>
          <w:p>
            <w:pPr>
              <w:spacing w:after="0"/>
              <w:rPr>
                <w:rFonts w:ascii="Arial" w:cs="Arial" w:eastAsia="Arial" w:hAnsi="Arial"/>
                <w:sz w:val="17"/>
                <w:szCs w:val="17"/>
                <w:color w:val="0000EE"/>
                <w:w w:val="89"/>
              </w:rPr>
            </w:pPr>
            <w:hyperlink w:anchor="page73">
              <w:r>
                <w:rPr>
                  <w:rFonts w:ascii="Arial" w:cs="Arial" w:eastAsia="Arial" w:hAnsi="Arial"/>
                  <w:sz w:val="17"/>
                  <w:szCs w:val="17"/>
                  <w:color w:val="0000EE"/>
                  <w:w w:val="89"/>
                </w:rPr>
                <w:t>Unregistered Sales of Equity Securities and Use of Proceeds</w:t>
              </w:r>
            </w:hyperlink>
          </w:p>
        </w:tc>
        <w:tc>
          <w:tcPr>
            <w:tcW w:w="350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387"/>
        </w:trPr>
        <w:tc>
          <w:tcPr>
            <w:tcW w:w="480" w:type="dxa"/>
            <w:vAlign w:val="bottom"/>
            <w:tcBorders>
              <w:bottom w:val="single" w:sz="8" w:color="0000EE"/>
            </w:tcBorders>
          </w:tcPr>
          <w:p>
            <w:pPr>
              <w:spacing w:after="0"/>
              <w:rPr>
                <w:rFonts w:ascii="Arial" w:cs="Arial" w:eastAsia="Arial" w:hAnsi="Arial"/>
                <w:sz w:val="17"/>
                <w:szCs w:val="17"/>
                <w:color w:val="0000EE"/>
                <w:w w:val="88"/>
              </w:rPr>
            </w:pPr>
            <w:hyperlink w:anchor="page74">
              <w:r>
                <w:rPr>
                  <w:rFonts w:ascii="Arial" w:cs="Arial" w:eastAsia="Arial" w:hAnsi="Arial"/>
                  <w:sz w:val="17"/>
                  <w:szCs w:val="17"/>
                  <w:color w:val="0000EE"/>
                  <w:w w:val="88"/>
                </w:rPr>
                <w:t>Item 3.</w:t>
              </w:r>
            </w:hyperlink>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Borders>
              <w:bottom w:val="single" w:sz="8" w:color="0000EE"/>
            </w:tcBorders>
            <w:gridSpan w:val="12"/>
          </w:tcPr>
          <w:p>
            <w:pPr>
              <w:spacing w:after="0"/>
              <w:rPr>
                <w:rFonts w:ascii="Arial" w:cs="Arial" w:eastAsia="Arial" w:hAnsi="Arial"/>
                <w:sz w:val="17"/>
                <w:szCs w:val="17"/>
                <w:color w:val="0000EE"/>
                <w:w w:val="90"/>
              </w:rPr>
            </w:pPr>
            <w:hyperlink w:anchor="page74">
              <w:r>
                <w:rPr>
                  <w:rFonts w:ascii="Arial" w:cs="Arial" w:eastAsia="Arial" w:hAnsi="Arial"/>
                  <w:sz w:val="17"/>
                  <w:szCs w:val="17"/>
                  <w:color w:val="0000EE"/>
                  <w:w w:val="90"/>
                </w:rPr>
                <w:t>Defaults Upon Senior Securities</w:t>
              </w:r>
            </w:hyperlink>
          </w:p>
        </w:tc>
        <w:tc>
          <w:tcPr>
            <w:tcW w:w="5400" w:type="dxa"/>
            <w:vAlign w:val="bottom"/>
            <w:gridSpan w:val="7"/>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387"/>
        </w:trPr>
        <w:tc>
          <w:tcPr>
            <w:tcW w:w="480" w:type="dxa"/>
            <w:vAlign w:val="bottom"/>
          </w:tcPr>
          <w:p>
            <w:pPr>
              <w:spacing w:after="0"/>
              <w:rPr>
                <w:rFonts w:ascii="Arial" w:cs="Arial" w:eastAsia="Arial" w:hAnsi="Arial"/>
                <w:sz w:val="17"/>
                <w:szCs w:val="17"/>
                <w:color w:val="0000EE"/>
                <w:w w:val="88"/>
              </w:rPr>
            </w:pPr>
            <w:hyperlink w:anchor="page74">
              <w:r>
                <w:rPr>
                  <w:rFonts w:ascii="Arial" w:cs="Arial" w:eastAsia="Arial" w:hAnsi="Arial"/>
                  <w:sz w:val="17"/>
                  <w:szCs w:val="17"/>
                  <w:color w:val="0000EE"/>
                  <w:w w:val="88"/>
                </w:rPr>
                <w:t>Item 4.</w:t>
              </w:r>
            </w:hyperlink>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0" w:type="dxa"/>
            <w:vAlign w:val="bottom"/>
            <w:gridSpan w:val="19"/>
          </w:tcPr>
          <w:p>
            <w:pPr>
              <w:spacing w:after="0"/>
              <w:rPr>
                <w:rFonts w:ascii="Arial" w:cs="Arial" w:eastAsia="Arial" w:hAnsi="Arial"/>
                <w:sz w:val="17"/>
                <w:szCs w:val="17"/>
                <w:color w:val="0000EE"/>
              </w:rPr>
            </w:pPr>
            <w:hyperlink w:anchor="page74">
              <w:r>
                <w:rPr>
                  <w:rFonts w:ascii="Arial" w:cs="Arial" w:eastAsia="Arial" w:hAnsi="Arial"/>
                  <w:sz w:val="17"/>
                  <w:szCs w:val="17"/>
                  <w:color w:val="0000EE"/>
                </w:rPr>
                <w:t>Mine Safety Disclosures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387"/>
        </w:trPr>
        <w:tc>
          <w:tcPr>
            <w:tcW w:w="480" w:type="dxa"/>
            <w:vAlign w:val="bottom"/>
            <w:tcBorders>
              <w:top w:val="single" w:sz="8" w:color="0000EE"/>
            </w:tcBorders>
          </w:tcPr>
          <w:p>
            <w:pPr>
              <w:spacing w:after="0"/>
              <w:rPr>
                <w:rFonts w:ascii="Arial" w:cs="Arial" w:eastAsia="Arial" w:hAnsi="Arial"/>
                <w:sz w:val="17"/>
                <w:szCs w:val="17"/>
                <w:color w:val="0000EE"/>
                <w:w w:val="88"/>
              </w:rPr>
            </w:pPr>
            <w:hyperlink w:anchor="page74">
              <w:r>
                <w:rPr>
                  <w:rFonts w:ascii="Arial" w:cs="Arial" w:eastAsia="Arial" w:hAnsi="Arial"/>
                  <w:sz w:val="17"/>
                  <w:szCs w:val="17"/>
                  <w:color w:val="0000EE"/>
                  <w:w w:val="88"/>
                </w:rPr>
                <w:t>Item 5.</w:t>
              </w:r>
            </w:hyperlink>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Borders>
              <w:top w:val="single" w:sz="8" w:color="0000EE"/>
            </w:tcBorders>
            <w:gridSpan w:val="7"/>
          </w:tcPr>
          <w:p>
            <w:pPr>
              <w:spacing w:after="0"/>
              <w:rPr>
                <w:rFonts w:ascii="Arial" w:cs="Arial" w:eastAsia="Arial" w:hAnsi="Arial"/>
                <w:sz w:val="17"/>
                <w:szCs w:val="17"/>
                <w:color w:val="0000EE"/>
              </w:rPr>
            </w:pPr>
            <w:hyperlink w:anchor="page74">
              <w:r>
                <w:rPr>
                  <w:rFonts w:ascii="Arial" w:cs="Arial" w:eastAsia="Arial" w:hAnsi="Arial"/>
                  <w:sz w:val="17"/>
                  <w:szCs w:val="17"/>
                  <w:color w:val="0000EE"/>
                </w:rPr>
                <w:t>Other Information</w:t>
              </w:r>
            </w:hyperlink>
          </w:p>
        </w:tc>
        <w:tc>
          <w:tcPr>
            <w:tcW w:w="5940" w:type="dxa"/>
            <w:vAlign w:val="bottom"/>
            <w:gridSpan w:val="1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387"/>
        </w:trPr>
        <w:tc>
          <w:tcPr>
            <w:tcW w:w="480" w:type="dxa"/>
            <w:vAlign w:val="bottom"/>
            <w:tcBorders>
              <w:top w:val="single" w:sz="8" w:color="0000EE"/>
            </w:tcBorders>
          </w:tcPr>
          <w:p>
            <w:pPr>
              <w:spacing w:after="0"/>
              <w:rPr>
                <w:rFonts w:ascii="Arial" w:cs="Arial" w:eastAsia="Arial" w:hAnsi="Arial"/>
                <w:sz w:val="17"/>
                <w:szCs w:val="17"/>
                <w:color w:val="0000EE"/>
                <w:w w:val="88"/>
              </w:rPr>
            </w:pPr>
            <w:hyperlink w:anchor="page75">
              <w:r>
                <w:rPr>
                  <w:rFonts w:ascii="Arial" w:cs="Arial" w:eastAsia="Arial" w:hAnsi="Arial"/>
                  <w:sz w:val="17"/>
                  <w:szCs w:val="17"/>
                  <w:color w:val="0000EE"/>
                  <w:w w:val="88"/>
                </w:rPr>
                <w:t>Item 6.</w:t>
              </w:r>
            </w:hyperlink>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top w:val="single" w:sz="8" w:color="0000EE"/>
            </w:tcBorders>
            <w:gridSpan w:val="3"/>
          </w:tcPr>
          <w:p>
            <w:pPr>
              <w:spacing w:after="0"/>
              <w:rPr>
                <w:rFonts w:ascii="Arial" w:cs="Arial" w:eastAsia="Arial" w:hAnsi="Arial"/>
                <w:sz w:val="17"/>
                <w:szCs w:val="17"/>
                <w:color w:val="0000EE"/>
              </w:rPr>
            </w:pPr>
            <w:hyperlink w:anchor="page75">
              <w:r>
                <w:rPr>
                  <w:rFonts w:ascii="Arial" w:cs="Arial" w:eastAsia="Arial" w:hAnsi="Arial"/>
                  <w:sz w:val="17"/>
                  <w:szCs w:val="17"/>
                  <w:color w:val="0000EE"/>
                </w:rPr>
                <w:t>Exhibits</w:t>
              </w:r>
            </w:hyperlink>
          </w:p>
        </w:tc>
        <w:tc>
          <w:tcPr>
            <w:tcW w:w="6360" w:type="dxa"/>
            <w:vAlign w:val="bottom"/>
            <w:gridSpan w:val="1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40" w:type="dxa"/>
            <w:vAlign w:val="bottom"/>
            <w:gridSpan w:val="1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0" w:type="dxa"/>
            <w:vAlign w:val="bottom"/>
            <w:gridSpan w:val="19"/>
          </w:tcPr>
          <w:p>
            <w:pPr>
              <w:spacing w:after="0"/>
              <w:rPr>
                <w:sz w:val="20"/>
                <w:szCs w:val="20"/>
                <w:color w:val="auto"/>
              </w:rPr>
            </w:pPr>
            <w:r>
              <w:rPr>
                <w:rFonts w:ascii="Arial" w:cs="Arial" w:eastAsia="Arial" w:hAnsi="Arial"/>
                <w:sz w:val="17"/>
                <w:szCs w:val="17"/>
                <w:color w:val="auto"/>
              </w:rPr>
              <w:t>Signatures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3"/>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gridSpan w:val="17"/>
          </w:tcPr>
          <w:p>
            <w:pPr>
              <w:jc w:val="center"/>
              <w:ind w:left="3515"/>
              <w:spacing w:after="0"/>
              <w:rPr>
                <w:sz w:val="20"/>
                <w:szCs w:val="20"/>
                <w:color w:val="auto"/>
              </w:rPr>
            </w:pPr>
            <w:r>
              <w:rPr>
                <w:rFonts w:ascii="Arial" w:cs="Arial" w:eastAsia="Arial" w:hAnsi="Arial"/>
                <w:sz w:val="17"/>
                <w:szCs w:val="17"/>
                <w:color w:val="auto"/>
                <w:w w:val="84"/>
              </w:rPr>
              <w:t>2</w:t>
            </w:r>
          </w:p>
        </w:tc>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7" w:right="1419" w:bottom="1440" w:gutter="0" w:footer="0" w:header="0"/>
        </w:sectPr>
      </w:pPr>
    </w:p>
    <w:bookmarkStart w:id="2" w:name="page3"/>
    <w:bookmarkEnd w:id="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INTRODUCTORY NOTE</w:t>
      </w:r>
    </w:p>
    <w:p>
      <w:pPr>
        <w:spacing w:after="0" w:line="215" w:lineRule="exact"/>
        <w:rPr>
          <w:sz w:val="20"/>
          <w:szCs w:val="20"/>
          <w:color w:val="auto"/>
        </w:rPr>
      </w:pPr>
    </w:p>
    <w:p>
      <w:pPr>
        <w:ind w:right="80" w:firstLine="610"/>
        <w:spacing w:after="0" w:line="254" w:lineRule="auto"/>
        <w:rPr>
          <w:sz w:val="20"/>
          <w:szCs w:val="20"/>
          <w:color w:val="auto"/>
        </w:rPr>
      </w:pPr>
      <w:r>
        <w:rPr>
          <w:rFonts w:ascii="Arial" w:cs="Arial" w:eastAsia="Arial" w:hAnsi="Arial"/>
          <w:sz w:val="17"/>
          <w:szCs w:val="17"/>
          <w:color w:val="auto"/>
        </w:rPr>
        <w:t>The financial statements and other disclosures contained in this report include those of Tradeweb Markets Inc., which is the registrant, and those of its consolidating subsidiaries, including Tradeweb Markets LLC, which became the principal operating subsidiary of Tradeweb Markets Inc. in a series of reorganization transactions (the “Reorganization Transactions”) that were completed in connection with Tradeweb Markets Inc.’s initial public offering (“IPO”). For more information regarding the transactions described above, see Note 1 to our unaudited consolidated financial statements included elsewhere in this Quarterly Report on Form 10-Q.</w:t>
      </w:r>
    </w:p>
    <w:p>
      <w:pPr>
        <w:spacing w:after="0" w:line="182" w:lineRule="exact"/>
        <w:rPr>
          <w:sz w:val="20"/>
          <w:szCs w:val="20"/>
          <w:color w:val="auto"/>
        </w:rPr>
      </w:pPr>
    </w:p>
    <w:p>
      <w:pPr>
        <w:ind w:firstLine="610"/>
        <w:spacing w:after="0" w:line="271" w:lineRule="auto"/>
        <w:rPr>
          <w:sz w:val="20"/>
          <w:szCs w:val="20"/>
          <w:color w:val="auto"/>
        </w:rPr>
      </w:pPr>
      <w:r>
        <w:rPr>
          <w:rFonts w:ascii="Arial" w:cs="Arial" w:eastAsia="Arial" w:hAnsi="Arial"/>
          <w:sz w:val="16"/>
          <w:szCs w:val="16"/>
          <w:color w:val="auto"/>
        </w:rPr>
        <w:t>The financial statements and other disclosures contained in this Quarterly Report on Form 10-Q relate to periods that ended both prior to and after the completion of the Reorganization Transactions and the IPO. The IPO closed on April 8, 2019. As a result of the Reorganization Transactions completed in connection with the IPO, on April 4, 2019, Tradeweb Markets Inc. became a holding company whose sole material asset consists of its equity interest in Tradeweb Markets LLC.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68" w:lineRule="exact"/>
        <w:rPr>
          <w:sz w:val="20"/>
          <w:szCs w:val="20"/>
          <w:color w:val="auto"/>
        </w:rPr>
      </w:pPr>
    </w:p>
    <w:p>
      <w:pPr>
        <w:ind w:firstLine="610"/>
        <w:spacing w:after="0" w:line="268" w:lineRule="auto"/>
        <w:rPr>
          <w:sz w:val="20"/>
          <w:szCs w:val="20"/>
          <w:color w:val="auto"/>
        </w:rPr>
      </w:pPr>
      <w:r>
        <w:rPr>
          <w:rFonts w:ascii="Arial" w:cs="Arial" w:eastAsia="Arial" w:hAnsi="Arial"/>
          <w:sz w:val="16"/>
          <w:szCs w:val="16"/>
          <w:color w:val="auto"/>
        </w:rPr>
        <w:t>The unaudited consolidated financial statements and other financial disclosures included in this Quarterly Report on Form 10-Q relating to periods prior to and including March 31, 2019, which we sometimes refer to as the “pre-IPO period,” reflect the results of operations, financial position and cash flows of Tradeweb Markets LLC, the predecessor of Tradeweb Markets Inc. for financial reporting purposes, and its consolidating subsidiaries. The unaudited consolidated financial statements and other financial disclosures included in this Quarterly Report on Form 10-Q relating to periods beginning on April 1, 2019, and through and including June 30, 2019, which we sometimes refer to as the “post-IPO period,” reflect the results of operations, financial position and cash flows of Tradeweb Markets Inc. and its consolidating subsidiaries, including the consolidation of its investment in Tradeweb Markets LLC. As a result, for financial reporting purposes, the pre-IPO period excludes, and the post-IPO period includes, our financial results from April 1, 2019 through April 3, 2019, which are not material. The unaudited consolidated financial statements and other financial disclosures in this Quarterly Report on Form 10-Q do not reflect what the results of operations, financial position or cash flows of would have been had the Reorganization Transactions, including the IPO, taken place at the beginning of the periods presented.</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used in this Quarterly Report on Form 10-Q, unless the context otherwise requires, references to:</w:t>
      </w:r>
    </w:p>
    <w:p>
      <w:pPr>
        <w:spacing w:after="0" w:line="211" w:lineRule="exact"/>
        <w:rPr>
          <w:sz w:val="20"/>
          <w:szCs w:val="20"/>
          <w:color w:val="auto"/>
        </w:rPr>
      </w:pPr>
    </w:p>
    <w:p>
      <w:pPr>
        <w:ind w:left="600" w:firstLine="25"/>
        <w:spacing w:after="0" w:line="255" w:lineRule="auto"/>
        <w:rPr>
          <w:sz w:val="20"/>
          <w:szCs w:val="20"/>
          <w:color w:val="auto"/>
        </w:rPr>
      </w:pPr>
      <w:r>
        <w:rPr>
          <w:rFonts w:ascii="Arial" w:cs="Arial" w:eastAsia="Arial" w:hAnsi="Arial"/>
          <w:sz w:val="17"/>
          <w:szCs w:val="17"/>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TWM LLC and all of its subsidiaries and any predecessor entities.</w:t>
      </w:r>
    </w:p>
    <w:p>
      <w:pPr>
        <w:spacing w:after="0" w:line="182" w:lineRule="exact"/>
        <w:rPr>
          <w:sz w:val="20"/>
          <w:szCs w:val="20"/>
          <w:color w:val="auto"/>
        </w:rPr>
      </w:pPr>
    </w:p>
    <w:p>
      <w:pPr>
        <w:ind w:left="600" w:right="140" w:firstLine="25"/>
        <w:spacing w:after="0" w:line="278" w:lineRule="auto"/>
        <w:rPr>
          <w:sz w:val="20"/>
          <w:szCs w:val="20"/>
          <w:color w:val="auto"/>
        </w:rPr>
      </w:pPr>
      <w:r>
        <w:rPr>
          <w:rFonts w:ascii="Arial" w:cs="Arial" w:eastAsia="Arial" w:hAnsi="Arial"/>
          <w:sz w:val="16"/>
          <w:szCs w:val="16"/>
          <w:color w:val="auto"/>
        </w:rPr>
        <w:t>“Bank Stockholders” refer collectively to entities affiliated with the following clients: Barclays Capital Inc., Citigroup Global Markets Inc., Credit Suisse Securities (USA) LLC, Deutsche Bank Securities Inc., Goldman Sachs &amp; Co. LLC, J.P. Morgan Securities LLC, Merrill Lynch, Pierce, Fenner &amp; Smith Incorporated (a subsidiary of Bank of America Corporation), Morgan Stanley &amp; Co. LLC, RBS Securities Inc., UBS Securities LLC and Wells Fargo Securities, LLC.</w:t>
      </w:r>
    </w:p>
    <w:p>
      <w:pPr>
        <w:spacing w:after="0" w:line="164" w:lineRule="exact"/>
        <w:rPr>
          <w:sz w:val="20"/>
          <w:szCs w:val="20"/>
          <w:color w:val="auto"/>
        </w:rPr>
      </w:pPr>
    </w:p>
    <w:p>
      <w:pPr>
        <w:ind w:left="600" w:right="100" w:firstLine="25"/>
        <w:spacing w:after="0" w:line="302" w:lineRule="auto"/>
        <w:rPr>
          <w:sz w:val="20"/>
          <w:szCs w:val="20"/>
          <w:color w:val="auto"/>
        </w:rPr>
      </w:pPr>
      <w:r>
        <w:rPr>
          <w:rFonts w:ascii="Arial" w:cs="Arial" w:eastAsia="Arial" w:hAnsi="Arial"/>
          <w:sz w:val="15"/>
          <w:szCs w:val="15"/>
          <w:color w:val="auto"/>
        </w:rPr>
        <w:t>“Continuing LLC Owners” refer collectively to those Original LLC Owners, including an indirect subsidiary of Refinitiv (as defined below), the Bank Stockholders and members of management, that continued to own LLC Interests immediately prior to the closing of the IPO and who received shares of our Class C common stock, shares of our Class D common stock or a combination of both, as the case may be, in connection with the completion of the Reorganization Transactions.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 w:name="page4"/>
    <w:bookmarkEnd w:id="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left="600" w:firstLine="25"/>
        <w:spacing w:after="0" w:line="261" w:lineRule="auto"/>
        <w:rPr>
          <w:sz w:val="20"/>
          <w:szCs w:val="20"/>
          <w:color w:val="auto"/>
        </w:rPr>
      </w:pPr>
      <w:r>
        <w:rPr>
          <w:rFonts w:ascii="Arial" w:cs="Arial" w:eastAsia="Arial" w:hAnsi="Arial"/>
          <w:sz w:val="17"/>
          <w:szCs w:val="17"/>
          <w:color w:val="auto"/>
        </w:rPr>
        <w:t>“Investor Group” refer to certain investment funds affiliated with The Blackstone Group L.P., an affiliate of Canada Pension Plan Investment Board, an affiliate of GIC Special Investments Pte. Ltd. and certain co-investors, which collectively hold indirectly a 55% ownership interest in Refinitiv (as defined below).</w:t>
      </w:r>
    </w:p>
    <w:p>
      <w:pPr>
        <w:spacing w:after="0" w:line="176" w:lineRule="exact"/>
        <w:rPr>
          <w:sz w:val="20"/>
          <w:szCs w:val="20"/>
          <w:color w:val="auto"/>
        </w:rPr>
      </w:pPr>
    </w:p>
    <w:p>
      <w:pPr>
        <w:ind w:left="600" w:right="420" w:firstLine="25"/>
        <w:spacing w:after="0" w:line="273" w:lineRule="auto"/>
        <w:rPr>
          <w:sz w:val="20"/>
          <w:szCs w:val="20"/>
          <w:color w:val="auto"/>
        </w:rPr>
      </w:pPr>
      <w:r>
        <w:rPr>
          <w:rFonts w:ascii="Arial" w:cs="Arial" w:eastAsia="Arial" w:hAnsi="Arial"/>
          <w:sz w:val="17"/>
          <w:szCs w:val="17"/>
          <w:color w:val="auto"/>
        </w:rPr>
        <w:t>“LLC Interests” refer to the single class of common membership interests of TWM LLC issued in connection with the Reorganization Transactions.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“Original LLC Owners” refer to the owners of TWM LLC prior to the Reorganization Transactions.</w:t>
      </w:r>
    </w:p>
    <w:p>
      <w:pPr>
        <w:spacing w:after="0" w:line="211" w:lineRule="exact"/>
        <w:rPr>
          <w:sz w:val="20"/>
          <w:szCs w:val="20"/>
          <w:color w:val="auto"/>
        </w:rPr>
      </w:pPr>
    </w:p>
    <w:p>
      <w:pPr>
        <w:ind w:left="600" w:right="100" w:firstLine="25"/>
        <w:spacing w:after="0" w:line="285" w:lineRule="auto"/>
        <w:rPr>
          <w:sz w:val="20"/>
          <w:szCs w:val="20"/>
          <w:color w:val="auto"/>
        </w:rPr>
      </w:pPr>
      <w:r>
        <w:rPr>
          <w:rFonts w:ascii="Arial" w:cs="Arial" w:eastAsia="Arial" w:hAnsi="Arial"/>
          <w:sz w:val="16"/>
          <w:szCs w:val="16"/>
          <w:color w:val="auto"/>
        </w:rPr>
        <w:t>“Refinitiv” refer to Refinitiv Holdings Limited, and unless otherwise stated or the context otherwise requires, all of its subsidiaries, which owns substantially all of the former financial and risk business of Thomson Reuters (as defined below), including an indirect majority ownership interest in Tradeweb, and is controlled by the Investor Group.</w:t>
      </w:r>
    </w:p>
    <w:p>
      <w:pPr>
        <w:spacing w:after="0" w:line="158" w:lineRule="exact"/>
        <w:rPr>
          <w:sz w:val="20"/>
          <w:szCs w:val="20"/>
          <w:color w:val="auto"/>
        </w:rPr>
      </w:pPr>
    </w:p>
    <w:p>
      <w:pPr>
        <w:ind w:left="600" w:right="380" w:firstLine="25"/>
        <w:spacing w:after="0" w:line="261" w:lineRule="auto"/>
        <w:rPr>
          <w:sz w:val="20"/>
          <w:szCs w:val="20"/>
          <w:color w:val="auto"/>
        </w:rPr>
      </w:pPr>
      <w:r>
        <w:rPr>
          <w:rFonts w:ascii="Arial" w:cs="Arial" w:eastAsia="Arial" w:hAnsi="Arial"/>
          <w:sz w:val="17"/>
          <w:szCs w:val="17"/>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“Thomson Reuters” refer to Thomson Reuters Corporation, which indirectly holds a 45% ownership interest in Refinitiv.</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15" w:lineRule="exact"/>
        <w:rPr>
          <w:sz w:val="20"/>
          <w:szCs w:val="20"/>
          <w:color w:val="auto"/>
        </w:rPr>
      </w:pPr>
    </w:p>
    <w:p>
      <w:pPr>
        <w:ind w:firstLine="338"/>
        <w:spacing w:after="0" w:line="269"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potential tax savings we may realize as a result of our organizational structure, our dividend policy and our expectations, beliefs, plans, strategies, objectives, prospects or assumptions regarding future events, including the pending acquisition of Refinitiv by London Stock Exchange Group plc, our performance or otherwise, contained in this Quarterly Report on Form 10-Q are forward-looking statements.</w:t>
      </w:r>
    </w:p>
    <w:p>
      <w:pPr>
        <w:spacing w:after="0" w:line="174" w:lineRule="exact"/>
        <w:rPr>
          <w:sz w:val="20"/>
          <w:szCs w:val="20"/>
          <w:color w:val="auto"/>
        </w:rPr>
      </w:pPr>
    </w:p>
    <w:p>
      <w:pPr>
        <w:ind w:right="60" w:firstLine="338"/>
        <w:spacing w:after="0" w:line="273"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may cause our actual results, performance or achievements to differ materially from those expressed or implied by these forward-looking statements, or could affect our share price. Some of the factors that could cause actual results to differ materially from those expressed or implied by the forward-looking statements include:</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changes in economic, political and market conditions and the impact of these changes on trading volumes;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failure to compete successfully;</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failure to adapt our business effectively to keep pace with industry changes;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consolidation and concentration in the financial services industry;</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dependence on dealer clients that are also stockholders;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 w:name="page5"/>
    <w:bookmarkEnd w:id="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dependence on third parties for certain market data and certain key functions;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inability to maintain and grow the capacity of our trading platforms, systems and infrastructure;</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design defects, errors, failures or delays with our platforms or solutions;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systems failures, interruptions, delays in services, catastrophic events and resulting interruptions;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ability to implement our business strategies profitably;</w:t>
      </w:r>
    </w:p>
    <w:p>
      <w:pPr>
        <w:spacing w:after="0" w:line="211" w:lineRule="exact"/>
        <w:rPr>
          <w:sz w:val="20"/>
          <w:szCs w:val="20"/>
          <w:color w:val="auto"/>
        </w:rPr>
      </w:pPr>
    </w:p>
    <w:p>
      <w:pPr>
        <w:ind w:left="660" w:right="100" w:firstLine="26"/>
        <w:spacing w:after="0" w:line="273" w:lineRule="auto"/>
        <w:rPr>
          <w:sz w:val="20"/>
          <w:szCs w:val="20"/>
          <w:color w:val="auto"/>
        </w:rPr>
      </w:pPr>
      <w:r>
        <w:rPr>
          <w:rFonts w:ascii="Arial" w:cs="Arial" w:eastAsia="Arial" w:hAnsi="Arial"/>
          <w:sz w:val="17"/>
          <w:szCs w:val="17"/>
          <w:color w:val="auto"/>
        </w:rPr>
        <w:t>our ability to successfully integrate any acquisition or to realize benefits from any strategic alliances, partnerships or joint ventures;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ability to retain the services of certain members of our management;</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inadequate protection of our intellectual property;</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extensive regulation of our industry;</w:t>
      </w:r>
    </w:p>
    <w:p>
      <w:pPr>
        <w:spacing w:after="0" w:line="211" w:lineRule="exact"/>
        <w:rPr>
          <w:sz w:val="20"/>
          <w:szCs w:val="20"/>
          <w:color w:val="auto"/>
        </w:rPr>
      </w:pPr>
    </w:p>
    <w:p>
      <w:pPr>
        <w:ind w:left="660" w:right="200" w:firstLine="26"/>
        <w:spacing w:after="0" w:line="285" w:lineRule="auto"/>
        <w:rPr>
          <w:sz w:val="20"/>
          <w:szCs w:val="20"/>
          <w:color w:val="auto"/>
        </w:rPr>
      </w:pPr>
      <w:r>
        <w:rPr>
          <w:rFonts w:ascii="Arial" w:cs="Arial" w:eastAsia="Arial" w:hAnsi="Arial"/>
          <w:sz w:val="16"/>
          <w:szCs w:val="16"/>
          <w:color w:val="auto"/>
        </w:rPr>
        <w:t>limitations on operating our business and incurring additional indebtedness as a result of covenant restrictions under our $500.0 million senior secured revolving credit facility (the “Revolving Credit Facility”) with Citibank, N.A., as administrative agent and collateral agent, and the other lenders party thereto, and certain Refinitiv indebtedness;</w:t>
      </w:r>
    </w:p>
    <w:p>
      <w:pPr>
        <w:spacing w:after="0" w:line="158" w:lineRule="exact"/>
        <w:rPr>
          <w:sz w:val="20"/>
          <w:szCs w:val="20"/>
          <w:color w:val="auto"/>
        </w:rPr>
      </w:pPr>
    </w:p>
    <w:p>
      <w:pPr>
        <w:jc w:val="both"/>
        <w:ind w:left="660" w:right="520" w:firstLine="26"/>
        <w:spacing w:after="0" w:line="261" w:lineRule="auto"/>
        <w:rPr>
          <w:sz w:val="20"/>
          <w:szCs w:val="20"/>
          <w:color w:val="auto"/>
        </w:rPr>
      </w:pPr>
      <w:r>
        <w:rPr>
          <w:rFonts w:ascii="Arial" w:cs="Arial" w:eastAsia="Arial" w:hAnsi="Arial"/>
          <w:sz w:val="17"/>
          <w:szCs w:val="17"/>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ability to realize any benefit from our organizational structure;</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Refinitiv’s control of us and our status as a controlled company; and</w:t>
      </w:r>
    </w:p>
    <w:p>
      <w:pPr>
        <w:spacing w:after="0" w:line="211" w:lineRule="exact"/>
        <w:rPr>
          <w:sz w:val="20"/>
          <w:szCs w:val="20"/>
          <w:color w:val="auto"/>
        </w:rPr>
      </w:pPr>
    </w:p>
    <w:p>
      <w:pPr>
        <w:ind w:left="680" w:right="180" w:hanging="377"/>
        <w:spacing w:after="0" w:line="285" w:lineRule="auto"/>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risks and uncertainties, including those listed under “Risk Factors” in our final prospectus, dated April 3, 2019 (the “IPO Prospectus”), filed with the Securities and Exchange Commission (“SEC”) pursuant to Rule 424(b) under the Securities Act, relating to our IPO, and in other filings we may make from time to time with the SEC.</w:t>
      </w:r>
    </w:p>
    <w:p>
      <w:pPr>
        <w:spacing w:after="0" w:line="158" w:lineRule="exact"/>
        <w:rPr>
          <w:sz w:val="20"/>
          <w:szCs w:val="20"/>
          <w:color w:val="auto"/>
        </w:rPr>
      </w:pPr>
    </w:p>
    <w:p>
      <w:pPr>
        <w:ind w:firstLine="338"/>
        <w:spacing w:after="0" w:line="253" w:lineRule="auto"/>
        <w:rPr>
          <w:sz w:val="20"/>
          <w:szCs w:val="20"/>
          <w:color w:val="auto"/>
        </w:rPr>
      </w:pPr>
      <w:r>
        <w:rPr>
          <w:rFonts w:ascii="Arial" w:cs="Arial" w:eastAsia="Arial" w:hAnsi="Arial"/>
          <w:sz w:val="17"/>
          <w:szCs w:val="17"/>
          <w:color w:val="auto"/>
        </w:rPr>
        <w:t>Given these risks and uncertainties, you are cautioned not to place undue reliance on such forward-looking statements. The forward-looking statements contained in this Quarterly Report on Form 10-Q are not guarantees of future performance and our actual results of operations, financial condition or liquidity, and the development of the industry and markets in which we operate, may differ materially from the forward-looking statements contained in this Quarterly Report on Form 10-Q. In addition, even if our results of operations, financial condition or liquidity, and events in the industry and markets in which we operate, are consistent with the forward-looking statements contained in this Quarterly Report on Form 10-Q, they may not be predictive of results or developments in future periods.</w:t>
      </w:r>
    </w:p>
    <w:p>
      <w:pPr>
        <w:spacing w:after="0" w:line="184" w:lineRule="exact"/>
        <w:rPr>
          <w:sz w:val="20"/>
          <w:szCs w:val="20"/>
          <w:color w:val="auto"/>
        </w:rPr>
      </w:pPr>
    </w:p>
    <w:p>
      <w:pPr>
        <w:ind w:right="140" w:firstLine="338"/>
        <w:spacing w:after="0" w:line="257" w:lineRule="auto"/>
        <w:rPr>
          <w:sz w:val="20"/>
          <w:szCs w:val="20"/>
          <w:color w:val="auto"/>
        </w:rPr>
      </w:pPr>
      <w:r>
        <w:rPr>
          <w:rFonts w:ascii="Arial" w:cs="Arial" w:eastAsia="Arial" w:hAnsi="Arial"/>
          <w:sz w:val="17"/>
          <w:szCs w:val="17"/>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179" w:lineRule="exact"/>
        <w:rPr>
          <w:sz w:val="20"/>
          <w:szCs w:val="20"/>
          <w:color w:val="auto"/>
        </w:rPr>
      </w:pPr>
    </w:p>
    <w:p>
      <w:pPr>
        <w:jc w:val="both"/>
        <w:ind w:right="220" w:firstLine="338"/>
        <w:spacing w:after="0" w:line="285" w:lineRule="auto"/>
        <w:rPr>
          <w:sz w:val="20"/>
          <w:szCs w:val="20"/>
          <w:color w:val="auto"/>
        </w:rPr>
      </w:pPr>
      <w:r>
        <w:rPr>
          <w:rFonts w:ascii="Arial" w:cs="Arial" w:eastAsia="Arial" w:hAnsi="Arial"/>
          <w:sz w:val="16"/>
          <w:szCs w:val="16"/>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5" w:name="page6"/>
    <w:bookmarkEnd w:id="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jc w:val="both"/>
        <w:ind w:right="79"/>
        <w:spacing w:after="0" w:line="257" w:lineRule="auto"/>
        <w:rPr>
          <w:sz w:val="20"/>
          <w:szCs w:val="20"/>
          <w:color w:val="auto"/>
        </w:rPr>
      </w:pPr>
      <w:r>
        <w:rPr>
          <w:rFonts w:ascii="Arial" w:cs="Arial" w:eastAsia="Arial" w:hAnsi="Arial"/>
          <w:sz w:val="17"/>
          <w:szCs w:val="17"/>
          <w:color w:val="auto"/>
        </w:rPr>
        <w:t>media channels: Instagram, LinkedIn and Twitter. The information that we post through these social media channels may be deemed material. As a result, we encourage investors, the media and others interested in Tradeweb to monitor these social media channels in addition to following our press releases, SEC filings and public conference calls and webcasts. These social media channels may be updated from time to time on our investor relations website.</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6" w:name="page7"/>
    <w:bookmarkEnd w:id="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 I — FINANCIAL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Tradeweb Markets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Financial Condition</w:t>
      </w:r>
    </w:p>
    <w:p>
      <w:pPr>
        <w:jc w:val="center"/>
        <w:spacing w:after="0" w:line="237" w:lineRule="auto"/>
        <w:rPr>
          <w:sz w:val="20"/>
          <w:szCs w:val="20"/>
          <w:color w:val="auto"/>
        </w:rPr>
      </w:pPr>
      <w:r>
        <w:rPr>
          <w:rFonts w:ascii="Arial" w:cs="Arial" w:eastAsia="Arial" w:hAnsi="Arial"/>
          <w:sz w:val="19"/>
          <w:szCs w:val="19"/>
          <w:b w:val="1"/>
          <w:bCs w:val="1"/>
          <w:color w:val="auto"/>
        </w:rPr>
        <w:t>(in thousands)</w:t>
      </w:r>
    </w:p>
    <w:p>
      <w:pPr>
        <w:jc w:val="center"/>
        <w:spacing w:after="0"/>
        <w:rPr>
          <w:sz w:val="20"/>
          <w:szCs w:val="20"/>
          <w:color w:val="auto"/>
        </w:rPr>
      </w:pPr>
      <w:r>
        <w:rPr>
          <w:rFonts w:ascii="Arial" w:cs="Arial" w:eastAsia="Arial" w:hAnsi="Arial"/>
          <w:sz w:val="19"/>
          <w:szCs w:val="19"/>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9"/>
              </w:rPr>
              <w:t>Successor</w:t>
            </w:r>
          </w:p>
        </w:tc>
      </w:tr>
      <w:tr>
        <w:trPr>
          <w:trHeight w:val="163"/>
        </w:trPr>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June 30,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7"/>
              </w:rPr>
              <w:t>December 31,</w:t>
            </w:r>
          </w:p>
        </w:tc>
        <w:tc>
          <w:tcPr>
            <w:tcW w:w="20" w:type="dxa"/>
            <w:vAlign w:val="bottom"/>
          </w:tcPr>
          <w:p>
            <w:pPr>
              <w:spacing w:after="0"/>
              <w:rPr>
                <w:sz w:val="14"/>
                <w:szCs w:val="14"/>
                <w:color w:val="auto"/>
              </w:rPr>
            </w:pPr>
          </w:p>
        </w:tc>
      </w:tr>
      <w:tr>
        <w:trPr>
          <w:trHeight w:val="160"/>
        </w:trPr>
        <w:tc>
          <w:tcPr>
            <w:tcW w:w="68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3"/>
                <w:szCs w:val="13"/>
                <w:color w:val="auto"/>
              </w:rPr>
            </w:pPr>
          </w:p>
        </w:tc>
      </w:tr>
      <w:tr>
        <w:trPr>
          <w:trHeight w:val="132"/>
        </w:trPr>
        <w:tc>
          <w:tcPr>
            <w:tcW w:w="6800" w:type="dxa"/>
            <w:vAlign w:val="bottom"/>
            <w:shd w:val="clear" w:color="auto" w:fill="CCEEFF"/>
          </w:tcPr>
          <w:p>
            <w:pPr>
              <w:ind w:left="3180"/>
              <w:spacing w:after="0" w:line="133"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6800" w:type="dxa"/>
            <w:vAlign w:val="bottom"/>
          </w:tcPr>
          <w:p>
            <w:pPr>
              <w:spacing w:after="0" w:line="140" w:lineRule="exact"/>
              <w:rPr>
                <w:sz w:val="20"/>
                <w:szCs w:val="20"/>
                <w:color w:val="auto"/>
              </w:rPr>
            </w:pPr>
            <w:r>
              <w:rPr>
                <w:rFonts w:ascii="Arial" w:cs="Arial" w:eastAsia="Arial" w:hAnsi="Arial"/>
                <w:sz w:val="14"/>
                <w:szCs w:val="14"/>
                <w:color w:val="auto"/>
              </w:rPr>
              <w:t>Cash and cash equivalents</w:t>
            </w:r>
          </w:p>
        </w:tc>
        <w:tc>
          <w:tcPr>
            <w:tcW w:w="28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0" w:lineRule="exact"/>
              <w:rPr>
                <w:sz w:val="20"/>
                <w:szCs w:val="20"/>
                <w:color w:val="auto"/>
              </w:rPr>
            </w:pPr>
            <w:r>
              <w:rPr>
                <w:rFonts w:ascii="Arial" w:cs="Arial" w:eastAsia="Arial" w:hAnsi="Arial"/>
                <w:sz w:val="14"/>
                <w:szCs w:val="14"/>
                <w:color w:val="auto"/>
              </w:rPr>
              <w:t>313,582</w:t>
            </w:r>
          </w:p>
        </w:tc>
        <w:tc>
          <w:tcPr>
            <w:tcW w:w="22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0" w:lineRule="exact"/>
              <w:rPr>
                <w:sz w:val="20"/>
                <w:szCs w:val="20"/>
                <w:color w:val="auto"/>
              </w:rPr>
            </w:pPr>
            <w:r>
              <w:rPr>
                <w:rFonts w:ascii="Arial" w:cs="Arial" w:eastAsia="Arial" w:hAnsi="Arial"/>
                <w:sz w:val="14"/>
                <w:szCs w:val="14"/>
                <w:color w:val="auto"/>
              </w:rPr>
              <w:t>410,104</w:t>
            </w:r>
          </w:p>
        </w:tc>
        <w:tc>
          <w:tcPr>
            <w:tcW w:w="20" w:type="dxa"/>
            <w:vAlign w:val="bottom"/>
          </w:tcPr>
          <w:p>
            <w:pPr>
              <w:spacing w:after="0"/>
              <w:rPr>
                <w:sz w:val="12"/>
                <w:szCs w:val="12"/>
                <w:color w:val="auto"/>
              </w:rPr>
            </w:pPr>
          </w:p>
        </w:tc>
      </w:tr>
      <w:tr>
        <w:trPr>
          <w:trHeight w:val="140"/>
        </w:trPr>
        <w:tc>
          <w:tcPr>
            <w:tcW w:w="68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Restricted cash</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1,200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1,200</w:t>
            </w:r>
          </w:p>
        </w:tc>
        <w:tc>
          <w:tcPr>
            <w:tcW w:w="20" w:type="dxa"/>
            <w:vAlign w:val="bottom"/>
          </w:tcPr>
          <w:p>
            <w:pPr>
              <w:spacing w:after="0"/>
              <w:rPr>
                <w:sz w:val="12"/>
                <w:szCs w:val="12"/>
                <w:color w:val="auto"/>
              </w:rPr>
            </w:pPr>
          </w:p>
        </w:tc>
      </w:tr>
      <w:tr>
        <w:trPr>
          <w:trHeight w:val="140"/>
        </w:trPr>
        <w:tc>
          <w:tcPr>
            <w:tcW w:w="6800" w:type="dxa"/>
            <w:vAlign w:val="bottom"/>
          </w:tcPr>
          <w:p>
            <w:pPr>
              <w:spacing w:after="0" w:line="140" w:lineRule="exact"/>
              <w:rPr>
                <w:sz w:val="20"/>
                <w:szCs w:val="20"/>
                <w:color w:val="auto"/>
              </w:rPr>
            </w:pPr>
            <w:r>
              <w:rPr>
                <w:rFonts w:ascii="Arial" w:cs="Arial" w:eastAsia="Arial" w:hAnsi="Arial"/>
                <w:sz w:val="14"/>
                <w:szCs w:val="14"/>
                <w:color w:val="auto"/>
              </w:rPr>
              <w:t>Receivable from brokers and dealers and clearing organizations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0" w:lineRule="exact"/>
              <w:rPr>
                <w:sz w:val="20"/>
                <w:szCs w:val="20"/>
                <w:color w:val="auto"/>
              </w:rPr>
            </w:pPr>
            <w:r>
              <w:rPr>
                <w:rFonts w:ascii="Arial" w:cs="Arial" w:eastAsia="Arial" w:hAnsi="Arial"/>
                <w:sz w:val="14"/>
                <w:szCs w:val="14"/>
                <w:color w:val="auto"/>
              </w:rPr>
              <w:t>255,250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0" w:lineRule="exact"/>
              <w:rPr>
                <w:sz w:val="20"/>
                <w:szCs w:val="20"/>
                <w:color w:val="auto"/>
              </w:rPr>
            </w:pPr>
            <w:r>
              <w:rPr>
                <w:rFonts w:ascii="Arial" w:cs="Arial" w:eastAsia="Arial" w:hAnsi="Arial"/>
                <w:sz w:val="14"/>
                <w:szCs w:val="14"/>
                <w:color w:val="auto"/>
              </w:rPr>
              <w:t>174,591</w:t>
            </w:r>
          </w:p>
        </w:tc>
        <w:tc>
          <w:tcPr>
            <w:tcW w:w="20" w:type="dxa"/>
            <w:vAlign w:val="bottom"/>
          </w:tcPr>
          <w:p>
            <w:pPr>
              <w:spacing w:after="0"/>
              <w:rPr>
                <w:sz w:val="12"/>
                <w:szCs w:val="12"/>
                <w:color w:val="auto"/>
              </w:rPr>
            </w:pPr>
          </w:p>
        </w:tc>
      </w:tr>
      <w:tr>
        <w:trPr>
          <w:trHeight w:val="140"/>
        </w:trPr>
        <w:tc>
          <w:tcPr>
            <w:tcW w:w="68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Deposits with clearing organizations</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13,398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11,427</w:t>
            </w:r>
          </w:p>
        </w:tc>
        <w:tc>
          <w:tcPr>
            <w:tcW w:w="20" w:type="dxa"/>
            <w:vAlign w:val="bottom"/>
          </w:tcPr>
          <w:p>
            <w:pPr>
              <w:spacing w:after="0"/>
              <w:rPr>
                <w:sz w:val="12"/>
                <w:szCs w:val="12"/>
                <w:color w:val="auto"/>
              </w:rPr>
            </w:pPr>
          </w:p>
        </w:tc>
      </w:tr>
      <w:tr>
        <w:trPr>
          <w:trHeight w:val="140"/>
        </w:trPr>
        <w:tc>
          <w:tcPr>
            <w:tcW w:w="6800" w:type="dxa"/>
            <w:vAlign w:val="bottom"/>
          </w:tcPr>
          <w:p>
            <w:pPr>
              <w:spacing w:after="0" w:line="140" w:lineRule="exact"/>
              <w:rPr>
                <w:sz w:val="20"/>
                <w:szCs w:val="20"/>
                <w:color w:val="auto"/>
              </w:rPr>
            </w:pPr>
            <w:r>
              <w:rPr>
                <w:rFonts w:ascii="Arial" w:cs="Arial" w:eastAsia="Arial" w:hAnsi="Arial"/>
                <w:sz w:val="14"/>
                <w:szCs w:val="14"/>
                <w:color w:val="auto"/>
              </w:rPr>
              <w:t>Accounts receivable, net of allowance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0" w:lineRule="exact"/>
              <w:rPr>
                <w:sz w:val="20"/>
                <w:szCs w:val="20"/>
                <w:color w:val="auto"/>
              </w:rPr>
            </w:pPr>
            <w:r>
              <w:rPr>
                <w:rFonts w:ascii="Arial" w:cs="Arial" w:eastAsia="Arial" w:hAnsi="Arial"/>
                <w:sz w:val="14"/>
                <w:szCs w:val="14"/>
                <w:color w:val="auto"/>
              </w:rPr>
              <w:t>92,854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0" w:lineRule="exact"/>
              <w:rPr>
                <w:sz w:val="20"/>
                <w:szCs w:val="20"/>
                <w:color w:val="auto"/>
              </w:rPr>
            </w:pPr>
            <w:r>
              <w:rPr>
                <w:rFonts w:ascii="Arial" w:cs="Arial" w:eastAsia="Arial" w:hAnsi="Arial"/>
                <w:sz w:val="14"/>
                <w:szCs w:val="14"/>
                <w:color w:val="auto"/>
              </w:rPr>
              <w:t>87,192</w:t>
            </w:r>
          </w:p>
        </w:tc>
        <w:tc>
          <w:tcPr>
            <w:tcW w:w="20" w:type="dxa"/>
            <w:vAlign w:val="bottom"/>
          </w:tcPr>
          <w:p>
            <w:pPr>
              <w:spacing w:after="0"/>
              <w:rPr>
                <w:sz w:val="12"/>
                <w:szCs w:val="12"/>
                <w:color w:val="auto"/>
              </w:rPr>
            </w:pPr>
          </w:p>
        </w:tc>
      </w:tr>
      <w:tr>
        <w:trPr>
          <w:trHeight w:val="140"/>
        </w:trPr>
        <w:tc>
          <w:tcPr>
            <w:tcW w:w="68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89"/>
              </w:rPr>
              <w:t>Furniture, equipment, purchased software and leasehold improvements, net of accumulated depreciation and amortization</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35,742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38,128</w:t>
            </w:r>
          </w:p>
        </w:tc>
        <w:tc>
          <w:tcPr>
            <w:tcW w:w="20" w:type="dxa"/>
            <w:vAlign w:val="bottom"/>
          </w:tcPr>
          <w:p>
            <w:pPr>
              <w:spacing w:after="0"/>
              <w:rPr>
                <w:sz w:val="12"/>
                <w:szCs w:val="12"/>
                <w:color w:val="auto"/>
              </w:rPr>
            </w:pPr>
          </w:p>
        </w:tc>
      </w:tr>
      <w:tr>
        <w:trPr>
          <w:trHeight w:val="140"/>
        </w:trPr>
        <w:tc>
          <w:tcPr>
            <w:tcW w:w="6800" w:type="dxa"/>
            <w:vAlign w:val="bottom"/>
          </w:tcPr>
          <w:p>
            <w:pPr>
              <w:spacing w:after="0" w:line="140" w:lineRule="exact"/>
              <w:rPr>
                <w:sz w:val="20"/>
                <w:szCs w:val="20"/>
                <w:color w:val="auto"/>
              </w:rPr>
            </w:pPr>
            <w:r>
              <w:rPr>
                <w:rFonts w:ascii="Arial" w:cs="Arial" w:eastAsia="Arial" w:hAnsi="Arial"/>
                <w:sz w:val="14"/>
                <w:szCs w:val="14"/>
                <w:color w:val="auto"/>
              </w:rPr>
              <w:t>Right-of-use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0" w:lineRule="exact"/>
              <w:rPr>
                <w:sz w:val="20"/>
                <w:szCs w:val="20"/>
                <w:color w:val="auto"/>
              </w:rPr>
            </w:pPr>
            <w:r>
              <w:rPr>
                <w:rFonts w:ascii="Arial" w:cs="Arial" w:eastAsia="Arial" w:hAnsi="Arial"/>
                <w:sz w:val="14"/>
                <w:szCs w:val="14"/>
                <w:color w:val="auto"/>
              </w:rPr>
              <w:t>30,145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0"/>
        </w:trPr>
        <w:tc>
          <w:tcPr>
            <w:tcW w:w="68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Software development costs, net of accumulated amortization</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172,614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170,582</w:t>
            </w:r>
          </w:p>
        </w:tc>
        <w:tc>
          <w:tcPr>
            <w:tcW w:w="20" w:type="dxa"/>
            <w:vAlign w:val="bottom"/>
          </w:tcPr>
          <w:p>
            <w:pPr>
              <w:spacing w:after="0"/>
              <w:rPr>
                <w:sz w:val="12"/>
                <w:szCs w:val="12"/>
                <w:color w:val="auto"/>
              </w:rPr>
            </w:pPr>
          </w:p>
        </w:tc>
      </w:tr>
      <w:tr>
        <w:trPr>
          <w:trHeight w:val="140"/>
        </w:trPr>
        <w:tc>
          <w:tcPr>
            <w:tcW w:w="6800" w:type="dxa"/>
            <w:vAlign w:val="bottom"/>
          </w:tcPr>
          <w:p>
            <w:pPr>
              <w:spacing w:after="0" w:line="140" w:lineRule="exact"/>
              <w:rPr>
                <w:sz w:val="20"/>
                <w:szCs w:val="20"/>
                <w:color w:val="auto"/>
              </w:rPr>
            </w:pPr>
            <w:r>
              <w:rPr>
                <w:rFonts w:ascii="Arial" w:cs="Arial" w:eastAsia="Arial" w:hAnsi="Arial"/>
                <w:sz w:val="14"/>
                <w:szCs w:val="14"/>
                <w:color w:val="auto"/>
              </w:rPr>
              <w:t>Intangible assets, net of accumulated amortization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0" w:lineRule="exact"/>
              <w:rPr>
                <w:sz w:val="20"/>
                <w:szCs w:val="20"/>
                <w:color w:val="auto"/>
              </w:rPr>
            </w:pPr>
            <w:r>
              <w:rPr>
                <w:rFonts w:ascii="Arial" w:cs="Arial" w:eastAsia="Arial" w:hAnsi="Arial"/>
                <w:sz w:val="14"/>
                <w:szCs w:val="14"/>
                <w:color w:val="auto"/>
              </w:rPr>
              <w:t>1,331,145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0" w:lineRule="exact"/>
              <w:rPr>
                <w:sz w:val="20"/>
                <w:szCs w:val="20"/>
                <w:color w:val="auto"/>
              </w:rPr>
            </w:pPr>
            <w:r>
              <w:rPr>
                <w:rFonts w:ascii="Arial" w:cs="Arial" w:eastAsia="Arial" w:hAnsi="Arial"/>
                <w:sz w:val="14"/>
                <w:szCs w:val="14"/>
                <w:color w:val="auto"/>
              </w:rPr>
              <w:t>1,380,848</w:t>
            </w:r>
          </w:p>
        </w:tc>
        <w:tc>
          <w:tcPr>
            <w:tcW w:w="20" w:type="dxa"/>
            <w:vAlign w:val="bottom"/>
          </w:tcPr>
          <w:p>
            <w:pPr>
              <w:spacing w:after="0"/>
              <w:rPr>
                <w:sz w:val="12"/>
                <w:szCs w:val="12"/>
                <w:color w:val="auto"/>
              </w:rPr>
            </w:pPr>
          </w:p>
        </w:tc>
      </w:tr>
      <w:tr>
        <w:trPr>
          <w:trHeight w:val="140"/>
        </w:trPr>
        <w:tc>
          <w:tcPr>
            <w:tcW w:w="68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Goodwill</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2,694,797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2,694,797</w:t>
            </w:r>
          </w:p>
        </w:tc>
        <w:tc>
          <w:tcPr>
            <w:tcW w:w="20" w:type="dxa"/>
            <w:vAlign w:val="bottom"/>
          </w:tcPr>
          <w:p>
            <w:pPr>
              <w:spacing w:after="0"/>
              <w:rPr>
                <w:sz w:val="12"/>
                <w:szCs w:val="12"/>
                <w:color w:val="auto"/>
              </w:rPr>
            </w:pPr>
          </w:p>
        </w:tc>
      </w:tr>
      <w:tr>
        <w:trPr>
          <w:trHeight w:val="140"/>
        </w:trPr>
        <w:tc>
          <w:tcPr>
            <w:tcW w:w="6800" w:type="dxa"/>
            <w:vAlign w:val="bottom"/>
          </w:tcPr>
          <w:p>
            <w:pPr>
              <w:spacing w:after="0" w:line="140" w:lineRule="exact"/>
              <w:rPr>
                <w:sz w:val="20"/>
                <w:szCs w:val="20"/>
                <w:color w:val="auto"/>
              </w:rPr>
            </w:pPr>
            <w:r>
              <w:rPr>
                <w:rFonts w:ascii="Arial" w:cs="Arial" w:eastAsia="Arial" w:hAnsi="Arial"/>
                <w:sz w:val="14"/>
                <w:szCs w:val="14"/>
                <w:color w:val="auto"/>
              </w:rPr>
              <w:t>Receivable from affiliates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0" w:lineRule="exact"/>
              <w:rPr>
                <w:sz w:val="20"/>
                <w:szCs w:val="20"/>
                <w:color w:val="auto"/>
              </w:rPr>
            </w:pPr>
            <w:r>
              <w:rPr>
                <w:rFonts w:ascii="Arial" w:cs="Arial" w:eastAsia="Arial" w:hAnsi="Arial"/>
                <w:sz w:val="14"/>
                <w:szCs w:val="14"/>
                <w:color w:val="auto"/>
              </w:rPr>
              <w:t>2,849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0" w:lineRule="exact"/>
              <w:rPr>
                <w:sz w:val="20"/>
                <w:szCs w:val="20"/>
                <w:color w:val="auto"/>
              </w:rPr>
            </w:pPr>
            <w:r>
              <w:rPr>
                <w:rFonts w:ascii="Arial" w:cs="Arial" w:eastAsia="Arial" w:hAnsi="Arial"/>
                <w:sz w:val="14"/>
                <w:szCs w:val="14"/>
                <w:color w:val="auto"/>
              </w:rPr>
              <w:t>3,243</w:t>
            </w:r>
          </w:p>
        </w:tc>
        <w:tc>
          <w:tcPr>
            <w:tcW w:w="20" w:type="dxa"/>
            <w:vAlign w:val="bottom"/>
          </w:tcPr>
          <w:p>
            <w:pPr>
              <w:spacing w:after="0"/>
              <w:rPr>
                <w:sz w:val="12"/>
                <w:szCs w:val="12"/>
                <w:color w:val="auto"/>
              </w:rPr>
            </w:pPr>
          </w:p>
        </w:tc>
      </w:tr>
      <w:tr>
        <w:trPr>
          <w:trHeight w:val="140"/>
        </w:trPr>
        <w:tc>
          <w:tcPr>
            <w:tcW w:w="68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Deferred tax asset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98,469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0"/>
        </w:trPr>
        <w:tc>
          <w:tcPr>
            <w:tcW w:w="6800" w:type="dxa"/>
            <w:vAlign w:val="bottom"/>
            <w:tcBorders>
              <w:bottom w:val="single" w:sz="8" w:color="CCEEFF"/>
            </w:tcBorders>
          </w:tcPr>
          <w:p>
            <w:pPr>
              <w:spacing w:after="0" w:line="140" w:lineRule="exact"/>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30,302</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25,027</w:t>
            </w:r>
          </w:p>
        </w:tc>
        <w:tc>
          <w:tcPr>
            <w:tcW w:w="20" w:type="dxa"/>
            <w:vAlign w:val="bottom"/>
          </w:tcPr>
          <w:p>
            <w:pPr>
              <w:spacing w:after="0"/>
              <w:rPr>
                <w:sz w:val="12"/>
                <w:szCs w:val="12"/>
                <w:color w:val="auto"/>
              </w:rPr>
            </w:pPr>
          </w:p>
        </w:tc>
      </w:tr>
      <w:tr>
        <w:trPr>
          <w:trHeight w:val="138"/>
        </w:trPr>
        <w:tc>
          <w:tcPr>
            <w:tcW w:w="6800" w:type="dxa"/>
            <w:vAlign w:val="bottom"/>
            <w:tcBorders>
              <w:bottom w:val="single" w:sz="8" w:color="CCEEFF"/>
            </w:tcBorders>
            <w:shd w:val="clear" w:color="auto" w:fill="CCEEFF"/>
          </w:tcPr>
          <w:p>
            <w:pPr>
              <w:ind w:left="100"/>
              <w:spacing w:after="0" w:line="133" w:lineRule="exact"/>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5,072,347</w:t>
            </w:r>
          </w:p>
        </w:tc>
        <w:tc>
          <w:tcPr>
            <w:tcW w:w="2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4,997,139</w:t>
            </w:r>
          </w:p>
        </w:tc>
        <w:tc>
          <w:tcPr>
            <w:tcW w:w="20" w:type="dxa"/>
            <w:vAlign w:val="bottom"/>
          </w:tcPr>
          <w:p>
            <w:pPr>
              <w:spacing w:after="0"/>
              <w:rPr>
                <w:sz w:val="11"/>
                <w:szCs w:val="11"/>
                <w:color w:val="auto"/>
              </w:rPr>
            </w:pPr>
          </w:p>
        </w:tc>
      </w:tr>
      <w:tr>
        <w:trPr>
          <w:trHeight w:val="140"/>
        </w:trPr>
        <w:tc>
          <w:tcPr>
            <w:tcW w:w="6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6800" w:type="dxa"/>
            <w:vAlign w:val="bottom"/>
            <w:shd w:val="clear" w:color="auto" w:fill="CCEEFF"/>
          </w:tcPr>
          <w:p>
            <w:pPr>
              <w:ind w:left="1780"/>
              <w:spacing w:after="0" w:line="140" w:lineRule="exact"/>
              <w:rPr>
                <w:sz w:val="20"/>
                <w:szCs w:val="20"/>
                <w:color w:val="auto"/>
              </w:rPr>
            </w:pPr>
            <w:r>
              <w:rPr>
                <w:rFonts w:ascii="Arial" w:cs="Arial" w:eastAsia="Arial" w:hAnsi="Arial"/>
                <w:sz w:val="14"/>
                <w:szCs w:val="14"/>
                <w:b w:val="1"/>
                <w:bCs w:val="1"/>
                <w:color w:val="auto"/>
              </w:rPr>
              <w:t>Liabilities and Stockholders' Equity/Members' Capital</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6800" w:type="dxa"/>
            <w:vAlign w:val="bottom"/>
          </w:tcPr>
          <w:p>
            <w:pPr>
              <w:spacing w:after="0" w:line="140" w:lineRule="exact"/>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68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Payable to brokers and dealers and clearing organizations</w:t>
            </w:r>
          </w:p>
        </w:tc>
        <w:tc>
          <w:tcPr>
            <w:tcW w:w="2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255,163</w:t>
            </w:r>
          </w:p>
        </w:tc>
        <w:tc>
          <w:tcPr>
            <w:tcW w:w="22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171,214</w:t>
            </w:r>
          </w:p>
        </w:tc>
        <w:tc>
          <w:tcPr>
            <w:tcW w:w="20" w:type="dxa"/>
            <w:vAlign w:val="bottom"/>
          </w:tcPr>
          <w:p>
            <w:pPr>
              <w:spacing w:after="0"/>
              <w:rPr>
                <w:sz w:val="12"/>
                <w:szCs w:val="12"/>
                <w:color w:val="auto"/>
              </w:rPr>
            </w:pPr>
          </w:p>
        </w:tc>
      </w:tr>
      <w:tr>
        <w:trPr>
          <w:trHeight w:val="140"/>
        </w:trPr>
        <w:tc>
          <w:tcPr>
            <w:tcW w:w="6800" w:type="dxa"/>
            <w:vAlign w:val="bottom"/>
          </w:tcPr>
          <w:p>
            <w:pPr>
              <w:spacing w:after="0" w:line="140" w:lineRule="exact"/>
              <w:rPr>
                <w:sz w:val="20"/>
                <w:szCs w:val="20"/>
                <w:color w:val="auto"/>
              </w:rPr>
            </w:pPr>
            <w:r>
              <w:rPr>
                <w:rFonts w:ascii="Arial" w:cs="Arial" w:eastAsia="Arial" w:hAnsi="Arial"/>
                <w:sz w:val="14"/>
                <w:szCs w:val="14"/>
                <w:color w:val="auto"/>
              </w:rPr>
              <w:t>Accrued compensation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0" w:lineRule="exact"/>
              <w:rPr>
                <w:sz w:val="20"/>
                <w:szCs w:val="20"/>
                <w:color w:val="auto"/>
              </w:rPr>
            </w:pPr>
            <w:r>
              <w:rPr>
                <w:rFonts w:ascii="Arial" w:cs="Arial" w:eastAsia="Arial" w:hAnsi="Arial"/>
                <w:sz w:val="14"/>
                <w:szCs w:val="14"/>
                <w:color w:val="auto"/>
              </w:rPr>
              <w:t>68,622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0" w:lineRule="exact"/>
              <w:rPr>
                <w:sz w:val="20"/>
                <w:szCs w:val="20"/>
                <w:color w:val="auto"/>
              </w:rPr>
            </w:pPr>
            <w:r>
              <w:rPr>
                <w:rFonts w:ascii="Arial" w:cs="Arial" w:eastAsia="Arial" w:hAnsi="Arial"/>
                <w:sz w:val="14"/>
                <w:szCs w:val="14"/>
                <w:color w:val="auto"/>
              </w:rPr>
              <w:t>120,158</w:t>
            </w:r>
          </w:p>
        </w:tc>
        <w:tc>
          <w:tcPr>
            <w:tcW w:w="20" w:type="dxa"/>
            <w:vAlign w:val="bottom"/>
          </w:tcPr>
          <w:p>
            <w:pPr>
              <w:spacing w:after="0"/>
              <w:rPr>
                <w:sz w:val="12"/>
                <w:szCs w:val="12"/>
                <w:color w:val="auto"/>
              </w:rPr>
            </w:pPr>
          </w:p>
        </w:tc>
      </w:tr>
      <w:tr>
        <w:trPr>
          <w:trHeight w:val="140"/>
        </w:trPr>
        <w:tc>
          <w:tcPr>
            <w:tcW w:w="68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Deferred revenue</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25,270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27,883</w:t>
            </w:r>
          </w:p>
        </w:tc>
        <w:tc>
          <w:tcPr>
            <w:tcW w:w="20" w:type="dxa"/>
            <w:vAlign w:val="bottom"/>
          </w:tcPr>
          <w:p>
            <w:pPr>
              <w:spacing w:after="0"/>
              <w:rPr>
                <w:sz w:val="12"/>
                <w:szCs w:val="12"/>
                <w:color w:val="auto"/>
              </w:rPr>
            </w:pPr>
          </w:p>
        </w:tc>
      </w:tr>
      <w:tr>
        <w:trPr>
          <w:trHeight w:val="140"/>
        </w:trPr>
        <w:tc>
          <w:tcPr>
            <w:tcW w:w="6800" w:type="dxa"/>
            <w:vAlign w:val="bottom"/>
          </w:tcPr>
          <w:p>
            <w:pPr>
              <w:spacing w:after="0" w:line="140" w:lineRule="exact"/>
              <w:rPr>
                <w:sz w:val="20"/>
                <w:szCs w:val="20"/>
                <w:color w:val="auto"/>
              </w:rPr>
            </w:pPr>
            <w:r>
              <w:rPr>
                <w:rFonts w:ascii="Arial" w:cs="Arial" w:eastAsia="Arial" w:hAnsi="Arial"/>
                <w:sz w:val="14"/>
                <w:szCs w:val="14"/>
                <w:color w:val="auto"/>
              </w:rPr>
              <w:t>Accounts payable, accrued expenses and other liabilities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0" w:lineRule="exact"/>
              <w:rPr>
                <w:sz w:val="20"/>
                <w:szCs w:val="20"/>
                <w:color w:val="auto"/>
              </w:rPr>
            </w:pPr>
            <w:r>
              <w:rPr>
                <w:rFonts w:ascii="Arial" w:cs="Arial" w:eastAsia="Arial" w:hAnsi="Arial"/>
                <w:sz w:val="14"/>
                <w:szCs w:val="14"/>
                <w:color w:val="auto"/>
              </w:rPr>
              <w:t>34,502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0" w:lineRule="exact"/>
              <w:rPr>
                <w:sz w:val="20"/>
                <w:szCs w:val="20"/>
                <w:color w:val="auto"/>
              </w:rPr>
            </w:pPr>
            <w:r>
              <w:rPr>
                <w:rFonts w:ascii="Arial" w:cs="Arial" w:eastAsia="Arial" w:hAnsi="Arial"/>
                <w:sz w:val="14"/>
                <w:szCs w:val="14"/>
                <w:color w:val="auto"/>
              </w:rPr>
              <w:t>42,548</w:t>
            </w:r>
          </w:p>
        </w:tc>
        <w:tc>
          <w:tcPr>
            <w:tcW w:w="20" w:type="dxa"/>
            <w:vAlign w:val="bottom"/>
          </w:tcPr>
          <w:p>
            <w:pPr>
              <w:spacing w:after="0"/>
              <w:rPr>
                <w:sz w:val="12"/>
                <w:szCs w:val="12"/>
                <w:color w:val="auto"/>
              </w:rPr>
            </w:pPr>
          </w:p>
        </w:tc>
      </w:tr>
      <w:tr>
        <w:trPr>
          <w:trHeight w:val="140"/>
        </w:trPr>
        <w:tc>
          <w:tcPr>
            <w:tcW w:w="68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Employee equity compensation payable</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728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24,187</w:t>
            </w:r>
          </w:p>
        </w:tc>
        <w:tc>
          <w:tcPr>
            <w:tcW w:w="20" w:type="dxa"/>
            <w:vAlign w:val="bottom"/>
          </w:tcPr>
          <w:p>
            <w:pPr>
              <w:spacing w:after="0"/>
              <w:rPr>
                <w:sz w:val="12"/>
                <w:szCs w:val="12"/>
                <w:color w:val="auto"/>
              </w:rPr>
            </w:pPr>
          </w:p>
        </w:tc>
      </w:tr>
      <w:tr>
        <w:trPr>
          <w:trHeight w:val="140"/>
        </w:trPr>
        <w:tc>
          <w:tcPr>
            <w:tcW w:w="6800" w:type="dxa"/>
            <w:vAlign w:val="bottom"/>
          </w:tcPr>
          <w:p>
            <w:pPr>
              <w:spacing w:after="0" w:line="140" w:lineRule="exact"/>
              <w:rPr>
                <w:sz w:val="20"/>
                <w:szCs w:val="20"/>
                <w:color w:val="auto"/>
              </w:rPr>
            </w:pPr>
            <w:r>
              <w:rPr>
                <w:rFonts w:ascii="Arial" w:cs="Arial" w:eastAsia="Arial" w:hAnsi="Arial"/>
                <w:sz w:val="14"/>
                <w:szCs w:val="14"/>
                <w:color w:val="auto"/>
              </w:rPr>
              <w:t>Lease liability</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0" w:lineRule="exact"/>
              <w:rPr>
                <w:sz w:val="20"/>
                <w:szCs w:val="20"/>
                <w:color w:val="auto"/>
              </w:rPr>
            </w:pPr>
            <w:r>
              <w:rPr>
                <w:rFonts w:ascii="Arial" w:cs="Arial" w:eastAsia="Arial" w:hAnsi="Arial"/>
                <w:sz w:val="14"/>
                <w:szCs w:val="14"/>
                <w:color w:val="auto"/>
              </w:rPr>
              <w:t>34,528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0"/>
        </w:trPr>
        <w:tc>
          <w:tcPr>
            <w:tcW w:w="68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Payable to affiliates</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6,004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5,009</w:t>
            </w:r>
          </w:p>
        </w:tc>
        <w:tc>
          <w:tcPr>
            <w:tcW w:w="20" w:type="dxa"/>
            <w:vAlign w:val="bottom"/>
          </w:tcPr>
          <w:p>
            <w:pPr>
              <w:spacing w:after="0"/>
              <w:rPr>
                <w:sz w:val="12"/>
                <w:szCs w:val="12"/>
                <w:color w:val="auto"/>
              </w:rPr>
            </w:pPr>
          </w:p>
        </w:tc>
      </w:tr>
      <w:tr>
        <w:trPr>
          <w:trHeight w:val="140"/>
        </w:trPr>
        <w:tc>
          <w:tcPr>
            <w:tcW w:w="6800" w:type="dxa"/>
            <w:vAlign w:val="bottom"/>
          </w:tcPr>
          <w:p>
            <w:pPr>
              <w:spacing w:after="0" w:line="140" w:lineRule="exact"/>
              <w:rPr>
                <w:sz w:val="20"/>
                <w:szCs w:val="20"/>
                <w:color w:val="auto"/>
              </w:rPr>
            </w:pPr>
            <w:r>
              <w:rPr>
                <w:rFonts w:ascii="Arial" w:cs="Arial" w:eastAsia="Arial" w:hAnsi="Arial"/>
                <w:sz w:val="14"/>
                <w:szCs w:val="14"/>
                <w:color w:val="auto"/>
              </w:rPr>
              <w:t>Deferred tax liability</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0" w:lineRule="exact"/>
              <w:rPr>
                <w:sz w:val="20"/>
                <w:szCs w:val="20"/>
                <w:color w:val="auto"/>
              </w:rPr>
            </w:pPr>
            <w:r>
              <w:rPr>
                <w:rFonts w:ascii="Arial" w:cs="Arial" w:eastAsia="Arial" w:hAnsi="Arial"/>
                <w:sz w:val="14"/>
                <w:szCs w:val="14"/>
                <w:color w:val="auto"/>
              </w:rPr>
              <w:t>21,304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0" w:lineRule="exact"/>
              <w:rPr>
                <w:sz w:val="20"/>
                <w:szCs w:val="20"/>
                <w:color w:val="auto"/>
              </w:rPr>
            </w:pPr>
            <w:r>
              <w:rPr>
                <w:rFonts w:ascii="Arial" w:cs="Arial" w:eastAsia="Arial" w:hAnsi="Arial"/>
                <w:sz w:val="14"/>
                <w:szCs w:val="14"/>
                <w:color w:val="auto"/>
              </w:rPr>
              <w:t>19,627</w:t>
            </w:r>
          </w:p>
        </w:tc>
        <w:tc>
          <w:tcPr>
            <w:tcW w:w="20" w:type="dxa"/>
            <w:vAlign w:val="bottom"/>
          </w:tcPr>
          <w:p>
            <w:pPr>
              <w:spacing w:after="0"/>
              <w:rPr>
                <w:sz w:val="12"/>
                <w:szCs w:val="12"/>
                <w:color w:val="auto"/>
              </w:rPr>
            </w:pPr>
          </w:p>
        </w:tc>
      </w:tr>
      <w:tr>
        <w:trPr>
          <w:trHeight w:val="140"/>
        </w:trPr>
        <w:tc>
          <w:tcPr>
            <w:tcW w:w="68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Tax receivable agreement liability</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171,426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32"/>
        </w:trPr>
        <w:tc>
          <w:tcPr>
            <w:tcW w:w="6800" w:type="dxa"/>
            <w:vAlign w:val="bottom"/>
            <w:tcBorders>
              <w:bottom w:val="single" w:sz="8" w:color="CCEEFF"/>
            </w:tcBorders>
          </w:tcPr>
          <w:p>
            <w:pPr>
              <w:ind w:left="100"/>
              <w:spacing w:after="0" w:line="133" w:lineRule="exact"/>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617,547</w:t>
            </w:r>
          </w:p>
        </w:tc>
        <w:tc>
          <w:tcPr>
            <w:tcW w:w="2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410,626</w:t>
            </w:r>
          </w:p>
        </w:tc>
        <w:tc>
          <w:tcPr>
            <w:tcW w:w="20" w:type="dxa"/>
            <w:vAlign w:val="bottom"/>
          </w:tcPr>
          <w:p>
            <w:pPr>
              <w:spacing w:after="0"/>
              <w:rPr>
                <w:sz w:val="11"/>
                <w:szCs w:val="11"/>
                <w:color w:val="auto"/>
              </w:rPr>
            </w:pPr>
          </w:p>
        </w:tc>
      </w:tr>
      <w:tr>
        <w:trPr>
          <w:trHeight w:val="132"/>
        </w:trPr>
        <w:tc>
          <w:tcPr>
            <w:tcW w:w="6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6800" w:type="dxa"/>
            <w:vAlign w:val="bottom"/>
          </w:tcPr>
          <w:p>
            <w:pPr>
              <w:spacing w:after="0" w:line="140" w:lineRule="exact"/>
              <w:rPr>
                <w:sz w:val="20"/>
                <w:szCs w:val="20"/>
                <w:color w:val="auto"/>
              </w:rPr>
            </w:pPr>
            <w:r>
              <w:rPr>
                <w:rFonts w:ascii="Arial" w:cs="Arial" w:eastAsia="Arial" w:hAnsi="Arial"/>
                <w:sz w:val="14"/>
                <w:szCs w:val="14"/>
                <w:color w:val="auto"/>
              </w:rPr>
              <w:t>Commitments and contingencies (Note 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6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6800" w:type="dxa"/>
            <w:vAlign w:val="bottom"/>
          </w:tcPr>
          <w:p>
            <w:pPr>
              <w:spacing w:after="0" w:line="140" w:lineRule="exact"/>
              <w:rPr>
                <w:sz w:val="20"/>
                <w:szCs w:val="20"/>
                <w:color w:val="auto"/>
              </w:rPr>
            </w:pPr>
            <w:r>
              <w:rPr>
                <w:rFonts w:ascii="Arial" w:cs="Arial" w:eastAsia="Arial" w:hAnsi="Arial"/>
                <w:sz w:val="14"/>
                <w:szCs w:val="14"/>
                <w:b w:val="1"/>
                <w:bCs w:val="1"/>
                <w:color w:val="auto"/>
              </w:rPr>
              <w:t>Mezzanine Capital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68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Class C Shares and Class P(C) Shares</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14,179</w:t>
            </w:r>
          </w:p>
        </w:tc>
        <w:tc>
          <w:tcPr>
            <w:tcW w:w="20" w:type="dxa"/>
            <w:vAlign w:val="bottom"/>
          </w:tcPr>
          <w:p>
            <w:pPr>
              <w:spacing w:after="0"/>
              <w:rPr>
                <w:sz w:val="12"/>
                <w:szCs w:val="12"/>
                <w:color w:val="auto"/>
              </w:rPr>
            </w:pPr>
          </w:p>
        </w:tc>
      </w:tr>
      <w:tr>
        <w:trPr>
          <w:trHeight w:val="140"/>
        </w:trPr>
        <w:tc>
          <w:tcPr>
            <w:tcW w:w="6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6800" w:type="dxa"/>
            <w:vAlign w:val="bottom"/>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Stockholders' Equity/Members' Capital</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6800" w:type="dxa"/>
            <w:vAlign w:val="bottom"/>
          </w:tcPr>
          <w:p>
            <w:pPr>
              <w:spacing w:after="0" w:line="140" w:lineRule="exact"/>
              <w:rPr>
                <w:sz w:val="20"/>
                <w:szCs w:val="20"/>
                <w:color w:val="auto"/>
              </w:rPr>
            </w:pPr>
            <w:r>
              <w:rPr>
                <w:rFonts w:ascii="Arial" w:cs="Arial" w:eastAsia="Arial" w:hAnsi="Arial"/>
                <w:sz w:val="14"/>
                <w:szCs w:val="14"/>
                <w:color w:val="auto"/>
              </w:rPr>
              <w:t>Members' capital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60"/>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0" w:lineRule="exact"/>
              <w:rPr>
                <w:sz w:val="20"/>
                <w:szCs w:val="20"/>
                <w:color w:val="auto"/>
              </w:rPr>
            </w:pPr>
            <w:r>
              <w:rPr>
                <w:rFonts w:ascii="Arial" w:cs="Arial" w:eastAsia="Arial" w:hAnsi="Arial"/>
                <w:sz w:val="14"/>
                <w:szCs w:val="14"/>
                <w:color w:val="auto"/>
              </w:rPr>
              <w:t>4,573,200</w:t>
            </w:r>
          </w:p>
        </w:tc>
        <w:tc>
          <w:tcPr>
            <w:tcW w:w="20" w:type="dxa"/>
            <w:vAlign w:val="bottom"/>
          </w:tcPr>
          <w:p>
            <w:pPr>
              <w:spacing w:after="0"/>
              <w:rPr>
                <w:sz w:val="12"/>
                <w:szCs w:val="12"/>
                <w:color w:val="auto"/>
              </w:rPr>
            </w:pPr>
          </w:p>
        </w:tc>
      </w:tr>
      <w:tr>
        <w:trPr>
          <w:trHeight w:val="140"/>
        </w:trPr>
        <w:tc>
          <w:tcPr>
            <w:tcW w:w="68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Preferred stock, $.00001 par value; 250,000,000 shares authorized; none issued or outstanding</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21"/>
        </w:trPr>
        <w:tc>
          <w:tcPr>
            <w:tcW w:w="6800" w:type="dxa"/>
            <w:vAlign w:val="bottom"/>
          </w:tcPr>
          <w:p>
            <w:pPr>
              <w:spacing w:after="0" w:line="122" w:lineRule="exact"/>
              <w:rPr>
                <w:sz w:val="20"/>
                <w:szCs w:val="20"/>
                <w:color w:val="auto"/>
              </w:rPr>
            </w:pPr>
            <w:r>
              <w:rPr>
                <w:rFonts w:ascii="Arial" w:cs="Arial" w:eastAsia="Arial" w:hAnsi="Arial"/>
                <w:sz w:val="14"/>
                <w:szCs w:val="14"/>
                <w:color w:val="auto"/>
                <w:w w:val="88"/>
              </w:rPr>
              <w:t>Class A common stock, $.00001 par value; 1,000,000,000 shares authorized; 46,000,000 shares issued and outstanding as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6800" w:type="dxa"/>
            <w:vAlign w:val="bottom"/>
          </w:tcPr>
          <w:p>
            <w:pPr>
              <w:spacing w:after="0" w:line="158" w:lineRule="exact"/>
              <w:rPr>
                <w:sz w:val="20"/>
                <w:szCs w:val="20"/>
                <w:color w:val="auto"/>
              </w:rPr>
            </w:pPr>
            <w:r>
              <w:rPr>
                <w:rFonts w:ascii="Arial" w:cs="Arial" w:eastAsia="Arial" w:hAnsi="Arial"/>
                <w:sz w:val="14"/>
                <w:szCs w:val="14"/>
                <w:color w:val="auto"/>
              </w:rPr>
              <w:t>of June 30, 2019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w:t>
            </w:r>
          </w:p>
        </w:tc>
      </w:tr>
      <w:tr>
        <w:trPr>
          <w:trHeight w:val="121"/>
        </w:trPr>
        <w:tc>
          <w:tcPr>
            <w:tcW w:w="680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w w:val="88"/>
              </w:rPr>
              <w:t>Class B common stock, $.00001 par value; 450,000,000 shares authorized; 96,933,192 shares issued and outstanding as of</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68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June 30, 2019</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121"/>
        </w:trPr>
        <w:tc>
          <w:tcPr>
            <w:tcW w:w="6800" w:type="dxa"/>
            <w:vAlign w:val="bottom"/>
          </w:tcPr>
          <w:p>
            <w:pPr>
              <w:spacing w:after="0" w:line="122" w:lineRule="exact"/>
              <w:rPr>
                <w:sz w:val="20"/>
                <w:szCs w:val="20"/>
                <w:color w:val="auto"/>
              </w:rPr>
            </w:pPr>
            <w:r>
              <w:rPr>
                <w:rFonts w:ascii="Arial" w:cs="Arial" w:eastAsia="Arial" w:hAnsi="Arial"/>
                <w:sz w:val="14"/>
                <w:szCs w:val="14"/>
                <w:color w:val="auto"/>
                <w:w w:val="88"/>
              </w:rPr>
              <w:t>Class C common stock, $.00001 par value; 350,000,000 shares authorized; 10,006,269 shares issued and outstanding as of</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6800" w:type="dxa"/>
            <w:vAlign w:val="bottom"/>
          </w:tcPr>
          <w:p>
            <w:pPr>
              <w:spacing w:after="0" w:line="158" w:lineRule="exact"/>
              <w:rPr>
                <w:sz w:val="20"/>
                <w:szCs w:val="20"/>
                <w:color w:val="auto"/>
              </w:rPr>
            </w:pPr>
            <w:r>
              <w:rPr>
                <w:rFonts w:ascii="Arial" w:cs="Arial" w:eastAsia="Arial" w:hAnsi="Arial"/>
                <w:sz w:val="14"/>
                <w:szCs w:val="14"/>
                <w:color w:val="auto"/>
              </w:rPr>
              <w:t>June 30, 2019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w:t>
            </w:r>
          </w:p>
        </w:tc>
      </w:tr>
      <w:tr>
        <w:trPr>
          <w:trHeight w:val="121"/>
        </w:trPr>
        <w:tc>
          <w:tcPr>
            <w:tcW w:w="680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w w:val="88"/>
              </w:rPr>
              <w:t>Class D common stock, $.00001 par value; 300,000,000 shares authorized; 69,282,736 shares issued and outstanding as of</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68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June 30, 2019</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140"/>
        </w:trPr>
        <w:tc>
          <w:tcPr>
            <w:tcW w:w="6800" w:type="dxa"/>
            <w:vAlign w:val="bottom"/>
          </w:tcPr>
          <w:p>
            <w:pPr>
              <w:spacing w:after="0" w:line="140" w:lineRule="exact"/>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0" w:lineRule="exact"/>
              <w:rPr>
                <w:sz w:val="20"/>
                <w:szCs w:val="20"/>
                <w:color w:val="auto"/>
              </w:rPr>
            </w:pPr>
            <w:r>
              <w:rPr>
                <w:rFonts w:ascii="Arial" w:cs="Arial" w:eastAsia="Arial" w:hAnsi="Arial"/>
                <w:sz w:val="14"/>
                <w:szCs w:val="14"/>
                <w:color w:val="auto"/>
              </w:rPr>
              <w:t>2,846,681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0"/>
        </w:trPr>
        <w:tc>
          <w:tcPr>
            <w:tcW w:w="68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Accumulated other comprehensive income</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(525)</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(866)</w:t>
            </w:r>
          </w:p>
        </w:tc>
        <w:tc>
          <w:tcPr>
            <w:tcW w:w="20" w:type="dxa"/>
            <w:vAlign w:val="bottom"/>
          </w:tcPr>
          <w:p>
            <w:pPr>
              <w:spacing w:after="0"/>
              <w:rPr>
                <w:sz w:val="12"/>
                <w:szCs w:val="12"/>
                <w:color w:val="auto"/>
              </w:rPr>
            </w:pPr>
          </w:p>
        </w:tc>
      </w:tr>
      <w:tr>
        <w:trPr>
          <w:trHeight w:val="140"/>
        </w:trPr>
        <w:tc>
          <w:tcPr>
            <w:tcW w:w="6800" w:type="dxa"/>
            <w:vAlign w:val="bottom"/>
            <w:tcBorders>
              <w:bottom w:val="single" w:sz="8" w:color="CCEEFF"/>
            </w:tcBorders>
          </w:tcPr>
          <w:p>
            <w:pPr>
              <w:spacing w:after="0" w:line="140" w:lineRule="exact"/>
              <w:rPr>
                <w:sz w:val="20"/>
                <w:szCs w:val="20"/>
                <w:color w:val="auto"/>
              </w:rPr>
            </w:pPr>
            <w:r>
              <w:rPr>
                <w:rFonts w:ascii="Arial" w:cs="Arial" w:eastAsia="Arial" w:hAnsi="Arial"/>
                <w:sz w:val="14"/>
                <w:szCs w:val="14"/>
                <w:color w:val="auto"/>
              </w:rPr>
              <w:t>Retained earnings</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1,393</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32"/>
        </w:trPr>
        <w:tc>
          <w:tcPr>
            <w:tcW w:w="6800" w:type="dxa"/>
            <w:vAlign w:val="bottom"/>
            <w:shd w:val="clear" w:color="auto" w:fill="CCEEFF"/>
          </w:tcPr>
          <w:p>
            <w:pPr>
              <w:ind w:left="100"/>
              <w:spacing w:after="0" w:line="133" w:lineRule="exact"/>
              <w:rPr>
                <w:sz w:val="20"/>
                <w:szCs w:val="20"/>
                <w:color w:val="auto"/>
              </w:rPr>
            </w:pPr>
            <w:r>
              <w:rPr>
                <w:rFonts w:ascii="Arial" w:cs="Arial" w:eastAsia="Arial" w:hAnsi="Arial"/>
                <w:sz w:val="14"/>
                <w:szCs w:val="14"/>
                <w:color w:val="auto"/>
              </w:rPr>
              <w:t>Total stockholders' equity attributable to Tradeweb Markets Inc./members' equity</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2,847,551</w:t>
            </w: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4,572,334</w:t>
            </w:r>
          </w:p>
        </w:tc>
        <w:tc>
          <w:tcPr>
            <w:tcW w:w="20" w:type="dxa"/>
            <w:vAlign w:val="bottom"/>
          </w:tcPr>
          <w:p>
            <w:pPr>
              <w:spacing w:after="0"/>
              <w:rPr>
                <w:sz w:val="11"/>
                <w:szCs w:val="11"/>
                <w:color w:val="auto"/>
              </w:rPr>
            </w:pPr>
          </w:p>
        </w:tc>
      </w:tr>
      <w:tr>
        <w:trPr>
          <w:trHeight w:val="140"/>
        </w:trPr>
        <w:tc>
          <w:tcPr>
            <w:tcW w:w="6800" w:type="dxa"/>
            <w:vAlign w:val="bottom"/>
            <w:tcBorders>
              <w:bottom w:val="single" w:sz="8" w:color="CCEEFF"/>
            </w:tcBorders>
          </w:tcPr>
          <w:p>
            <w:pPr>
              <w:spacing w:after="0" w:line="140" w:lineRule="exact"/>
              <w:rPr>
                <w:sz w:val="20"/>
                <w:szCs w:val="20"/>
                <w:color w:val="auto"/>
              </w:rPr>
            </w:pPr>
            <w:r>
              <w:rPr>
                <w:rFonts w:ascii="Arial" w:cs="Arial" w:eastAsia="Arial" w:hAnsi="Arial"/>
                <w:sz w:val="14"/>
                <w:szCs w:val="14"/>
                <w:color w:val="auto"/>
              </w:rPr>
              <w:t>Non-controlling interests</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1,607,249</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32"/>
        </w:trPr>
        <w:tc>
          <w:tcPr>
            <w:tcW w:w="6800" w:type="dxa"/>
            <w:vAlign w:val="bottom"/>
            <w:shd w:val="clear" w:color="auto" w:fill="CCEEFF"/>
          </w:tcPr>
          <w:p>
            <w:pPr>
              <w:ind w:left="100"/>
              <w:spacing w:after="0" w:line="133" w:lineRule="exact"/>
              <w:rPr>
                <w:sz w:val="20"/>
                <w:szCs w:val="20"/>
                <w:color w:val="auto"/>
              </w:rPr>
            </w:pPr>
            <w:r>
              <w:rPr>
                <w:rFonts w:ascii="Arial" w:cs="Arial" w:eastAsia="Arial" w:hAnsi="Arial"/>
                <w:sz w:val="14"/>
                <w:szCs w:val="14"/>
                <w:b w:val="1"/>
                <w:bCs w:val="1"/>
                <w:color w:val="auto"/>
              </w:rPr>
              <w:t>Total equity</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4,454,800</w:t>
            </w: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4,572,334</w:t>
            </w:r>
          </w:p>
        </w:tc>
        <w:tc>
          <w:tcPr>
            <w:tcW w:w="20" w:type="dxa"/>
            <w:vAlign w:val="bottom"/>
          </w:tcPr>
          <w:p>
            <w:pPr>
              <w:spacing w:after="0"/>
              <w:rPr>
                <w:sz w:val="11"/>
                <w:szCs w:val="11"/>
                <w:color w:val="auto"/>
              </w:rPr>
            </w:pPr>
          </w:p>
        </w:tc>
      </w:tr>
      <w:tr>
        <w:trPr>
          <w:trHeight w:val="138"/>
        </w:trPr>
        <w:tc>
          <w:tcPr>
            <w:tcW w:w="6800" w:type="dxa"/>
            <w:vAlign w:val="bottom"/>
          </w:tcPr>
          <w:p>
            <w:pPr>
              <w:spacing w:after="0" w:line="133" w:lineRule="exact"/>
              <w:rPr>
                <w:sz w:val="20"/>
                <w:szCs w:val="20"/>
                <w:color w:val="auto"/>
              </w:rPr>
            </w:pPr>
            <w:r>
              <w:rPr>
                <w:rFonts w:ascii="Arial" w:cs="Arial" w:eastAsia="Arial" w:hAnsi="Arial"/>
                <w:sz w:val="14"/>
                <w:szCs w:val="14"/>
                <w:b w:val="1"/>
                <w:bCs w:val="1"/>
                <w:color w:val="auto"/>
              </w:rPr>
              <w:t>Total liabilities and stockholders' equity/members' capital</w:t>
            </w:r>
          </w:p>
        </w:tc>
        <w:tc>
          <w:tcPr>
            <w:tcW w:w="140" w:type="dxa"/>
            <w:vAlign w:val="bottom"/>
          </w:tcPr>
          <w:p>
            <w:pPr>
              <w:spacing w:after="0"/>
              <w:rPr>
                <w:sz w:val="11"/>
                <w:szCs w:val="11"/>
                <w:color w:val="auto"/>
              </w:rPr>
            </w:pPr>
          </w:p>
        </w:tc>
        <w:tc>
          <w:tcPr>
            <w:tcW w:w="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5,072,347</w:t>
            </w: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4,997,139</w:t>
            </w:r>
          </w:p>
        </w:tc>
        <w:tc>
          <w:tcPr>
            <w:tcW w:w="20" w:type="dxa"/>
            <w:vAlign w:val="bottom"/>
          </w:tcPr>
          <w:p>
            <w:pPr>
              <w:spacing w:after="0"/>
              <w:rPr>
                <w:sz w:val="11"/>
                <w:szCs w:val="11"/>
                <w:color w:val="auto"/>
              </w:rPr>
            </w:pPr>
          </w:p>
        </w:tc>
      </w:tr>
    </w:tbl>
    <w:p>
      <w:pPr>
        <w:spacing w:after="0" w:line="6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7" w:name="page8"/>
    <w:bookmarkEnd w:id="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Tradeweb Markets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Income</w:t>
      </w:r>
    </w:p>
    <w:p>
      <w:pPr>
        <w:jc w:val="center"/>
        <w:spacing w:after="0" w:line="238" w:lineRule="auto"/>
        <w:rPr>
          <w:sz w:val="20"/>
          <w:szCs w:val="20"/>
          <w:color w:val="auto"/>
        </w:rPr>
      </w:pPr>
      <w:r>
        <w:rPr>
          <w:rFonts w:ascii="Arial" w:cs="Arial" w:eastAsia="Arial" w:hAnsi="Arial"/>
          <w:sz w:val="20"/>
          <w:szCs w:val="20"/>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2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79"/>
              </w:rPr>
              <w:t>Successor</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79"/>
              </w:rPr>
              <w:t>Successor</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0"/>
              </w:rPr>
              <w:t>Predecessor</w:t>
            </w:r>
          </w:p>
        </w:tc>
        <w:tc>
          <w:tcPr>
            <w:tcW w:w="120" w:type="dxa"/>
            <w:vAlign w:val="bottom"/>
          </w:tcPr>
          <w:p>
            <w:pPr>
              <w:spacing w:after="0" w:line="20" w:lineRule="exact"/>
              <w:rPr>
                <w:sz w:val="1"/>
                <w:szCs w:val="1"/>
                <w:color w:val="auto"/>
              </w:rPr>
            </w:pP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line="20" w:lineRule="exact"/>
              <w:rPr>
                <w:sz w:val="1"/>
                <w:szCs w:val="1"/>
                <w:color w:val="auto"/>
              </w:rPr>
            </w:pPr>
          </w:p>
        </w:tc>
      </w:tr>
      <w:tr>
        <w:trPr>
          <w:trHeight w:val="140"/>
        </w:trPr>
        <w:tc>
          <w:tcPr>
            <w:tcW w:w="2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center"/>
              <w:ind w:right="32"/>
              <w:spacing w:after="0" w:line="113" w:lineRule="exact"/>
              <w:rPr>
                <w:sz w:val="20"/>
                <w:szCs w:val="20"/>
                <w:color w:val="auto"/>
              </w:rPr>
            </w:pPr>
            <w:r>
              <w:rPr>
                <w:rFonts w:ascii="Arial" w:cs="Arial" w:eastAsia="Arial" w:hAnsi="Arial"/>
                <w:sz w:val="12"/>
                <w:szCs w:val="12"/>
                <w:b w:val="1"/>
                <w:bCs w:val="1"/>
                <w:color w:val="auto"/>
              </w:rPr>
              <w:t>Three Months</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center"/>
              <w:ind w:right="113"/>
              <w:spacing w:after="0" w:line="113" w:lineRule="exact"/>
              <w:rPr>
                <w:sz w:val="20"/>
                <w:szCs w:val="20"/>
                <w:color w:val="auto"/>
              </w:rPr>
            </w:pPr>
            <w:r>
              <w:rPr>
                <w:rFonts w:ascii="Arial" w:cs="Arial" w:eastAsia="Arial" w:hAnsi="Arial"/>
                <w:sz w:val="12"/>
                <w:szCs w:val="12"/>
                <w:b w:val="1"/>
                <w:bCs w:val="1"/>
                <w:color w:val="auto"/>
              </w:rPr>
              <w:t>Six Months</w:t>
            </w:r>
          </w:p>
        </w:tc>
        <w:tc>
          <w:tcPr>
            <w:tcW w:w="120" w:type="dxa"/>
            <w:vAlign w:val="bottom"/>
          </w:tcPr>
          <w:p>
            <w:pPr>
              <w:spacing w:after="0"/>
              <w:rPr>
                <w:sz w:val="9"/>
                <w:szCs w:val="9"/>
                <w:color w:val="auto"/>
              </w:rPr>
            </w:pPr>
          </w:p>
        </w:tc>
        <w:tc>
          <w:tcPr>
            <w:tcW w:w="120" w:type="dxa"/>
            <w:vAlign w:val="bottom"/>
            <w:tcBorders>
              <w:left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center"/>
              <w:ind w:right="12"/>
              <w:spacing w:after="0" w:line="113" w:lineRule="exact"/>
              <w:rPr>
                <w:sz w:val="20"/>
                <w:szCs w:val="20"/>
                <w:color w:val="auto"/>
              </w:rPr>
            </w:pPr>
            <w:r>
              <w:rPr>
                <w:rFonts w:ascii="Arial" w:cs="Arial" w:eastAsia="Arial" w:hAnsi="Arial"/>
                <w:sz w:val="12"/>
                <w:szCs w:val="12"/>
                <w:b w:val="1"/>
                <w:bCs w:val="1"/>
                <w:color w:val="auto"/>
              </w:rPr>
              <w:t>Three Months</w:t>
            </w: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72"/>
              <w:spacing w:after="0" w:line="113" w:lineRule="exact"/>
              <w:rPr>
                <w:sz w:val="20"/>
                <w:szCs w:val="20"/>
                <w:color w:val="auto"/>
              </w:rPr>
            </w:pPr>
            <w:r>
              <w:rPr>
                <w:rFonts w:ascii="Arial" w:cs="Arial" w:eastAsia="Arial" w:hAnsi="Arial"/>
                <w:sz w:val="12"/>
                <w:szCs w:val="12"/>
                <w:b w:val="1"/>
                <w:bCs w:val="1"/>
                <w:color w:val="auto"/>
              </w:rPr>
              <w:t>Six Months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0"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00"/>
              <w:spacing w:after="0" w:line="140"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980" w:type="dxa"/>
            <w:vAlign w:val="bottom"/>
            <w:gridSpan w:val="2"/>
          </w:tcPr>
          <w:p>
            <w:pPr>
              <w:jc w:val="center"/>
              <w:ind w:right="160"/>
              <w:spacing w:after="0" w:line="140"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0"/>
        </w:trPr>
        <w:tc>
          <w:tcPr>
            <w:tcW w:w="2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60"/>
              <w:spacing w:after="0" w:line="140" w:lineRule="exact"/>
              <w:rPr>
                <w:sz w:val="20"/>
                <w:szCs w:val="20"/>
                <w:color w:val="auto"/>
              </w:rPr>
            </w:pPr>
            <w:r>
              <w:rPr>
                <w:rFonts w:ascii="Arial" w:cs="Arial" w:eastAsia="Arial" w:hAnsi="Arial"/>
                <w:sz w:val="14"/>
                <w:szCs w:val="14"/>
                <w:b w:val="1"/>
                <w:bCs w:val="1"/>
                <w:color w:val="auto"/>
                <w:w w:val="85"/>
              </w:rPr>
              <w:t>June 30,</w:t>
            </w:r>
          </w:p>
        </w:tc>
        <w:tc>
          <w:tcPr>
            <w:tcW w:w="1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80"/>
              <w:spacing w:after="0" w:line="140" w:lineRule="exact"/>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2"/>
                <w:szCs w:val="12"/>
                <w:color w:val="auto"/>
              </w:rPr>
            </w:pPr>
          </w:p>
        </w:tc>
        <w:tc>
          <w:tcPr>
            <w:tcW w:w="980" w:type="dxa"/>
            <w:vAlign w:val="bottom"/>
            <w:gridSpan w:val="2"/>
          </w:tcPr>
          <w:p>
            <w:pPr>
              <w:ind w:left="160"/>
              <w:spacing w:after="0" w:line="140"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0"/>
        </w:trPr>
        <w:tc>
          <w:tcPr>
            <w:tcW w:w="296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3"/>
                <w:szCs w:val="13"/>
                <w:color w:val="auto"/>
              </w:rPr>
            </w:pPr>
          </w:p>
        </w:tc>
        <w:tc>
          <w:tcPr>
            <w:tcW w:w="120" w:type="dxa"/>
            <w:vAlign w:val="bottom"/>
            <w:tcBorders>
              <w:left w:val="single" w:sz="8" w:color="auto"/>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92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Revenues</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lef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920" w:type="dxa"/>
            <w:vAlign w:val="bottom"/>
            <w:gridSpan w:val="2"/>
          </w:tcPr>
          <w:p>
            <w:pPr>
              <w:ind w:left="100"/>
              <w:spacing w:after="0" w:line="140" w:lineRule="exact"/>
              <w:rPr>
                <w:sz w:val="20"/>
                <w:szCs w:val="20"/>
                <w:color w:val="auto"/>
              </w:rPr>
            </w:pPr>
            <w:r>
              <w:rPr>
                <w:rFonts w:ascii="Arial" w:cs="Arial" w:eastAsia="Arial" w:hAnsi="Arial"/>
                <w:sz w:val="14"/>
                <w:szCs w:val="14"/>
                <w:color w:val="auto"/>
              </w:rPr>
              <w:t>Transaction fees</w:t>
            </w:r>
          </w:p>
        </w:tc>
        <w:tc>
          <w:tcPr>
            <w:tcW w:w="18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0" w:lineRule="exact"/>
              <w:rPr>
                <w:sz w:val="20"/>
                <w:szCs w:val="20"/>
                <w:color w:val="auto"/>
              </w:rPr>
            </w:pPr>
            <w:r>
              <w:rPr>
                <w:rFonts w:ascii="Arial" w:cs="Arial" w:eastAsia="Arial" w:hAnsi="Arial"/>
                <w:sz w:val="14"/>
                <w:szCs w:val="14"/>
                <w:color w:val="auto"/>
              </w:rPr>
              <w:t>103,952</w:t>
            </w:r>
          </w:p>
        </w:tc>
        <w:tc>
          <w:tcPr>
            <w:tcW w:w="60" w:type="dxa"/>
            <w:vAlign w:val="bottom"/>
          </w:tcPr>
          <w:p>
            <w:pPr>
              <w:spacing w:after="0"/>
              <w:rPr>
                <w:sz w:val="12"/>
                <w:szCs w:val="12"/>
                <w:color w:val="auto"/>
              </w:rPr>
            </w:pPr>
          </w:p>
        </w:tc>
        <w:tc>
          <w:tcPr>
            <w:tcW w:w="260" w:type="dxa"/>
            <w:vAlign w:val="bottom"/>
            <w:gridSpan w:val="2"/>
          </w:tcPr>
          <w:p>
            <w:pPr>
              <w:jc w:val="right"/>
              <w:ind w:right="69"/>
              <w:spacing w:after="0" w:line="140"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0" w:lineRule="exact"/>
              <w:rPr>
                <w:sz w:val="20"/>
                <w:szCs w:val="20"/>
                <w:color w:val="auto"/>
              </w:rPr>
            </w:pPr>
            <w:r>
              <w:rPr>
                <w:rFonts w:ascii="Arial" w:cs="Arial" w:eastAsia="Arial" w:hAnsi="Arial"/>
                <w:sz w:val="14"/>
                <w:szCs w:val="14"/>
                <w:color w:val="auto"/>
              </w:rPr>
              <w:t>206,592</w:t>
            </w:r>
          </w:p>
        </w:tc>
        <w:tc>
          <w:tcPr>
            <w:tcW w:w="120" w:type="dxa"/>
            <w:vAlign w:val="bottom"/>
          </w:tcPr>
          <w:p>
            <w:pPr>
              <w:spacing w:after="0"/>
              <w:rPr>
                <w:sz w:val="12"/>
                <w:szCs w:val="12"/>
                <w:color w:val="auto"/>
              </w:rPr>
            </w:pPr>
          </w:p>
        </w:tc>
        <w:tc>
          <w:tcPr>
            <w:tcW w:w="220" w:type="dxa"/>
            <w:vAlign w:val="bottom"/>
            <w:tcBorders>
              <w:left w:val="single" w:sz="8" w:color="auto"/>
            </w:tcBorders>
            <w:gridSpan w:val="2"/>
          </w:tcPr>
          <w:p>
            <w:pPr>
              <w:jc w:val="right"/>
              <w:spacing w:after="0" w:line="140"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0" w:lineRule="exact"/>
              <w:rPr>
                <w:sz w:val="20"/>
                <w:szCs w:val="20"/>
                <w:color w:val="auto"/>
              </w:rPr>
            </w:pPr>
            <w:r>
              <w:rPr>
                <w:rFonts w:ascii="Arial" w:cs="Arial" w:eastAsia="Arial" w:hAnsi="Arial"/>
                <w:sz w:val="14"/>
                <w:szCs w:val="14"/>
                <w:color w:val="auto"/>
              </w:rPr>
              <w:t>91,030</w:t>
            </w:r>
          </w:p>
        </w:tc>
        <w:tc>
          <w:tcPr>
            <w:tcW w:w="14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40" w:lineRule="exact"/>
              <w:rPr>
                <w:sz w:val="20"/>
                <w:szCs w:val="20"/>
                <w:color w:val="auto"/>
              </w:rPr>
            </w:pPr>
            <w:r>
              <w:rPr>
                <w:rFonts w:ascii="Arial" w:cs="Arial" w:eastAsia="Arial" w:hAnsi="Arial"/>
                <w:sz w:val="14"/>
                <w:szCs w:val="14"/>
                <w:color w:val="auto"/>
              </w:rPr>
              <w:t>181,169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920" w:type="dxa"/>
            <w:vAlign w:val="bottom"/>
            <w:gridSpan w:val="2"/>
            <w:shd w:val="clear" w:color="auto" w:fill="CCEEFF"/>
          </w:tcPr>
          <w:p>
            <w:pPr>
              <w:ind w:left="100"/>
              <w:spacing w:after="0" w:line="140" w:lineRule="exact"/>
              <w:rPr>
                <w:sz w:val="20"/>
                <w:szCs w:val="20"/>
                <w:color w:val="auto"/>
              </w:rPr>
            </w:pPr>
            <w:r>
              <w:rPr>
                <w:rFonts w:ascii="Arial" w:cs="Arial" w:eastAsia="Arial" w:hAnsi="Arial"/>
                <w:sz w:val="14"/>
                <w:szCs w:val="14"/>
                <w:color w:val="auto"/>
              </w:rPr>
              <w:t>Subscription fees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34,566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69,011</w:t>
            </w:r>
          </w:p>
        </w:tc>
        <w:tc>
          <w:tcPr>
            <w:tcW w:w="120" w:type="dxa"/>
            <w:vAlign w:val="bottom"/>
            <w:shd w:val="clear" w:color="auto" w:fill="CCEEFF"/>
          </w:tcPr>
          <w:p>
            <w:pPr>
              <w:spacing w:after="0"/>
              <w:rPr>
                <w:sz w:val="12"/>
                <w:szCs w:val="12"/>
                <w:color w:val="auto"/>
              </w:rPr>
            </w:pPr>
          </w:p>
        </w:tc>
        <w:tc>
          <w:tcPr>
            <w:tcW w:w="120" w:type="dxa"/>
            <w:vAlign w:val="bottom"/>
            <w:tcBorders>
              <w:lef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37,647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73,973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920" w:type="dxa"/>
            <w:vAlign w:val="bottom"/>
            <w:gridSpan w:val="2"/>
          </w:tcPr>
          <w:p>
            <w:pPr>
              <w:ind w:left="100"/>
              <w:spacing w:after="0" w:line="140" w:lineRule="exact"/>
              <w:rPr>
                <w:sz w:val="20"/>
                <w:szCs w:val="20"/>
                <w:color w:val="auto"/>
              </w:rPr>
            </w:pPr>
            <w:r>
              <w:rPr>
                <w:rFonts w:ascii="Arial" w:cs="Arial" w:eastAsia="Arial" w:hAnsi="Arial"/>
                <w:sz w:val="14"/>
                <w:szCs w:val="14"/>
                <w:color w:val="auto"/>
              </w:rPr>
              <w:t>Commissions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0" w:lineRule="exact"/>
              <w:rPr>
                <w:sz w:val="20"/>
                <w:szCs w:val="20"/>
                <w:color w:val="auto"/>
              </w:rPr>
            </w:pPr>
            <w:r>
              <w:rPr>
                <w:rFonts w:ascii="Arial" w:cs="Arial" w:eastAsia="Arial" w:hAnsi="Arial"/>
                <w:sz w:val="14"/>
                <w:szCs w:val="14"/>
                <w:color w:val="auto"/>
              </w:rPr>
              <w:t>36,413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0" w:lineRule="exact"/>
              <w:rPr>
                <w:sz w:val="20"/>
                <w:szCs w:val="20"/>
                <w:color w:val="auto"/>
              </w:rPr>
            </w:pPr>
            <w:r>
              <w:rPr>
                <w:rFonts w:ascii="Arial" w:cs="Arial" w:eastAsia="Arial" w:hAnsi="Arial"/>
                <w:sz w:val="14"/>
                <w:szCs w:val="14"/>
                <w:color w:val="auto"/>
              </w:rPr>
              <w:t>70,610</w:t>
            </w:r>
          </w:p>
        </w:tc>
        <w:tc>
          <w:tcPr>
            <w:tcW w:w="120" w:type="dxa"/>
            <w:vAlign w:val="bottom"/>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0" w:lineRule="exact"/>
              <w:rPr>
                <w:sz w:val="20"/>
                <w:szCs w:val="20"/>
                <w:color w:val="auto"/>
              </w:rPr>
            </w:pPr>
            <w:r>
              <w:rPr>
                <w:rFonts w:ascii="Arial" w:cs="Arial" w:eastAsia="Arial" w:hAnsi="Arial"/>
                <w:sz w:val="14"/>
                <w:szCs w:val="14"/>
                <w:color w:val="auto"/>
              </w:rPr>
              <w:t>27,553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0" w:lineRule="exact"/>
              <w:rPr>
                <w:sz w:val="20"/>
                <w:szCs w:val="20"/>
                <w:color w:val="auto"/>
              </w:rPr>
            </w:pPr>
            <w:r>
              <w:rPr>
                <w:rFonts w:ascii="Arial" w:cs="Arial" w:eastAsia="Arial" w:hAnsi="Arial"/>
                <w:sz w:val="14"/>
                <w:szCs w:val="14"/>
                <w:color w:val="auto"/>
              </w:rPr>
              <w:t>55,436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920" w:type="dxa"/>
            <w:vAlign w:val="bottom"/>
            <w:gridSpan w:val="2"/>
            <w:shd w:val="clear" w:color="auto" w:fill="CCEEFF"/>
          </w:tcPr>
          <w:p>
            <w:pPr>
              <w:ind w:left="100"/>
              <w:spacing w:after="0" w:line="140" w:lineRule="exact"/>
              <w:rPr>
                <w:sz w:val="20"/>
                <w:szCs w:val="20"/>
                <w:color w:val="auto"/>
              </w:rPr>
            </w:pPr>
            <w:r>
              <w:rPr>
                <w:rFonts w:ascii="Arial" w:cs="Arial" w:eastAsia="Arial" w:hAnsi="Arial"/>
                <w:sz w:val="14"/>
                <w:szCs w:val="14"/>
                <w:color w:val="auto"/>
              </w:rPr>
              <w:t>Refinitiv market data fees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13,385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27,001</w:t>
            </w:r>
          </w:p>
        </w:tc>
        <w:tc>
          <w:tcPr>
            <w:tcW w:w="120" w:type="dxa"/>
            <w:vAlign w:val="bottom"/>
            <w:shd w:val="clear" w:color="auto" w:fill="CCEEFF"/>
          </w:tcPr>
          <w:p>
            <w:pPr>
              <w:spacing w:after="0"/>
              <w:rPr>
                <w:sz w:val="12"/>
                <w:szCs w:val="12"/>
                <w:color w:val="auto"/>
              </w:rPr>
            </w:pPr>
          </w:p>
        </w:tc>
        <w:tc>
          <w:tcPr>
            <w:tcW w:w="120" w:type="dxa"/>
            <w:vAlign w:val="bottom"/>
            <w:tcBorders>
              <w:lef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12,081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24,318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920" w:type="dxa"/>
            <w:vAlign w:val="bottom"/>
            <w:tcBorders>
              <w:bottom w:val="single" w:sz="8" w:color="CCEEFF"/>
            </w:tcBorders>
            <w:gridSpan w:val="2"/>
          </w:tcPr>
          <w:p>
            <w:pPr>
              <w:ind w:left="100"/>
              <w:spacing w:after="0" w:line="140" w:lineRule="exact"/>
              <w:rPr>
                <w:sz w:val="20"/>
                <w:szCs w:val="20"/>
                <w:color w:val="auto"/>
              </w:rPr>
            </w:pPr>
            <w:r>
              <w:rPr>
                <w:rFonts w:ascii="Arial" w:cs="Arial" w:eastAsia="Arial" w:hAnsi="Arial"/>
                <w:sz w:val="14"/>
                <w:szCs w:val="14"/>
                <w:color w:val="auto"/>
              </w:rPr>
              <w:t>Other</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2,169</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4,063</w:t>
            </w:r>
          </w:p>
        </w:tc>
        <w:tc>
          <w:tcPr>
            <w:tcW w:w="120" w:type="dxa"/>
            <w:vAlign w:val="bottom"/>
            <w:tcBorders>
              <w:bottom w:val="single" w:sz="8" w:color="CCEEFF"/>
            </w:tcBorders>
          </w:tcPr>
          <w:p>
            <w:pPr>
              <w:spacing w:after="0"/>
              <w:rPr>
                <w:sz w:val="12"/>
                <w:szCs w:val="12"/>
                <w:color w:val="auto"/>
              </w:rPr>
            </w:pPr>
          </w:p>
        </w:tc>
        <w:tc>
          <w:tcPr>
            <w:tcW w:w="120" w:type="dxa"/>
            <w:vAlign w:val="bottom"/>
            <w:tcBorders>
              <w:left w:val="single" w:sz="8" w:color="auto"/>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2,704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5,622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920" w:type="dxa"/>
            <w:vAlign w:val="bottom"/>
            <w:gridSpan w:val="2"/>
            <w:shd w:val="clear" w:color="auto" w:fill="CCEEFF"/>
          </w:tcPr>
          <w:p>
            <w:pPr>
              <w:ind w:left="200"/>
              <w:spacing w:after="0" w:line="133" w:lineRule="exact"/>
              <w:rPr>
                <w:sz w:val="20"/>
                <w:szCs w:val="20"/>
                <w:color w:val="auto"/>
              </w:rPr>
            </w:pPr>
            <w:r>
              <w:rPr>
                <w:rFonts w:ascii="Arial" w:cs="Arial" w:eastAsia="Arial" w:hAnsi="Arial"/>
                <w:sz w:val="14"/>
                <w:szCs w:val="14"/>
                <w:b w:val="1"/>
                <w:bCs w:val="1"/>
                <w:color w:val="auto"/>
              </w:rPr>
              <w:t>Gross revenue</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190,485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377,277</w:t>
            </w:r>
          </w:p>
        </w:tc>
        <w:tc>
          <w:tcPr>
            <w:tcW w:w="120" w:type="dxa"/>
            <w:vAlign w:val="bottom"/>
            <w:shd w:val="clear" w:color="auto" w:fill="CCEEFF"/>
          </w:tcPr>
          <w:p>
            <w:pPr>
              <w:spacing w:after="0"/>
              <w:rPr>
                <w:sz w:val="11"/>
                <w:szCs w:val="11"/>
                <w:color w:val="auto"/>
              </w:rPr>
            </w:pPr>
          </w:p>
        </w:tc>
        <w:tc>
          <w:tcPr>
            <w:tcW w:w="120" w:type="dxa"/>
            <w:vAlign w:val="bottom"/>
            <w:tcBorders>
              <w:lef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171,015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340,518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920" w:type="dxa"/>
            <w:vAlign w:val="bottom"/>
            <w:gridSpan w:val="2"/>
          </w:tcPr>
          <w:p>
            <w:pPr>
              <w:ind w:left="100"/>
              <w:spacing w:after="0" w:line="140" w:lineRule="exact"/>
              <w:rPr>
                <w:sz w:val="20"/>
                <w:szCs w:val="20"/>
                <w:color w:val="auto"/>
              </w:rPr>
            </w:pPr>
            <w:r>
              <w:rPr>
                <w:rFonts w:ascii="Arial" w:cs="Arial" w:eastAsia="Arial" w:hAnsi="Arial"/>
                <w:sz w:val="14"/>
                <w:szCs w:val="14"/>
                <w:color w:val="auto"/>
              </w:rPr>
              <w:t>Contingent consideration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20"/>
              <w:spacing w:after="0" w:line="14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180"/>
              <w:spacing w:after="0" w:line="140"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40"/>
              <w:spacing w:after="0" w:line="140" w:lineRule="exact"/>
              <w:rPr>
                <w:sz w:val="20"/>
                <w:szCs w:val="20"/>
                <w:color w:val="auto"/>
              </w:rPr>
            </w:pPr>
            <w:r>
              <w:rPr>
                <w:rFonts w:ascii="Arial" w:cs="Arial" w:eastAsia="Arial" w:hAnsi="Arial"/>
                <w:sz w:val="14"/>
                <w:szCs w:val="14"/>
                <w:color w:val="auto"/>
              </w:rPr>
              <w:t>(19,297)</w:t>
            </w:r>
          </w:p>
        </w:tc>
        <w:tc>
          <w:tcPr>
            <w:tcW w:w="120" w:type="dxa"/>
            <w:vAlign w:val="bottom"/>
          </w:tcPr>
          <w:p>
            <w:pPr>
              <w:spacing w:after="0"/>
              <w:rPr>
                <w:sz w:val="12"/>
                <w:szCs w:val="12"/>
                <w:color w:val="auto"/>
              </w:rPr>
            </w:pPr>
          </w:p>
        </w:tc>
        <w:tc>
          <w:tcPr>
            <w:tcW w:w="960" w:type="dxa"/>
            <w:vAlign w:val="bottom"/>
          </w:tcPr>
          <w:p>
            <w:pPr>
              <w:jc w:val="right"/>
              <w:spacing w:after="0" w:line="140" w:lineRule="exact"/>
              <w:rPr>
                <w:sz w:val="20"/>
                <w:szCs w:val="20"/>
                <w:color w:val="auto"/>
              </w:rPr>
            </w:pPr>
            <w:r>
              <w:rPr>
                <w:rFonts w:ascii="Arial" w:cs="Arial" w:eastAsia="Arial" w:hAnsi="Arial"/>
                <w:sz w:val="14"/>
                <w:szCs w:val="14"/>
                <w:color w:val="auto"/>
              </w:rPr>
              <w:t>(29,367)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920" w:type="dxa"/>
            <w:vAlign w:val="bottom"/>
            <w:tcBorders>
              <w:top w:val="single" w:sz="8" w:color="CCEEFF"/>
            </w:tcBorders>
            <w:gridSpan w:val="2"/>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Net revenue</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190,485</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377,277</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left w:val="single" w:sz="8" w:color="auto"/>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151,718</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311,151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9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Expenses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lef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920" w:type="dxa"/>
            <w:vAlign w:val="bottom"/>
            <w:gridSpan w:val="2"/>
          </w:tcPr>
          <w:p>
            <w:pPr>
              <w:ind w:left="100"/>
              <w:spacing w:after="0" w:line="140" w:lineRule="exact"/>
              <w:rPr>
                <w:sz w:val="20"/>
                <w:szCs w:val="20"/>
                <w:color w:val="auto"/>
              </w:rPr>
            </w:pPr>
            <w:r>
              <w:rPr>
                <w:rFonts w:ascii="Arial" w:cs="Arial" w:eastAsia="Arial" w:hAnsi="Arial"/>
                <w:sz w:val="14"/>
                <w:szCs w:val="14"/>
                <w:color w:val="auto"/>
              </w:rPr>
              <w:t>Employee compensation and benefits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0" w:lineRule="exact"/>
              <w:rPr>
                <w:sz w:val="20"/>
                <w:szCs w:val="20"/>
                <w:color w:val="auto"/>
              </w:rPr>
            </w:pPr>
            <w:r>
              <w:rPr>
                <w:rFonts w:ascii="Arial" w:cs="Arial" w:eastAsia="Arial" w:hAnsi="Arial"/>
                <w:sz w:val="14"/>
                <w:szCs w:val="14"/>
                <w:color w:val="auto"/>
              </w:rPr>
              <w:t>95,995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0" w:lineRule="exact"/>
              <w:rPr>
                <w:sz w:val="20"/>
                <w:szCs w:val="20"/>
                <w:color w:val="auto"/>
              </w:rPr>
            </w:pPr>
            <w:r>
              <w:rPr>
                <w:rFonts w:ascii="Arial" w:cs="Arial" w:eastAsia="Arial" w:hAnsi="Arial"/>
                <w:sz w:val="14"/>
                <w:szCs w:val="14"/>
                <w:color w:val="auto"/>
              </w:rPr>
              <w:t>173,268</w:t>
            </w:r>
          </w:p>
        </w:tc>
        <w:tc>
          <w:tcPr>
            <w:tcW w:w="120" w:type="dxa"/>
            <w:vAlign w:val="bottom"/>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0" w:lineRule="exact"/>
              <w:rPr>
                <w:sz w:val="20"/>
                <w:szCs w:val="20"/>
                <w:color w:val="auto"/>
              </w:rPr>
            </w:pPr>
            <w:r>
              <w:rPr>
                <w:rFonts w:ascii="Arial" w:cs="Arial" w:eastAsia="Arial" w:hAnsi="Arial"/>
                <w:sz w:val="14"/>
                <w:szCs w:val="14"/>
                <w:color w:val="auto"/>
              </w:rPr>
              <w:t>68,407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0" w:lineRule="exact"/>
              <w:rPr>
                <w:sz w:val="20"/>
                <w:szCs w:val="20"/>
                <w:color w:val="auto"/>
              </w:rPr>
            </w:pPr>
            <w:r>
              <w:rPr>
                <w:rFonts w:ascii="Arial" w:cs="Arial" w:eastAsia="Arial" w:hAnsi="Arial"/>
                <w:sz w:val="14"/>
                <w:szCs w:val="14"/>
                <w:color w:val="auto"/>
              </w:rPr>
              <w:t>139,977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920" w:type="dxa"/>
            <w:vAlign w:val="bottom"/>
            <w:gridSpan w:val="2"/>
            <w:shd w:val="clear" w:color="auto" w:fill="CCEEFF"/>
          </w:tcPr>
          <w:p>
            <w:pPr>
              <w:ind w:left="100"/>
              <w:spacing w:after="0" w:line="140"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34,292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67,795</w:t>
            </w:r>
          </w:p>
        </w:tc>
        <w:tc>
          <w:tcPr>
            <w:tcW w:w="120" w:type="dxa"/>
            <w:vAlign w:val="bottom"/>
            <w:shd w:val="clear" w:color="auto" w:fill="CCEEFF"/>
          </w:tcPr>
          <w:p>
            <w:pPr>
              <w:spacing w:after="0"/>
              <w:rPr>
                <w:sz w:val="12"/>
                <w:szCs w:val="12"/>
                <w:color w:val="auto"/>
              </w:rPr>
            </w:pPr>
          </w:p>
        </w:tc>
        <w:tc>
          <w:tcPr>
            <w:tcW w:w="120" w:type="dxa"/>
            <w:vAlign w:val="bottom"/>
            <w:tcBorders>
              <w:lef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16,178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32,446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920" w:type="dxa"/>
            <w:vAlign w:val="bottom"/>
            <w:gridSpan w:val="2"/>
          </w:tcPr>
          <w:p>
            <w:pPr>
              <w:ind w:left="100"/>
              <w:spacing w:after="0" w:line="140" w:lineRule="exact"/>
              <w:rPr>
                <w:sz w:val="20"/>
                <w:szCs w:val="20"/>
                <w:color w:val="auto"/>
              </w:rPr>
            </w:pPr>
            <w:r>
              <w:rPr>
                <w:rFonts w:ascii="Arial" w:cs="Arial" w:eastAsia="Arial" w:hAnsi="Arial"/>
                <w:sz w:val="14"/>
                <w:szCs w:val="14"/>
                <w:color w:val="auto"/>
              </w:rPr>
              <w:t>Technology and communications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0" w:lineRule="exact"/>
              <w:rPr>
                <w:sz w:val="20"/>
                <w:szCs w:val="20"/>
                <w:color w:val="auto"/>
              </w:rPr>
            </w:pPr>
            <w:r>
              <w:rPr>
                <w:rFonts w:ascii="Arial" w:cs="Arial" w:eastAsia="Arial" w:hAnsi="Arial"/>
                <w:sz w:val="14"/>
                <w:szCs w:val="14"/>
                <w:color w:val="auto"/>
              </w:rPr>
              <w:t>9,519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0" w:lineRule="exact"/>
              <w:rPr>
                <w:sz w:val="20"/>
                <w:szCs w:val="20"/>
                <w:color w:val="auto"/>
              </w:rPr>
            </w:pPr>
            <w:r>
              <w:rPr>
                <w:rFonts w:ascii="Arial" w:cs="Arial" w:eastAsia="Arial" w:hAnsi="Arial"/>
                <w:sz w:val="14"/>
                <w:szCs w:val="14"/>
                <w:color w:val="auto"/>
              </w:rPr>
              <w:t>19,559</w:t>
            </w:r>
          </w:p>
        </w:tc>
        <w:tc>
          <w:tcPr>
            <w:tcW w:w="120" w:type="dxa"/>
            <w:vAlign w:val="bottom"/>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0" w:lineRule="exact"/>
              <w:rPr>
                <w:sz w:val="20"/>
                <w:szCs w:val="20"/>
                <w:color w:val="auto"/>
              </w:rPr>
            </w:pPr>
            <w:r>
              <w:rPr>
                <w:rFonts w:ascii="Arial" w:cs="Arial" w:eastAsia="Arial" w:hAnsi="Arial"/>
                <w:sz w:val="14"/>
                <w:szCs w:val="14"/>
                <w:color w:val="auto"/>
              </w:rPr>
              <w:t>9,023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0" w:lineRule="exact"/>
              <w:rPr>
                <w:sz w:val="20"/>
                <w:szCs w:val="20"/>
                <w:color w:val="auto"/>
              </w:rPr>
            </w:pPr>
            <w:r>
              <w:rPr>
                <w:rFonts w:ascii="Arial" w:cs="Arial" w:eastAsia="Arial" w:hAnsi="Arial"/>
                <w:sz w:val="14"/>
                <w:szCs w:val="14"/>
                <w:color w:val="auto"/>
              </w:rPr>
              <w:t>17,486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920" w:type="dxa"/>
            <w:vAlign w:val="bottom"/>
            <w:gridSpan w:val="2"/>
            <w:shd w:val="clear" w:color="auto" w:fill="CCEEFF"/>
          </w:tcPr>
          <w:p>
            <w:pPr>
              <w:ind w:left="100"/>
              <w:spacing w:after="0" w:line="140" w:lineRule="exact"/>
              <w:rPr>
                <w:sz w:val="20"/>
                <w:szCs w:val="20"/>
                <w:color w:val="auto"/>
              </w:rPr>
            </w:pPr>
            <w:r>
              <w:rPr>
                <w:rFonts w:ascii="Arial" w:cs="Arial" w:eastAsia="Arial" w:hAnsi="Arial"/>
                <w:sz w:val="14"/>
                <w:szCs w:val="14"/>
                <w:color w:val="auto"/>
              </w:rPr>
              <w:t>General and administrative</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9,365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18,454</w:t>
            </w:r>
          </w:p>
        </w:tc>
        <w:tc>
          <w:tcPr>
            <w:tcW w:w="120" w:type="dxa"/>
            <w:vAlign w:val="bottom"/>
            <w:shd w:val="clear" w:color="auto" w:fill="CCEEFF"/>
          </w:tcPr>
          <w:p>
            <w:pPr>
              <w:spacing w:after="0"/>
              <w:rPr>
                <w:sz w:val="12"/>
                <w:szCs w:val="12"/>
                <w:color w:val="auto"/>
              </w:rPr>
            </w:pPr>
          </w:p>
        </w:tc>
        <w:tc>
          <w:tcPr>
            <w:tcW w:w="120" w:type="dxa"/>
            <w:vAlign w:val="bottom"/>
            <w:tcBorders>
              <w:lef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7,153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13,670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920" w:type="dxa"/>
            <w:vAlign w:val="bottom"/>
            <w:gridSpan w:val="2"/>
          </w:tcPr>
          <w:p>
            <w:pPr>
              <w:ind w:left="100"/>
              <w:spacing w:after="0" w:line="140" w:lineRule="exact"/>
              <w:rPr>
                <w:sz w:val="20"/>
                <w:szCs w:val="20"/>
                <w:color w:val="auto"/>
              </w:rPr>
            </w:pPr>
            <w:r>
              <w:rPr>
                <w:rFonts w:ascii="Arial" w:cs="Arial" w:eastAsia="Arial" w:hAnsi="Arial"/>
                <w:sz w:val="14"/>
                <w:szCs w:val="14"/>
                <w:color w:val="auto"/>
              </w:rPr>
              <w:t>Professional fees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0" w:lineRule="exact"/>
              <w:rPr>
                <w:sz w:val="20"/>
                <w:szCs w:val="20"/>
                <w:color w:val="auto"/>
              </w:rPr>
            </w:pPr>
            <w:r>
              <w:rPr>
                <w:rFonts w:ascii="Arial" w:cs="Arial" w:eastAsia="Arial" w:hAnsi="Arial"/>
                <w:sz w:val="14"/>
                <w:szCs w:val="14"/>
                <w:color w:val="auto"/>
              </w:rPr>
              <w:t>6,738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0" w:lineRule="exact"/>
              <w:rPr>
                <w:sz w:val="20"/>
                <w:szCs w:val="20"/>
                <w:color w:val="auto"/>
              </w:rPr>
            </w:pPr>
            <w:r>
              <w:rPr>
                <w:rFonts w:ascii="Arial" w:cs="Arial" w:eastAsia="Arial" w:hAnsi="Arial"/>
                <w:sz w:val="14"/>
                <w:szCs w:val="14"/>
                <w:color w:val="auto"/>
              </w:rPr>
              <w:t>13,709</w:t>
            </w:r>
          </w:p>
        </w:tc>
        <w:tc>
          <w:tcPr>
            <w:tcW w:w="120" w:type="dxa"/>
            <w:vAlign w:val="bottom"/>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0" w:lineRule="exact"/>
              <w:rPr>
                <w:sz w:val="20"/>
                <w:szCs w:val="20"/>
                <w:color w:val="auto"/>
              </w:rPr>
            </w:pPr>
            <w:r>
              <w:rPr>
                <w:rFonts w:ascii="Arial" w:cs="Arial" w:eastAsia="Arial" w:hAnsi="Arial"/>
                <w:sz w:val="14"/>
                <w:szCs w:val="14"/>
                <w:color w:val="auto"/>
              </w:rPr>
              <w:t>7,276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0" w:lineRule="exact"/>
              <w:rPr>
                <w:sz w:val="20"/>
                <w:szCs w:val="20"/>
                <w:color w:val="auto"/>
              </w:rPr>
            </w:pPr>
            <w:r>
              <w:rPr>
                <w:rFonts w:ascii="Arial" w:cs="Arial" w:eastAsia="Arial" w:hAnsi="Arial"/>
                <w:sz w:val="14"/>
                <w:szCs w:val="14"/>
                <w:color w:val="auto"/>
              </w:rPr>
              <w:t>12,814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920" w:type="dxa"/>
            <w:vAlign w:val="bottom"/>
            <w:gridSpan w:val="2"/>
            <w:shd w:val="clear" w:color="auto" w:fill="CCEEFF"/>
          </w:tcPr>
          <w:p>
            <w:pPr>
              <w:ind w:left="100"/>
              <w:spacing w:after="0" w:line="140" w:lineRule="exact"/>
              <w:rPr>
                <w:sz w:val="20"/>
                <w:szCs w:val="20"/>
                <w:color w:val="auto"/>
              </w:rPr>
            </w:pPr>
            <w:r>
              <w:rPr>
                <w:rFonts w:ascii="Arial" w:cs="Arial" w:eastAsia="Arial" w:hAnsi="Arial"/>
                <w:sz w:val="14"/>
                <w:szCs w:val="14"/>
                <w:color w:val="auto"/>
              </w:rPr>
              <w:t>Occupancy</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3,621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7,260</w:t>
            </w:r>
          </w:p>
        </w:tc>
        <w:tc>
          <w:tcPr>
            <w:tcW w:w="120" w:type="dxa"/>
            <w:vAlign w:val="bottom"/>
            <w:shd w:val="clear" w:color="auto" w:fill="CCEEFF"/>
          </w:tcPr>
          <w:p>
            <w:pPr>
              <w:spacing w:after="0"/>
              <w:rPr>
                <w:sz w:val="12"/>
                <w:szCs w:val="12"/>
                <w:color w:val="auto"/>
              </w:rPr>
            </w:pPr>
          </w:p>
        </w:tc>
        <w:tc>
          <w:tcPr>
            <w:tcW w:w="120" w:type="dxa"/>
            <w:vAlign w:val="bottom"/>
            <w:tcBorders>
              <w:left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3,519</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7,241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920" w:type="dxa"/>
            <w:vAlign w:val="bottom"/>
            <w:tcBorders>
              <w:bottom w:val="single" w:sz="8" w:color="CCEEFF"/>
            </w:tcBorders>
            <w:gridSpan w:val="2"/>
          </w:tcPr>
          <w:p>
            <w:pPr>
              <w:ind w:left="200"/>
              <w:spacing w:after="0" w:line="133" w:lineRule="exact"/>
              <w:rPr>
                <w:sz w:val="20"/>
                <w:szCs w:val="20"/>
                <w:color w:val="auto"/>
              </w:rPr>
            </w:pPr>
            <w:r>
              <w:rPr>
                <w:rFonts w:ascii="Arial" w:cs="Arial" w:eastAsia="Arial" w:hAnsi="Arial"/>
                <w:sz w:val="14"/>
                <w:szCs w:val="14"/>
                <w:b w:val="1"/>
                <w:bCs w:val="1"/>
                <w:color w:val="auto"/>
              </w:rPr>
              <w:t>Total expenses</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159,530</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300,045</w:t>
            </w:r>
          </w:p>
        </w:tc>
        <w:tc>
          <w:tcPr>
            <w:tcW w:w="120" w:type="dxa"/>
            <w:vAlign w:val="bottom"/>
            <w:tcBorders>
              <w:bottom w:val="single" w:sz="8" w:color="CCEEFF"/>
            </w:tcBorders>
          </w:tcPr>
          <w:p>
            <w:pPr>
              <w:spacing w:after="0"/>
              <w:rPr>
                <w:sz w:val="11"/>
                <w:szCs w:val="11"/>
                <w:color w:val="auto"/>
              </w:rPr>
            </w:pPr>
          </w:p>
        </w:tc>
        <w:tc>
          <w:tcPr>
            <w:tcW w:w="120" w:type="dxa"/>
            <w:vAlign w:val="bottom"/>
            <w:tcBorders>
              <w:left w:val="single" w:sz="8" w:color="auto"/>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111,556</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223,634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92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Operating income</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30,955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77,232</w:t>
            </w:r>
          </w:p>
        </w:tc>
        <w:tc>
          <w:tcPr>
            <w:tcW w:w="120" w:type="dxa"/>
            <w:vAlign w:val="bottom"/>
            <w:shd w:val="clear" w:color="auto" w:fill="CCEEFF"/>
          </w:tcPr>
          <w:p>
            <w:pPr>
              <w:spacing w:after="0"/>
              <w:rPr>
                <w:sz w:val="11"/>
                <w:szCs w:val="11"/>
                <w:color w:val="auto"/>
              </w:rPr>
            </w:pPr>
          </w:p>
        </w:tc>
        <w:tc>
          <w:tcPr>
            <w:tcW w:w="120" w:type="dxa"/>
            <w:vAlign w:val="bottom"/>
            <w:tcBorders>
              <w:left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40,162</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87,517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920" w:type="dxa"/>
            <w:vAlign w:val="bottom"/>
            <w:tcBorders>
              <w:bottom w:val="single" w:sz="8" w:color="CCEEFF"/>
            </w:tcBorders>
            <w:gridSpan w:val="2"/>
          </w:tcPr>
          <w:p>
            <w:pPr>
              <w:ind w:left="100"/>
              <w:spacing w:after="0" w:line="133" w:lineRule="exact"/>
              <w:rPr>
                <w:sz w:val="20"/>
                <w:szCs w:val="20"/>
                <w:color w:val="auto"/>
              </w:rPr>
            </w:pPr>
            <w:r>
              <w:rPr>
                <w:rFonts w:ascii="Arial" w:cs="Arial" w:eastAsia="Arial" w:hAnsi="Arial"/>
                <w:sz w:val="14"/>
                <w:szCs w:val="14"/>
                <w:color w:val="auto"/>
              </w:rPr>
              <w:t>Net interest income</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175</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1,033</w:t>
            </w:r>
          </w:p>
        </w:tc>
        <w:tc>
          <w:tcPr>
            <w:tcW w:w="120" w:type="dxa"/>
            <w:vAlign w:val="bottom"/>
            <w:tcBorders>
              <w:bottom w:val="single" w:sz="8" w:color="CCEEFF"/>
            </w:tcBorders>
          </w:tcPr>
          <w:p>
            <w:pPr>
              <w:spacing w:after="0"/>
              <w:rPr>
                <w:sz w:val="11"/>
                <w:szCs w:val="11"/>
                <w:color w:val="auto"/>
              </w:rPr>
            </w:pPr>
          </w:p>
        </w:tc>
        <w:tc>
          <w:tcPr>
            <w:tcW w:w="120" w:type="dxa"/>
            <w:vAlign w:val="bottom"/>
            <w:tcBorders>
              <w:left w:val="single" w:sz="8" w:color="auto"/>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582</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1,053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92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Income before taxes</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31,130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78,265</w:t>
            </w:r>
          </w:p>
        </w:tc>
        <w:tc>
          <w:tcPr>
            <w:tcW w:w="120" w:type="dxa"/>
            <w:vAlign w:val="bottom"/>
            <w:shd w:val="clear" w:color="auto" w:fill="CCEEFF"/>
          </w:tcPr>
          <w:p>
            <w:pPr>
              <w:spacing w:after="0"/>
              <w:rPr>
                <w:sz w:val="11"/>
                <w:szCs w:val="11"/>
                <w:color w:val="auto"/>
              </w:rPr>
            </w:pPr>
          </w:p>
        </w:tc>
        <w:tc>
          <w:tcPr>
            <w:tcW w:w="120" w:type="dxa"/>
            <w:vAlign w:val="bottom"/>
            <w:tcBorders>
              <w:lef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40,744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88,570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920" w:type="dxa"/>
            <w:vAlign w:val="bottom"/>
            <w:gridSpan w:val="2"/>
          </w:tcPr>
          <w:p>
            <w:pPr>
              <w:spacing w:after="0" w:line="140" w:lineRule="exact"/>
              <w:rPr>
                <w:sz w:val="20"/>
                <w:szCs w:val="20"/>
                <w:color w:val="auto"/>
              </w:rPr>
            </w:pPr>
            <w:r>
              <w:rPr>
                <w:rFonts w:ascii="Arial" w:cs="Arial" w:eastAsia="Arial" w:hAnsi="Arial"/>
                <w:sz w:val="14"/>
                <w:szCs w:val="14"/>
                <w:color w:val="auto"/>
              </w:rPr>
              <w:t>Provision for income taxes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60"/>
              <w:spacing w:after="0" w:line="140" w:lineRule="exact"/>
              <w:rPr>
                <w:sz w:val="20"/>
                <w:szCs w:val="20"/>
                <w:color w:val="auto"/>
              </w:rPr>
            </w:pPr>
            <w:r>
              <w:rPr>
                <w:rFonts w:ascii="Arial" w:cs="Arial" w:eastAsia="Arial" w:hAnsi="Arial"/>
                <w:sz w:val="14"/>
                <w:szCs w:val="14"/>
                <w:color w:val="auto"/>
              </w:rPr>
              <w:t>(6,314)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120"/>
              <w:spacing w:after="0" w:line="140" w:lineRule="exact"/>
              <w:rPr>
                <w:sz w:val="20"/>
                <w:szCs w:val="20"/>
                <w:color w:val="auto"/>
              </w:rPr>
            </w:pPr>
            <w:r>
              <w:rPr>
                <w:rFonts w:ascii="Arial" w:cs="Arial" w:eastAsia="Arial" w:hAnsi="Arial"/>
                <w:sz w:val="14"/>
                <w:szCs w:val="14"/>
                <w:color w:val="auto"/>
              </w:rPr>
              <w:t>(11,097)</w:t>
            </w:r>
          </w:p>
        </w:tc>
        <w:tc>
          <w:tcPr>
            <w:tcW w:w="1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40"/>
              <w:spacing w:after="0" w:line="140" w:lineRule="exact"/>
              <w:rPr>
                <w:sz w:val="20"/>
                <w:szCs w:val="20"/>
                <w:color w:val="auto"/>
              </w:rPr>
            </w:pPr>
            <w:r>
              <w:rPr>
                <w:rFonts w:ascii="Arial" w:cs="Arial" w:eastAsia="Arial" w:hAnsi="Arial"/>
                <w:sz w:val="14"/>
                <w:szCs w:val="14"/>
                <w:color w:val="auto"/>
              </w:rPr>
              <w:t>(1,847)</w:t>
            </w:r>
          </w:p>
        </w:tc>
        <w:tc>
          <w:tcPr>
            <w:tcW w:w="120" w:type="dxa"/>
            <w:vAlign w:val="bottom"/>
          </w:tcPr>
          <w:p>
            <w:pPr>
              <w:spacing w:after="0"/>
              <w:rPr>
                <w:sz w:val="12"/>
                <w:szCs w:val="12"/>
                <w:color w:val="auto"/>
              </w:rPr>
            </w:pPr>
          </w:p>
        </w:tc>
        <w:tc>
          <w:tcPr>
            <w:tcW w:w="960" w:type="dxa"/>
            <w:vAlign w:val="bottom"/>
          </w:tcPr>
          <w:p>
            <w:pPr>
              <w:jc w:val="right"/>
              <w:spacing w:after="0" w:line="140" w:lineRule="exact"/>
              <w:rPr>
                <w:sz w:val="20"/>
                <w:szCs w:val="20"/>
                <w:color w:val="auto"/>
              </w:rPr>
            </w:pPr>
            <w:r>
              <w:rPr>
                <w:rFonts w:ascii="Arial" w:cs="Arial" w:eastAsia="Arial" w:hAnsi="Arial"/>
                <w:sz w:val="14"/>
                <w:szCs w:val="14"/>
                <w:color w:val="auto"/>
              </w:rPr>
              <w:t>(4,365)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920" w:type="dxa"/>
            <w:vAlign w:val="bottom"/>
            <w:tcBorders>
              <w:top w:val="single" w:sz="8" w:color="CCEEFF"/>
              <w:bottom w:val="single" w:sz="8" w:color="CCEEFF"/>
            </w:tcBorders>
            <w:gridSpan w:val="2"/>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Net income</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CCEEFF"/>
            </w:tcBorders>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24,816</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bottom w:val="single" w:sz="8" w:color="CCEEFF"/>
            </w:tcBorders>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67,168</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left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38,897</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84,205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920" w:type="dxa"/>
            <w:vAlign w:val="bottom"/>
            <w:gridSpan w:val="2"/>
          </w:tcPr>
          <w:p>
            <w:pPr>
              <w:spacing w:after="0" w:line="125" w:lineRule="exact"/>
              <w:rPr>
                <w:sz w:val="20"/>
                <w:szCs w:val="20"/>
                <w:color w:val="auto"/>
              </w:rPr>
            </w:pPr>
            <w:r>
              <w:rPr>
                <w:rFonts w:ascii="Arial" w:cs="Arial" w:eastAsia="Arial" w:hAnsi="Arial"/>
                <w:sz w:val="14"/>
                <w:szCs w:val="14"/>
                <w:color w:val="auto"/>
                <w:w w:val="97"/>
              </w:rPr>
              <w:t>Less: Pre-IPO net income attributable to Tradeweb Markets LLC</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120"/>
              <w:spacing w:after="0" w:line="12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jc w:val="right"/>
              <w:spacing w:after="0" w:line="125" w:lineRule="exact"/>
              <w:rPr>
                <w:sz w:val="20"/>
                <w:szCs w:val="20"/>
                <w:color w:val="auto"/>
              </w:rPr>
            </w:pPr>
            <w:r>
              <w:rPr>
                <w:rFonts w:ascii="Arial" w:cs="Arial" w:eastAsia="Arial" w:hAnsi="Arial"/>
                <w:sz w:val="14"/>
                <w:szCs w:val="14"/>
                <w:color w:val="auto"/>
              </w:rPr>
              <w:t>42,352</w:t>
            </w:r>
          </w:p>
        </w:tc>
        <w:tc>
          <w:tcPr>
            <w:tcW w:w="120" w:type="dxa"/>
            <w:vAlign w:val="bottom"/>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920" w:type="dxa"/>
            <w:vAlign w:val="bottom"/>
            <w:tcBorders>
              <w:top w:val="single" w:sz="8" w:color="CCEEFF"/>
            </w:tcBorders>
            <w:gridSpan w:val="2"/>
            <w:shd w:val="clear" w:color="auto" w:fill="CCEEFF"/>
          </w:tcPr>
          <w:p>
            <w:pPr>
              <w:spacing w:after="0" w:line="102" w:lineRule="exact"/>
              <w:rPr>
                <w:sz w:val="20"/>
                <w:szCs w:val="20"/>
                <w:color w:val="auto"/>
              </w:rPr>
            </w:pPr>
            <w:r>
              <w:rPr>
                <w:rFonts w:ascii="Arial" w:cs="Arial" w:eastAsia="Arial" w:hAnsi="Arial"/>
                <w:sz w:val="11"/>
                <w:szCs w:val="11"/>
                <w:color w:val="auto"/>
              </w:rPr>
              <w:t>Net income attributable to Tradeweb Markets Inc. and non-controlling</w:t>
            </w: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9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11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left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9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CCEEFF"/>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392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interests</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24,816</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24,816</w:t>
            </w:r>
          </w:p>
        </w:tc>
        <w:tc>
          <w:tcPr>
            <w:tcW w:w="120" w:type="dxa"/>
            <w:vAlign w:val="bottom"/>
            <w:shd w:val="clear" w:color="auto" w:fill="CCEEFF"/>
          </w:tcPr>
          <w:p>
            <w:pPr>
              <w:spacing w:after="0"/>
              <w:rPr>
                <w:sz w:val="13"/>
                <w:szCs w:val="13"/>
                <w:color w:val="auto"/>
              </w:rPr>
            </w:pPr>
          </w:p>
        </w:tc>
        <w:tc>
          <w:tcPr>
            <w:tcW w:w="120" w:type="dxa"/>
            <w:vAlign w:val="bottom"/>
            <w:tcBorders>
              <w:lef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920" w:type="dxa"/>
            <w:vAlign w:val="bottom"/>
            <w:tcBorders>
              <w:bottom w:val="single" w:sz="8" w:color="CCEEFF"/>
            </w:tcBorders>
            <w:gridSpan w:val="2"/>
          </w:tcPr>
          <w:p>
            <w:pPr>
              <w:spacing w:after="0" w:line="140" w:lineRule="exact"/>
              <w:rPr>
                <w:sz w:val="20"/>
                <w:szCs w:val="20"/>
                <w:color w:val="auto"/>
              </w:rPr>
            </w:pPr>
            <w:r>
              <w:rPr>
                <w:rFonts w:ascii="Arial" w:cs="Arial" w:eastAsia="Arial" w:hAnsi="Arial"/>
                <w:sz w:val="14"/>
                <w:szCs w:val="14"/>
                <w:color w:val="auto"/>
              </w:rPr>
              <w:t>Less: Net income attributable to non-controlling interests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11,988</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11,988</w:t>
            </w:r>
          </w:p>
        </w:tc>
        <w:tc>
          <w:tcPr>
            <w:tcW w:w="120" w:type="dxa"/>
            <w:vAlign w:val="bottom"/>
            <w:tcBorders>
              <w:bottom w:val="single" w:sz="8" w:color="CCEEFF"/>
            </w:tcBorders>
          </w:tcPr>
          <w:p>
            <w:pPr>
              <w:spacing w:after="0"/>
              <w:rPr>
                <w:sz w:val="12"/>
                <w:szCs w:val="12"/>
                <w:color w:val="auto"/>
              </w:rPr>
            </w:pPr>
          </w:p>
        </w:tc>
        <w:tc>
          <w:tcPr>
            <w:tcW w:w="120" w:type="dxa"/>
            <w:vAlign w:val="bottom"/>
            <w:tcBorders>
              <w:left w:val="single" w:sz="8" w:color="auto"/>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20" w:type="dxa"/>
            <w:vAlign w:val="bottom"/>
            <w:tcBorders>
              <w:bottom w:val="single" w:sz="8" w:color="CCEEFF"/>
            </w:tcBorders>
            <w:gridSpan w:val="2"/>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Net income attributable to Tradeweb Markets Inc.</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12,828</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12,828</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left w:val="single" w:sz="8" w:color="auto"/>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2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3920" w:type="dxa"/>
            <w:vAlign w:val="bottom"/>
            <w:gridSpan w:val="2"/>
            <w:shd w:val="clear" w:color="auto" w:fill="CCEEFF"/>
          </w:tcPr>
          <w:p>
            <w:pPr>
              <w:spacing w:after="0" w:line="127" w:lineRule="exact"/>
              <w:rPr>
                <w:sz w:val="20"/>
                <w:szCs w:val="20"/>
                <w:color w:val="auto"/>
              </w:rPr>
            </w:pPr>
            <w:r>
              <w:rPr>
                <w:rFonts w:ascii="Arial" w:cs="Arial" w:eastAsia="Arial" w:hAnsi="Arial"/>
                <w:sz w:val="14"/>
                <w:szCs w:val="14"/>
                <w:b w:val="1"/>
                <w:bCs w:val="1"/>
                <w:color w:val="auto"/>
              </w:rPr>
              <w:t xml:space="preserve">EPS calculations for pre-IPO and post-IPO periods </w:t>
            </w:r>
            <w:r>
              <w:rPr>
                <w:rFonts w:ascii="Arial" w:cs="Arial" w:eastAsia="Arial" w:hAnsi="Arial"/>
                <w:sz w:val="14"/>
                <w:szCs w:val="14"/>
                <w:b w:val="1"/>
                <w:bCs w:val="1"/>
                <w:color w:val="auto"/>
                <w:vertAlign w:val="superscript"/>
              </w:rPr>
              <w:t>(1)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lef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60" w:type="dxa"/>
            <w:vAlign w:val="bottom"/>
            <w:tcBorders>
              <w:top w:val="single" w:sz="8" w:color="auto"/>
            </w:tcBorders>
          </w:tcPr>
          <w:p>
            <w:pPr>
              <w:spacing w:after="0" w:line="133" w:lineRule="exact"/>
              <w:rPr>
                <w:sz w:val="20"/>
                <w:szCs w:val="20"/>
                <w:color w:val="auto"/>
              </w:rPr>
            </w:pPr>
            <w:r>
              <w:rPr>
                <w:rFonts w:ascii="Arial" w:cs="Arial" w:eastAsia="Arial" w:hAnsi="Arial"/>
                <w:sz w:val="14"/>
                <w:szCs w:val="14"/>
                <w:color w:val="auto"/>
              </w:rPr>
              <w:t>Earnings per share</w:t>
            </w:r>
          </w:p>
        </w:tc>
        <w:tc>
          <w:tcPr>
            <w:tcW w:w="9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left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960" w:type="dxa"/>
            <w:vAlign w:val="bottom"/>
            <w:tcBorders>
              <w:top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9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4"/>
                <w:szCs w:val="14"/>
                <w:color w:val="auto"/>
              </w:rPr>
              <w:t xml:space="preserve">0.19 </w:t>
            </w:r>
            <w:r>
              <w:rPr>
                <w:rFonts w:ascii="Arial" w:cs="Arial" w:eastAsia="Arial" w:hAnsi="Arial"/>
                <w:sz w:val="14"/>
                <w:szCs w:val="14"/>
                <w:color w:val="auto"/>
                <w:vertAlign w:val="superscript"/>
              </w:rPr>
              <w:t>(a)</w:t>
            </w:r>
            <w:r>
              <w:rPr>
                <w:rFonts w:ascii="Arial" w:cs="Arial" w:eastAsia="Arial" w:hAnsi="Arial"/>
                <w:sz w:val="14"/>
                <w:szCs w:val="14"/>
                <w:color w:val="auto"/>
              </w:rPr>
              <w:t xml:space="preserve"> /</w:t>
            </w:r>
          </w:p>
        </w:tc>
        <w:tc>
          <w:tcPr>
            <w:tcW w:w="120" w:type="dxa"/>
            <w:vAlign w:val="bottom"/>
            <w:tcBorders>
              <w:lef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920" w:type="dxa"/>
            <w:vAlign w:val="bottom"/>
            <w:gridSpan w:val="2"/>
            <w:shd w:val="clear" w:color="auto" w:fill="CCEEFF"/>
          </w:tcPr>
          <w:p>
            <w:pPr>
              <w:ind w:left="100"/>
              <w:spacing w:after="0" w:line="158" w:lineRule="exact"/>
              <w:rPr>
                <w:sz w:val="20"/>
                <w:szCs w:val="20"/>
                <w:color w:val="auto"/>
              </w:rPr>
            </w:pPr>
            <w:r>
              <w:rPr>
                <w:rFonts w:ascii="Arial" w:cs="Arial" w:eastAsia="Arial" w:hAnsi="Arial"/>
                <w:sz w:val="14"/>
                <w:szCs w:val="14"/>
                <w:color w:val="auto"/>
              </w:rPr>
              <w:t>Basic</w:t>
            </w:r>
          </w:p>
        </w:tc>
        <w:tc>
          <w:tcPr>
            <w:tcW w:w="1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 xml:space="preserve">0.09 </w:t>
            </w:r>
            <w:r>
              <w:rPr>
                <w:rFonts w:ascii="Arial" w:cs="Arial" w:eastAsia="Arial" w:hAnsi="Arial"/>
                <w:sz w:val="14"/>
                <w:szCs w:val="14"/>
                <w:color w:val="auto"/>
                <w:vertAlign w:val="superscript"/>
              </w:rPr>
              <w:t>(b)</w:t>
            </w:r>
          </w:p>
        </w:tc>
        <w:tc>
          <w:tcPr>
            <w:tcW w:w="260" w:type="dxa"/>
            <w:vAlign w:val="bottom"/>
            <w:gridSpan w:val="2"/>
            <w:shd w:val="clear" w:color="auto" w:fill="CCEEFF"/>
          </w:tcPr>
          <w:p>
            <w:pPr>
              <w:jc w:val="right"/>
              <w:ind w:right="69"/>
              <w:spacing w:after="0" w:line="158"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 xml:space="preserve">0.09 </w:t>
            </w:r>
            <w:r>
              <w:rPr>
                <w:rFonts w:ascii="Arial" w:cs="Arial" w:eastAsia="Arial" w:hAnsi="Arial"/>
                <w:sz w:val="14"/>
                <w:szCs w:val="14"/>
                <w:color w:val="auto"/>
                <w:vertAlign w:val="superscript"/>
              </w:rPr>
              <w:t>(b)</w:t>
            </w:r>
          </w:p>
        </w:tc>
        <w:tc>
          <w:tcPr>
            <w:tcW w:w="220" w:type="dxa"/>
            <w:vAlign w:val="bottom"/>
            <w:tcBorders>
              <w:left w:val="single" w:sz="8" w:color="auto"/>
            </w:tcBorders>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 xml:space="preserve">0.18 </w:t>
            </w:r>
            <w:r>
              <w:rPr>
                <w:rFonts w:ascii="Arial" w:cs="Arial" w:eastAsia="Arial" w:hAnsi="Arial"/>
                <w:sz w:val="14"/>
                <w:szCs w:val="14"/>
                <w:color w:val="auto"/>
                <w:vertAlign w:val="superscript"/>
              </w:rPr>
              <w:t>(a)</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 xml:space="preserve">0.39 </w:t>
            </w:r>
            <w:r>
              <w:rPr>
                <w:rFonts w:ascii="Arial" w:cs="Arial" w:eastAsia="Arial" w:hAnsi="Arial"/>
                <w:sz w:val="14"/>
                <w:szCs w:val="14"/>
                <w:color w:val="auto"/>
                <w:vertAlign w:val="superscript"/>
              </w:rPr>
              <w:t>(a)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960" w:type="dxa"/>
            <w:vAlign w:val="bottom"/>
            <w:tcBorders>
              <w:top w:val="single" w:sz="8" w:color="CCEEFF"/>
            </w:tcBorders>
          </w:tcPr>
          <w:p>
            <w:pPr>
              <w:spacing w:after="0"/>
              <w:rPr>
                <w:sz w:val="9"/>
                <w:szCs w:val="9"/>
                <w:color w:val="auto"/>
              </w:rPr>
            </w:pPr>
          </w:p>
        </w:tc>
        <w:tc>
          <w:tcPr>
            <w:tcW w:w="96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2"/>
                <w:szCs w:val="12"/>
                <w:color w:val="auto"/>
              </w:rPr>
              <w:t xml:space="preserve">0.19 </w:t>
            </w:r>
            <w:r>
              <w:rPr>
                <w:rFonts w:ascii="Arial" w:cs="Arial" w:eastAsia="Arial" w:hAnsi="Arial"/>
                <w:sz w:val="12"/>
                <w:szCs w:val="12"/>
                <w:color w:val="auto"/>
                <w:vertAlign w:val="superscript"/>
              </w:rPr>
              <w:t>(a)</w:t>
            </w:r>
            <w:r>
              <w:rPr>
                <w:rFonts w:ascii="Arial" w:cs="Arial" w:eastAsia="Arial" w:hAnsi="Arial"/>
                <w:sz w:val="12"/>
                <w:szCs w:val="12"/>
                <w:color w:val="auto"/>
              </w:rPr>
              <w:t xml:space="preserve"> /</w:t>
            </w:r>
          </w:p>
        </w:tc>
        <w:tc>
          <w:tcPr>
            <w:tcW w:w="120" w:type="dxa"/>
            <w:vAlign w:val="bottom"/>
            <w:tcBorders>
              <w:top w:val="single" w:sz="8" w:color="CCEEFF"/>
            </w:tcBorders>
          </w:tcPr>
          <w:p>
            <w:pPr>
              <w:spacing w:after="0"/>
              <w:rPr>
                <w:sz w:val="9"/>
                <w:szCs w:val="9"/>
                <w:color w:val="auto"/>
              </w:rPr>
            </w:pPr>
          </w:p>
        </w:tc>
        <w:tc>
          <w:tcPr>
            <w:tcW w:w="120" w:type="dxa"/>
            <w:vAlign w:val="bottom"/>
            <w:tcBorders>
              <w:top w:val="single" w:sz="8" w:color="CCEEFF"/>
              <w:left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3920" w:type="dxa"/>
            <w:vAlign w:val="bottom"/>
            <w:gridSpan w:val="2"/>
          </w:tcPr>
          <w:p>
            <w:pPr>
              <w:ind w:left="100"/>
              <w:spacing w:after="0" w:line="158" w:lineRule="exact"/>
              <w:rPr>
                <w:sz w:val="20"/>
                <w:szCs w:val="20"/>
                <w:color w:val="auto"/>
              </w:rPr>
            </w:pPr>
            <w:r>
              <w:rPr>
                <w:rFonts w:ascii="Arial" w:cs="Arial" w:eastAsia="Arial" w:hAnsi="Arial"/>
                <w:sz w:val="14"/>
                <w:szCs w:val="14"/>
                <w:color w:val="auto"/>
              </w:rPr>
              <w:t>Diluted</w:t>
            </w:r>
          </w:p>
        </w:tc>
        <w:tc>
          <w:tcPr>
            <w:tcW w:w="1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 xml:space="preserve">0.09 </w:t>
            </w:r>
            <w:r>
              <w:rPr>
                <w:rFonts w:ascii="Arial" w:cs="Arial" w:eastAsia="Arial" w:hAnsi="Arial"/>
                <w:sz w:val="14"/>
                <w:szCs w:val="14"/>
                <w:color w:val="auto"/>
                <w:vertAlign w:val="superscript"/>
              </w:rPr>
              <w:t>(b)</w:t>
            </w:r>
          </w:p>
        </w:tc>
        <w:tc>
          <w:tcPr>
            <w:tcW w:w="260" w:type="dxa"/>
            <w:vAlign w:val="bottom"/>
            <w:gridSpan w:val="2"/>
          </w:tcPr>
          <w:p>
            <w:pPr>
              <w:jc w:val="right"/>
              <w:ind w:right="69"/>
              <w:spacing w:after="0" w:line="158"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 xml:space="preserve">0.09 </w:t>
            </w:r>
            <w:r>
              <w:rPr>
                <w:rFonts w:ascii="Arial" w:cs="Arial" w:eastAsia="Arial" w:hAnsi="Arial"/>
                <w:sz w:val="14"/>
                <w:szCs w:val="14"/>
                <w:color w:val="auto"/>
                <w:vertAlign w:val="superscript"/>
              </w:rPr>
              <w:t>(b)</w:t>
            </w:r>
          </w:p>
        </w:tc>
        <w:tc>
          <w:tcPr>
            <w:tcW w:w="220" w:type="dxa"/>
            <w:vAlign w:val="bottom"/>
            <w:tcBorders>
              <w:left w:val="single" w:sz="8" w:color="auto"/>
            </w:tcBorders>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 xml:space="preserve">0.18 </w:t>
            </w:r>
            <w:r>
              <w:rPr>
                <w:rFonts w:ascii="Arial" w:cs="Arial" w:eastAsia="Arial" w:hAnsi="Arial"/>
                <w:sz w:val="14"/>
                <w:szCs w:val="14"/>
                <w:color w:val="auto"/>
                <w:vertAlign w:val="superscript"/>
              </w:rPr>
              <w:t>(a)</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 xml:space="preserve">0.39 </w:t>
            </w:r>
            <w:r>
              <w:rPr>
                <w:rFonts w:ascii="Arial" w:cs="Arial" w:eastAsia="Arial" w:hAnsi="Arial"/>
                <w:sz w:val="14"/>
                <w:szCs w:val="14"/>
                <w:color w:val="auto"/>
                <w:vertAlign w:val="superscript"/>
              </w:rPr>
              <w:t>(a)</w:t>
            </w:r>
          </w:p>
        </w:tc>
        <w:tc>
          <w:tcPr>
            <w:tcW w:w="0" w:type="dxa"/>
            <w:vAlign w:val="bottom"/>
          </w:tcPr>
          <w:p>
            <w:pPr>
              <w:spacing w:after="0"/>
              <w:rPr>
                <w:sz w:val="1"/>
                <w:szCs w:val="1"/>
                <w:color w:val="auto"/>
              </w:rPr>
            </w:pPr>
          </w:p>
        </w:tc>
      </w:tr>
      <w:tr>
        <w:trPr>
          <w:trHeight w:val="140"/>
        </w:trPr>
        <w:tc>
          <w:tcPr>
            <w:tcW w:w="3920" w:type="dxa"/>
            <w:vAlign w:val="bottom"/>
            <w:tcBorders>
              <w:top w:val="single" w:sz="8" w:color="CCEEFF"/>
            </w:tcBorders>
            <w:gridSpan w:val="2"/>
            <w:shd w:val="clear" w:color="auto" w:fill="CCEEFF"/>
          </w:tcPr>
          <w:p>
            <w:pPr>
              <w:spacing w:after="0" w:line="140" w:lineRule="exact"/>
              <w:rPr>
                <w:sz w:val="20"/>
                <w:szCs w:val="20"/>
                <w:color w:val="auto"/>
              </w:rPr>
            </w:pPr>
            <w:r>
              <w:rPr>
                <w:rFonts w:ascii="Arial" w:cs="Arial" w:eastAsia="Arial" w:hAnsi="Arial"/>
                <w:sz w:val="14"/>
                <w:szCs w:val="14"/>
                <w:color w:val="auto"/>
              </w:rPr>
              <w:t>Weighted average shares outstanding</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left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tcPr>
          <w:p>
            <w:pPr>
              <w:jc w:val="right"/>
              <w:ind w:right="180"/>
              <w:spacing w:after="0" w:line="122" w:lineRule="exact"/>
              <w:rPr>
                <w:sz w:val="20"/>
                <w:szCs w:val="20"/>
                <w:color w:val="auto"/>
              </w:rPr>
            </w:pPr>
            <w:r>
              <w:rPr>
                <w:rFonts w:ascii="Arial" w:cs="Arial" w:eastAsia="Arial" w:hAnsi="Arial"/>
                <w:sz w:val="14"/>
                <w:szCs w:val="14"/>
                <w:color w:val="auto"/>
              </w:rPr>
              <w:t xml:space="preserve">222,222,197 </w:t>
            </w:r>
            <w:r>
              <w:rPr>
                <w:rFonts w:ascii="Arial" w:cs="Arial" w:eastAsia="Arial" w:hAnsi="Arial"/>
                <w:sz w:val="14"/>
                <w:szCs w:val="14"/>
                <w:color w:val="auto"/>
                <w:vertAlign w:val="superscript"/>
              </w:rPr>
              <w:t>(a)</w:t>
            </w:r>
            <w:r>
              <w:rPr>
                <w:rFonts w:ascii="Arial" w:cs="Arial" w:eastAsia="Arial" w:hAnsi="Arial"/>
                <w:sz w:val="14"/>
                <w:szCs w:val="14"/>
                <w:color w:val="auto"/>
              </w:rPr>
              <w:t xml:space="preserve"> /</w:t>
            </w:r>
          </w:p>
        </w:tc>
        <w:tc>
          <w:tcPr>
            <w:tcW w:w="12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920" w:type="dxa"/>
            <w:vAlign w:val="bottom"/>
            <w:gridSpan w:val="2"/>
          </w:tcPr>
          <w:p>
            <w:pPr>
              <w:ind w:left="100"/>
              <w:spacing w:after="0" w:line="158" w:lineRule="exact"/>
              <w:rPr>
                <w:sz w:val="20"/>
                <w:szCs w:val="20"/>
                <w:color w:val="auto"/>
              </w:rPr>
            </w:pPr>
            <w:r>
              <w:rPr>
                <w:rFonts w:ascii="Arial" w:cs="Arial" w:eastAsia="Arial" w:hAnsi="Arial"/>
                <w:sz w:val="14"/>
                <w:szCs w:val="14"/>
                <w:color w:val="auto"/>
              </w:rPr>
              <w:t>Basic</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w w:val="96"/>
              </w:rPr>
              <w:t xml:space="preserve">142,933,192 </w:t>
            </w:r>
            <w:r>
              <w:rPr>
                <w:rFonts w:ascii="Arial" w:cs="Arial" w:eastAsia="Arial" w:hAnsi="Arial"/>
                <w:sz w:val="14"/>
                <w:szCs w:val="14"/>
                <w:color w:val="auto"/>
                <w:w w:val="96"/>
                <w:vertAlign w:val="superscript"/>
              </w:rPr>
              <w:t>(b)</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 xml:space="preserve">142,933,192 </w:t>
            </w:r>
            <w:r>
              <w:rPr>
                <w:rFonts w:ascii="Arial" w:cs="Arial" w:eastAsia="Arial" w:hAnsi="Arial"/>
                <w:sz w:val="14"/>
                <w:szCs w:val="14"/>
                <w:color w:val="auto"/>
                <w:vertAlign w:val="superscript"/>
              </w:rPr>
              <w:t>(b)</w:t>
            </w:r>
          </w:p>
        </w:tc>
        <w:tc>
          <w:tcPr>
            <w:tcW w:w="1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w w:val="98"/>
              </w:rPr>
              <w:t xml:space="preserve">213,435,314 </w:t>
            </w:r>
            <w:r>
              <w:rPr>
                <w:rFonts w:ascii="Arial" w:cs="Arial" w:eastAsia="Arial" w:hAnsi="Arial"/>
                <w:sz w:val="14"/>
                <w:szCs w:val="14"/>
                <w:color w:val="auto"/>
                <w:w w:val="98"/>
                <w:vertAlign w:val="superscript"/>
              </w:rPr>
              <w:t>(a)</w:t>
            </w:r>
          </w:p>
        </w:tc>
        <w:tc>
          <w:tcPr>
            <w:tcW w:w="120" w:type="dxa"/>
            <w:vAlign w:val="bottom"/>
          </w:tcPr>
          <w:p>
            <w:pPr>
              <w:spacing w:after="0"/>
              <w:rPr>
                <w:sz w:val="13"/>
                <w:szCs w:val="13"/>
                <w:color w:val="auto"/>
              </w:rPr>
            </w:pPr>
          </w:p>
        </w:tc>
        <w:tc>
          <w:tcPr>
            <w:tcW w:w="9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w w:val="96"/>
              </w:rPr>
              <w:t xml:space="preserve">213,435,314 </w:t>
            </w:r>
            <w:r>
              <w:rPr>
                <w:rFonts w:ascii="Arial" w:cs="Arial" w:eastAsia="Arial" w:hAnsi="Arial"/>
                <w:sz w:val="14"/>
                <w:szCs w:val="14"/>
                <w:color w:val="auto"/>
                <w:w w:val="96"/>
                <w:vertAlign w:val="superscript"/>
              </w:rPr>
              <w:t>(a)</w:t>
            </w:r>
          </w:p>
        </w:tc>
        <w:tc>
          <w:tcPr>
            <w:tcW w:w="0" w:type="dxa"/>
            <w:vAlign w:val="bottom"/>
          </w:tcPr>
          <w:p>
            <w:pPr>
              <w:spacing w:after="0"/>
              <w:rPr>
                <w:sz w:val="1"/>
                <w:szCs w:val="1"/>
                <w:color w:val="auto"/>
              </w:rPr>
            </w:pPr>
          </w:p>
        </w:tc>
      </w:tr>
      <w:tr>
        <w:trPr>
          <w:trHeight w:val="121"/>
        </w:trPr>
        <w:tc>
          <w:tcPr>
            <w:tcW w:w="29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4"/>
                <w:szCs w:val="14"/>
                <w:color w:val="auto"/>
              </w:rPr>
              <w:t xml:space="preserve">223,320,457 </w:t>
            </w:r>
            <w:r>
              <w:rPr>
                <w:rFonts w:ascii="Arial" w:cs="Arial" w:eastAsia="Arial" w:hAnsi="Arial"/>
                <w:sz w:val="14"/>
                <w:szCs w:val="14"/>
                <w:color w:val="auto"/>
                <w:vertAlign w:val="superscript"/>
              </w:rPr>
              <w:t>(a)</w:t>
            </w:r>
            <w:r>
              <w:rPr>
                <w:rFonts w:ascii="Arial" w:cs="Arial" w:eastAsia="Arial" w:hAnsi="Arial"/>
                <w:sz w:val="14"/>
                <w:szCs w:val="14"/>
                <w:color w:val="auto"/>
              </w:rPr>
              <w:t xml:space="preserve"> /</w:t>
            </w:r>
          </w:p>
        </w:tc>
        <w:tc>
          <w:tcPr>
            <w:tcW w:w="120" w:type="dxa"/>
            <w:vAlign w:val="bottom"/>
            <w:tcBorders>
              <w:lef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920" w:type="dxa"/>
            <w:vAlign w:val="bottom"/>
            <w:gridSpan w:val="2"/>
            <w:shd w:val="clear" w:color="auto" w:fill="CCEEFF"/>
          </w:tcPr>
          <w:p>
            <w:pPr>
              <w:ind w:left="100"/>
              <w:spacing w:after="0" w:line="158"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w w:val="96"/>
              </w:rPr>
              <w:t xml:space="preserve">150,847,183 </w:t>
            </w:r>
            <w:r>
              <w:rPr>
                <w:rFonts w:ascii="Arial" w:cs="Arial" w:eastAsia="Arial" w:hAnsi="Arial"/>
                <w:sz w:val="14"/>
                <w:szCs w:val="14"/>
                <w:color w:val="auto"/>
                <w:w w:val="96"/>
                <w:vertAlign w:val="superscript"/>
              </w:rPr>
              <w:t>(b)</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 xml:space="preserve">150,847,183 </w:t>
            </w:r>
            <w:r>
              <w:rPr>
                <w:rFonts w:ascii="Arial" w:cs="Arial" w:eastAsia="Arial" w:hAnsi="Arial"/>
                <w:sz w:val="14"/>
                <w:szCs w:val="14"/>
                <w:color w:val="auto"/>
                <w:vertAlign w:val="superscript"/>
              </w:rPr>
              <w:t>(b)</w:t>
            </w:r>
          </w:p>
        </w:tc>
        <w:tc>
          <w:tcPr>
            <w:tcW w:w="120" w:type="dxa"/>
            <w:vAlign w:val="bottom"/>
            <w:tcBorders>
              <w:lef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w w:val="98"/>
              </w:rPr>
              <w:t xml:space="preserve">213,435,314 </w:t>
            </w:r>
            <w:r>
              <w:rPr>
                <w:rFonts w:ascii="Arial" w:cs="Arial" w:eastAsia="Arial" w:hAnsi="Arial"/>
                <w:sz w:val="14"/>
                <w:szCs w:val="14"/>
                <w:color w:val="auto"/>
                <w:w w:val="98"/>
                <w:vertAlign w:val="superscript"/>
              </w:rPr>
              <w:t>(a)</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6"/>
              </w:rPr>
              <w:t xml:space="preserve">213,435,314 </w:t>
            </w:r>
            <w:r>
              <w:rPr>
                <w:rFonts w:ascii="Arial" w:cs="Arial" w:eastAsia="Arial" w:hAnsi="Arial"/>
                <w:sz w:val="14"/>
                <w:szCs w:val="14"/>
                <w:color w:val="auto"/>
                <w:w w:val="96"/>
                <w:vertAlign w:val="superscript"/>
              </w:rPr>
              <w:t>(a)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80" w:right="80" w:hanging="306"/>
        <w:spacing w:after="0" w:line="248"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April 2019, the Company completed the Reorganization Transactions and the IPO, which, among other things, resulted in Tradeweb Markets Inc. becoming the successor of Tradeweb Markets LLC for financial reporting purposes. As a result, earnings per share information for the pre-IPO period is not comparable to the earnings per share information for the post-IPO period. Therefore, earnings per share information is being presented separately for the pre-IPO and post-IPO periods. See Note 16 – Earnings Per Share for additional information.</w:t>
      </w:r>
    </w:p>
    <w:p>
      <w:pPr>
        <w:ind w:left="980" w:hanging="296"/>
        <w:spacing w:after="0" w:line="208" w:lineRule="auto"/>
        <w:tabs>
          <w:tab w:leader="none" w:pos="980" w:val="left"/>
        </w:tabs>
        <w:numPr>
          <w:ilvl w:val="1"/>
          <w:numId w:val="4"/>
        </w:numPr>
        <w:rPr>
          <w:rFonts w:ascii="Arial" w:cs="Arial" w:eastAsia="Arial" w:hAnsi="Arial"/>
          <w:sz w:val="14"/>
          <w:szCs w:val="14"/>
          <w:color w:val="auto"/>
        </w:rPr>
      </w:pPr>
      <w:r>
        <w:rPr>
          <w:rFonts w:ascii="Arial" w:cs="Arial" w:eastAsia="Arial" w:hAnsi="Arial"/>
          <w:sz w:val="14"/>
          <w:szCs w:val="14"/>
          <w:color w:val="auto"/>
        </w:rPr>
        <w:t>Presents information for Tradeweb Markets LLC (pre-IPO period).</w:t>
      </w:r>
    </w:p>
    <w:p>
      <w:pPr>
        <w:ind w:left="980" w:hanging="296"/>
        <w:spacing w:after="0"/>
        <w:tabs>
          <w:tab w:leader="none" w:pos="980" w:val="left"/>
        </w:tabs>
        <w:numPr>
          <w:ilvl w:val="1"/>
          <w:numId w:val="4"/>
        </w:numPr>
        <w:rPr>
          <w:rFonts w:ascii="Arial" w:cs="Arial" w:eastAsia="Arial" w:hAnsi="Arial"/>
          <w:sz w:val="14"/>
          <w:szCs w:val="14"/>
          <w:color w:val="auto"/>
        </w:rPr>
      </w:pPr>
      <w:r>
        <w:rPr>
          <w:rFonts w:ascii="Arial" w:cs="Arial" w:eastAsia="Arial" w:hAnsi="Arial"/>
          <w:sz w:val="14"/>
          <w:szCs w:val="14"/>
          <w:color w:val="auto"/>
        </w:rPr>
        <w:t>Presents information for Tradeweb Markets Inc. (post-IPO period).</w:t>
      </w:r>
    </w:p>
    <w:p>
      <w:pPr>
        <w:spacing w:after="0" w:line="176"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8" w:name="page9"/>
    <w:bookmarkEnd w:id="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03"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Tradeweb Markets Inc. and Subsidiaries</w:t>
      </w:r>
    </w:p>
    <w:p>
      <w:pPr>
        <w:spacing w:after="0" w:line="20"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Consolidated Statements of Comprehensive Income</w:t>
      </w:r>
    </w:p>
    <w:p>
      <w:pPr>
        <w:jc w:val="center"/>
        <w:ind w:right="100"/>
        <w:spacing w:after="0" w:line="238" w:lineRule="auto"/>
        <w:rPr>
          <w:sz w:val="20"/>
          <w:szCs w:val="20"/>
          <w:color w:val="auto"/>
        </w:rPr>
      </w:pPr>
      <w:r>
        <w:rPr>
          <w:rFonts w:ascii="Arial" w:cs="Arial" w:eastAsia="Arial" w:hAnsi="Arial"/>
          <w:sz w:val="20"/>
          <w:szCs w:val="20"/>
          <w:b w:val="1"/>
          <w:bCs w:val="1"/>
          <w:color w:val="auto"/>
        </w:rPr>
        <w:t>(in thousands)</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79"/>
              </w:rPr>
              <w:t>Successor</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79"/>
              </w:rPr>
              <w:t>Successor</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vMerge w:val="restart"/>
          </w:tcPr>
          <w:p>
            <w:pPr>
              <w:jc w:val="center"/>
              <w:ind w:right="5"/>
              <w:spacing w:after="0"/>
              <w:rPr>
                <w:sz w:val="20"/>
                <w:szCs w:val="20"/>
                <w:color w:val="auto"/>
              </w:rPr>
            </w:pPr>
            <w:r>
              <w:rPr>
                <w:rFonts w:ascii="Arial" w:cs="Arial" w:eastAsia="Arial" w:hAnsi="Arial"/>
                <w:sz w:val="14"/>
                <w:szCs w:val="14"/>
                <w:b w:val="1"/>
                <w:bCs w:val="1"/>
                <w:color w:val="auto"/>
                <w:w w:val="83"/>
              </w:rPr>
              <w:t>Predecessor</w:t>
            </w:r>
          </w:p>
        </w:tc>
        <w:tc>
          <w:tcPr>
            <w:tcW w:w="120" w:type="dxa"/>
            <w:vAlign w:val="bottom"/>
          </w:tcPr>
          <w:p>
            <w:pPr>
              <w:spacing w:after="0" w:line="20" w:lineRule="exact"/>
              <w:rPr>
                <w:sz w:val="1"/>
                <w:szCs w:val="1"/>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rPr>
              <w:t>Three Months</w:t>
            </w:r>
          </w:p>
        </w:tc>
        <w:tc>
          <w:tcPr>
            <w:tcW w:w="160" w:type="dxa"/>
            <w:vAlign w:val="bottom"/>
          </w:tcPr>
          <w:p>
            <w:pPr>
              <w:spacing w:after="0"/>
              <w:rPr>
                <w:sz w:val="9"/>
                <w:szCs w:val="9"/>
                <w:color w:val="auto"/>
              </w:rPr>
            </w:pPr>
          </w:p>
        </w:tc>
        <w:tc>
          <w:tcPr>
            <w:tcW w:w="78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rPr>
              <w:t>Six Months</w:t>
            </w: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rPr>
              <w:t>Three Months</w:t>
            </w:r>
          </w:p>
        </w:tc>
        <w:tc>
          <w:tcPr>
            <w:tcW w:w="120" w:type="dxa"/>
            <w:vAlign w:val="bottom"/>
          </w:tcPr>
          <w:p>
            <w:pPr>
              <w:spacing w:after="0"/>
              <w:rPr>
                <w:sz w:val="9"/>
                <w:szCs w:val="9"/>
                <w:color w:val="auto"/>
              </w:rPr>
            </w:pPr>
          </w:p>
        </w:tc>
        <w:tc>
          <w:tcPr>
            <w:tcW w:w="78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rPr>
              <w:t>Six Months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61"/>
              <w:spacing w:after="0" w:line="140"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1"/>
              <w:spacing w:after="0" w:line="140"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5"/>
              <w:spacing w:after="0" w:line="140"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4"/>
              <w:spacing w:after="0" w:line="140"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81"/>
              <w:spacing w:after="0" w:line="140"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81"/>
              <w:spacing w:after="0" w:line="140" w:lineRule="exact"/>
              <w:rPr>
                <w:sz w:val="20"/>
                <w:szCs w:val="20"/>
                <w:color w:val="auto"/>
              </w:rPr>
            </w:pPr>
            <w:r>
              <w:rPr>
                <w:rFonts w:ascii="Arial" w:cs="Arial" w:eastAsia="Arial" w:hAnsi="Arial"/>
                <w:sz w:val="14"/>
                <w:szCs w:val="14"/>
                <w:b w:val="1"/>
                <w:bCs w:val="1"/>
                <w:color w:val="auto"/>
                <w:w w:val="85"/>
              </w:rPr>
              <w:t>June 30,</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65"/>
              <w:spacing w:after="0" w:line="140" w:lineRule="exact"/>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84"/>
              <w:spacing w:after="0" w:line="140"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3"/>
              </w:rPr>
              <w:t>2019</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right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w w:val="83"/>
              </w:rPr>
              <w:t>2018</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40" w:type="dxa"/>
            <w:vAlign w:val="bottom"/>
            <w:shd w:val="clear" w:color="auto" w:fill="CCEEFF"/>
          </w:tcPr>
          <w:p>
            <w:pPr>
              <w:spacing w:after="0" w:line="167" w:lineRule="exact"/>
              <w:rPr>
                <w:sz w:val="20"/>
                <w:szCs w:val="20"/>
                <w:color w:val="auto"/>
              </w:rPr>
            </w:pPr>
            <w:r>
              <w:rPr>
                <w:rFonts w:ascii="Arial" w:cs="Arial" w:eastAsia="Arial" w:hAnsi="Arial"/>
                <w:sz w:val="17"/>
                <w:szCs w:val="17"/>
                <w:b w:val="1"/>
                <w:bCs w:val="1"/>
                <w:color w:val="auto"/>
                <w:w w:val="94"/>
              </w:rPr>
              <w:t>Comprehensive income - Pre-IPO attributable to Tradeweb Markets</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LLC</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Pre-IPO net income attributable to Tradeweb Markets LLC</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42,352</w:t>
            </w:r>
          </w:p>
        </w:tc>
        <w:tc>
          <w:tcPr>
            <w:tcW w:w="120" w:type="dxa"/>
            <w:vAlign w:val="bottom"/>
            <w:tcBorders>
              <w:right w:val="single" w:sz="8" w:color="auto"/>
            </w:tcBorders>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38,897</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84,205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40" w:type="dxa"/>
            <w:vAlign w:val="bottom"/>
          </w:tcPr>
          <w:p>
            <w:pPr>
              <w:ind w:left="80"/>
              <w:spacing w:after="0" w:line="191" w:lineRule="exact"/>
              <w:rPr>
                <w:sz w:val="20"/>
                <w:szCs w:val="20"/>
                <w:color w:val="auto"/>
              </w:rPr>
            </w:pPr>
            <w:r>
              <w:rPr>
                <w:rFonts w:ascii="Arial" w:cs="Arial" w:eastAsia="Arial" w:hAnsi="Arial"/>
                <w:sz w:val="17"/>
                <w:szCs w:val="17"/>
                <w:color w:val="auto"/>
              </w:rPr>
              <w:t>Foreign currency translation adjustments attributable to Tradeweb</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Markets LLC</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988</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w w:val="96"/>
              </w:rPr>
              <w:t>Pre-IPO comprehensive income attributable to Tradeweb Markets LLC</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43,340</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36,839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80,219</w:t>
            </w: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Comprehensive income - Tradeweb Markets Inc.</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Net income attributable to Tradeweb Markets Inc.</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12,828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12,828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40" w:type="dxa"/>
            <w:vAlign w:val="bottom"/>
          </w:tcPr>
          <w:p>
            <w:pPr>
              <w:ind w:left="80"/>
              <w:spacing w:after="0" w:line="191" w:lineRule="exact"/>
              <w:rPr>
                <w:sz w:val="20"/>
                <w:szCs w:val="20"/>
                <w:color w:val="auto"/>
              </w:rPr>
            </w:pPr>
            <w:r>
              <w:rPr>
                <w:rFonts w:ascii="Arial" w:cs="Arial" w:eastAsia="Arial" w:hAnsi="Arial"/>
                <w:sz w:val="17"/>
                <w:szCs w:val="17"/>
                <w:color w:val="auto"/>
              </w:rPr>
              <w:t>Foreign currency translation adjustments attributable to Tradeweb</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Markets Inc.</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(647)</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Comprehensive income attributable to Tradeweb Markets Inc.</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12,181</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12,181</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Comprehensive income - Non-controlling interests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Net income attributable to non-controlling interests</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11,988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11,988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40" w:type="dxa"/>
            <w:vAlign w:val="bottom"/>
          </w:tcPr>
          <w:p>
            <w:pPr>
              <w:ind w:left="80"/>
              <w:spacing w:after="0" w:line="191" w:lineRule="exact"/>
              <w:rPr>
                <w:sz w:val="20"/>
                <w:szCs w:val="20"/>
                <w:color w:val="auto"/>
              </w:rPr>
            </w:pPr>
            <w:r>
              <w:rPr>
                <w:rFonts w:ascii="Arial" w:cs="Arial" w:eastAsia="Arial" w:hAnsi="Arial"/>
                <w:sz w:val="17"/>
                <w:szCs w:val="17"/>
                <w:color w:val="auto"/>
                <w:w w:val="94"/>
              </w:rPr>
              <w:t>Foreign currency translation adjustments attributable to non-controlling</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interests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Comprehensive income attributable to non-controlling interests</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11,629</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11,629</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180"/>
          </w:cols>
          <w:pgMar w:left="1420" w:top="127" w:right="1299" w:bottom="1440" w:gutter="0" w:footer="0" w:header="0"/>
        </w:sectPr>
      </w:pPr>
    </w:p>
    <w:bookmarkStart w:id="9" w:name="page10"/>
    <w:bookmarkEnd w:id="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Tradeweb Markets Inc. and Subsidiaries</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Consolidated Statements of Changes in Equity</w:t>
      </w:r>
    </w:p>
    <w:p>
      <w:pPr>
        <w:spacing w:after="0" w:line="8"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8"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(Unaudited)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21"/>
              <w:spacing w:after="0"/>
              <w:rPr>
                <w:sz w:val="20"/>
                <w:szCs w:val="20"/>
                <w:color w:val="auto"/>
              </w:rPr>
            </w:pPr>
            <w:r>
              <w:rPr>
                <w:rFonts w:ascii="Arial" w:cs="Arial" w:eastAsia="Arial" w:hAnsi="Arial"/>
                <w:sz w:val="12"/>
                <w:szCs w:val="12"/>
                <w:b w:val="1"/>
                <w:bCs w:val="1"/>
                <w:color w:val="auto"/>
                <w:w w:val="87"/>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center"/>
              <w:ind w:right="41"/>
              <w:spacing w:after="0" w:line="128" w:lineRule="exact"/>
              <w:rPr>
                <w:sz w:val="20"/>
                <w:szCs w:val="20"/>
                <w:color w:val="auto"/>
              </w:rPr>
            </w:pPr>
            <w:r>
              <w:rPr>
                <w:rFonts w:ascii="Arial" w:cs="Arial" w:eastAsia="Arial" w:hAnsi="Arial"/>
                <w:sz w:val="12"/>
                <w:szCs w:val="12"/>
                <w:b w:val="1"/>
                <w:bCs w:val="1"/>
                <w:color w:val="auto"/>
                <w:w w:val="91"/>
              </w:rPr>
              <w:t>Additional</w:t>
            </w:r>
          </w:p>
        </w:tc>
        <w:tc>
          <w:tcPr>
            <w:tcW w:w="200" w:type="dxa"/>
            <w:vAlign w:val="bottom"/>
          </w:tcPr>
          <w:p>
            <w:pPr>
              <w:spacing w:after="0"/>
              <w:rPr>
                <w:sz w:val="11"/>
                <w:szCs w:val="11"/>
                <w:color w:val="auto"/>
              </w:rPr>
            </w:pPr>
          </w:p>
        </w:tc>
        <w:tc>
          <w:tcPr>
            <w:tcW w:w="780" w:type="dxa"/>
            <w:vAlign w:val="bottom"/>
          </w:tcPr>
          <w:p>
            <w:pPr>
              <w:jc w:val="center"/>
              <w:ind w:right="21"/>
              <w:spacing w:after="0" w:line="128"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7"/>
              </w:rPr>
              <w:t>Non-</w:t>
            </w:r>
          </w:p>
        </w:tc>
        <w:tc>
          <w:tcPr>
            <w:tcW w:w="120" w:type="dxa"/>
            <w:vAlign w:val="bottom"/>
          </w:tcPr>
          <w:p>
            <w:pPr>
              <w:spacing w:after="0"/>
              <w:rPr>
                <w:sz w:val="11"/>
                <w:szCs w:val="11"/>
                <w:color w:val="auto"/>
              </w:rPr>
            </w:pPr>
          </w:p>
        </w:tc>
        <w:tc>
          <w:tcPr>
            <w:tcW w:w="560" w:type="dxa"/>
            <w:vAlign w:val="bottom"/>
          </w:tcPr>
          <w:p>
            <w:pPr>
              <w:jc w:val="right"/>
              <w:ind w:right="121"/>
              <w:spacing w:after="0" w:line="128"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41"/>
              <w:spacing w:after="0" w:line="128" w:lineRule="exact"/>
              <w:rPr>
                <w:sz w:val="20"/>
                <w:szCs w:val="20"/>
                <w:color w:val="auto"/>
              </w:rPr>
            </w:pPr>
            <w:r>
              <w:rPr>
                <w:rFonts w:ascii="Arial" w:cs="Arial" w:eastAsia="Arial" w:hAnsi="Arial"/>
                <w:sz w:val="12"/>
                <w:szCs w:val="12"/>
                <w:b w:val="1"/>
                <w:bCs w:val="1"/>
                <w:color w:val="auto"/>
                <w:w w:val="89"/>
              </w:rPr>
              <w:t>Members'</w:t>
            </w:r>
          </w:p>
        </w:tc>
        <w:tc>
          <w:tcPr>
            <w:tcW w:w="140" w:type="dxa"/>
            <w:vAlign w:val="bottom"/>
          </w:tcPr>
          <w:p>
            <w:pPr>
              <w:spacing w:after="0"/>
              <w:rPr>
                <w:sz w:val="11"/>
                <w:szCs w:val="11"/>
                <w:color w:val="auto"/>
              </w:rPr>
            </w:pPr>
          </w:p>
        </w:tc>
        <w:tc>
          <w:tcPr>
            <w:tcW w:w="1120" w:type="dxa"/>
            <w:vAlign w:val="bottom"/>
            <w:gridSpan w:val="3"/>
          </w:tcPr>
          <w:p>
            <w:pPr>
              <w:jc w:val="center"/>
              <w:spacing w:after="0" w:line="128" w:lineRule="exact"/>
              <w:rPr>
                <w:sz w:val="20"/>
                <w:szCs w:val="20"/>
                <w:color w:val="auto"/>
              </w:rPr>
            </w:pPr>
            <w:r>
              <w:rPr>
                <w:rFonts w:ascii="Arial" w:cs="Arial" w:eastAsia="Arial" w:hAnsi="Arial"/>
                <w:sz w:val="12"/>
                <w:szCs w:val="12"/>
                <w:b w:val="1"/>
                <w:bCs w:val="1"/>
                <w:color w:val="auto"/>
                <w:w w:val="86"/>
              </w:rPr>
              <w:t>Class A</w:t>
            </w:r>
          </w:p>
        </w:tc>
        <w:tc>
          <w:tcPr>
            <w:tcW w:w="140" w:type="dxa"/>
            <w:vAlign w:val="bottom"/>
          </w:tcPr>
          <w:p>
            <w:pPr>
              <w:spacing w:after="0"/>
              <w:rPr>
                <w:sz w:val="11"/>
                <w:szCs w:val="11"/>
                <w:color w:val="auto"/>
              </w:rPr>
            </w:pPr>
          </w:p>
        </w:tc>
        <w:tc>
          <w:tcPr>
            <w:tcW w:w="1120" w:type="dxa"/>
            <w:vAlign w:val="bottom"/>
            <w:gridSpan w:val="3"/>
          </w:tcPr>
          <w:p>
            <w:pPr>
              <w:jc w:val="right"/>
              <w:ind w:right="321"/>
              <w:spacing w:after="0" w:line="128" w:lineRule="exact"/>
              <w:rPr>
                <w:sz w:val="20"/>
                <w:szCs w:val="20"/>
                <w:color w:val="auto"/>
              </w:rPr>
            </w:pPr>
            <w:r>
              <w:rPr>
                <w:rFonts w:ascii="Arial" w:cs="Arial" w:eastAsia="Arial" w:hAnsi="Arial"/>
                <w:sz w:val="12"/>
                <w:szCs w:val="12"/>
                <w:b w:val="1"/>
                <w:bCs w:val="1"/>
                <w:color w:val="auto"/>
              </w:rPr>
              <w:t>Class B</w:t>
            </w:r>
          </w:p>
        </w:tc>
        <w:tc>
          <w:tcPr>
            <w:tcW w:w="140" w:type="dxa"/>
            <w:vAlign w:val="bottom"/>
          </w:tcPr>
          <w:p>
            <w:pPr>
              <w:spacing w:after="0"/>
              <w:rPr>
                <w:sz w:val="11"/>
                <w:szCs w:val="11"/>
                <w:color w:val="auto"/>
              </w:rPr>
            </w:pPr>
          </w:p>
        </w:tc>
        <w:tc>
          <w:tcPr>
            <w:tcW w:w="1120" w:type="dxa"/>
            <w:vAlign w:val="bottom"/>
            <w:gridSpan w:val="3"/>
          </w:tcPr>
          <w:p>
            <w:pPr>
              <w:jc w:val="center"/>
              <w:spacing w:after="0" w:line="128" w:lineRule="exact"/>
              <w:rPr>
                <w:sz w:val="20"/>
                <w:szCs w:val="20"/>
                <w:color w:val="auto"/>
              </w:rPr>
            </w:pPr>
            <w:r>
              <w:rPr>
                <w:rFonts w:ascii="Arial" w:cs="Arial" w:eastAsia="Arial" w:hAnsi="Arial"/>
                <w:sz w:val="12"/>
                <w:szCs w:val="12"/>
                <w:b w:val="1"/>
                <w:bCs w:val="1"/>
                <w:color w:val="auto"/>
                <w:w w:val="86"/>
              </w:rPr>
              <w:t>Class C</w:t>
            </w:r>
          </w:p>
        </w:tc>
        <w:tc>
          <w:tcPr>
            <w:tcW w:w="140" w:type="dxa"/>
            <w:vAlign w:val="bottom"/>
          </w:tcPr>
          <w:p>
            <w:pPr>
              <w:spacing w:after="0"/>
              <w:rPr>
                <w:sz w:val="11"/>
                <w:szCs w:val="11"/>
                <w:color w:val="auto"/>
              </w:rPr>
            </w:pPr>
          </w:p>
        </w:tc>
        <w:tc>
          <w:tcPr>
            <w:tcW w:w="1120" w:type="dxa"/>
            <w:vAlign w:val="bottom"/>
            <w:gridSpan w:val="3"/>
          </w:tcPr>
          <w:p>
            <w:pPr>
              <w:jc w:val="right"/>
              <w:ind w:right="321"/>
              <w:spacing w:after="0" w:line="128" w:lineRule="exact"/>
              <w:rPr>
                <w:sz w:val="20"/>
                <w:szCs w:val="20"/>
                <w:color w:val="auto"/>
              </w:rPr>
            </w:pPr>
            <w:r>
              <w:rPr>
                <w:rFonts w:ascii="Arial" w:cs="Arial" w:eastAsia="Arial" w:hAnsi="Arial"/>
                <w:sz w:val="12"/>
                <w:szCs w:val="12"/>
                <w:b w:val="1"/>
                <w:bCs w:val="1"/>
                <w:color w:val="auto"/>
              </w:rPr>
              <w:t>Class D</w:t>
            </w:r>
          </w:p>
        </w:tc>
        <w:tc>
          <w:tcPr>
            <w:tcW w:w="180" w:type="dxa"/>
            <w:vAlign w:val="bottom"/>
          </w:tcPr>
          <w:p>
            <w:pPr>
              <w:spacing w:after="0"/>
              <w:rPr>
                <w:sz w:val="11"/>
                <w:szCs w:val="11"/>
                <w:color w:val="auto"/>
              </w:rPr>
            </w:pPr>
          </w:p>
        </w:tc>
        <w:tc>
          <w:tcPr>
            <w:tcW w:w="640" w:type="dxa"/>
            <w:vAlign w:val="bottom"/>
          </w:tcPr>
          <w:p>
            <w:pPr>
              <w:jc w:val="center"/>
              <w:ind w:right="41"/>
              <w:spacing w:after="0" w:line="128" w:lineRule="exact"/>
              <w:rPr>
                <w:sz w:val="20"/>
                <w:szCs w:val="20"/>
                <w:color w:val="auto"/>
              </w:rPr>
            </w:pPr>
            <w:r>
              <w:rPr>
                <w:rFonts w:ascii="Arial" w:cs="Arial" w:eastAsia="Arial" w:hAnsi="Arial"/>
                <w:sz w:val="12"/>
                <w:szCs w:val="12"/>
                <w:b w:val="1"/>
                <w:bCs w:val="1"/>
                <w:color w:val="auto"/>
                <w:w w:val="94"/>
              </w:rPr>
              <w:t>Paid-In</w:t>
            </w:r>
          </w:p>
        </w:tc>
        <w:tc>
          <w:tcPr>
            <w:tcW w:w="200" w:type="dxa"/>
            <w:vAlign w:val="bottom"/>
          </w:tcPr>
          <w:p>
            <w:pPr>
              <w:spacing w:after="0"/>
              <w:rPr>
                <w:sz w:val="11"/>
                <w:szCs w:val="11"/>
                <w:color w:val="auto"/>
              </w:rPr>
            </w:pPr>
          </w:p>
        </w:tc>
        <w:tc>
          <w:tcPr>
            <w:tcW w:w="780" w:type="dxa"/>
            <w:vAlign w:val="bottom"/>
          </w:tcPr>
          <w:p>
            <w:pPr>
              <w:spacing w:after="0" w:line="128" w:lineRule="exact"/>
              <w:rPr>
                <w:sz w:val="20"/>
                <w:szCs w:val="20"/>
                <w:color w:val="auto"/>
              </w:rPr>
            </w:pPr>
            <w:r>
              <w:rPr>
                <w:rFonts w:ascii="Arial" w:cs="Arial" w:eastAsia="Arial" w:hAnsi="Arial"/>
                <w:sz w:val="12"/>
                <w:szCs w:val="12"/>
                <w:b w:val="1"/>
                <w:bCs w:val="1"/>
                <w:color w:val="auto"/>
                <w:w w:val="84"/>
              </w:rPr>
              <w:t>Comprehensive</w:t>
            </w:r>
          </w:p>
        </w:tc>
        <w:tc>
          <w:tcPr>
            <w:tcW w:w="120" w:type="dxa"/>
            <w:vAlign w:val="bottom"/>
          </w:tcPr>
          <w:p>
            <w:pPr>
              <w:spacing w:after="0"/>
              <w:rPr>
                <w:sz w:val="11"/>
                <w:szCs w:val="11"/>
                <w:color w:val="auto"/>
              </w:rPr>
            </w:pPr>
          </w:p>
        </w:tc>
        <w:tc>
          <w:tcPr>
            <w:tcW w:w="540" w:type="dxa"/>
            <w:vAlign w:val="bottom"/>
            <w:gridSpan w:val="2"/>
          </w:tcPr>
          <w:p>
            <w:pPr>
              <w:jc w:val="right"/>
              <w:ind w:right="1"/>
              <w:spacing w:after="0" w:line="128" w:lineRule="exact"/>
              <w:rPr>
                <w:sz w:val="20"/>
                <w:szCs w:val="20"/>
                <w:color w:val="auto"/>
              </w:rPr>
            </w:pPr>
            <w:r>
              <w:rPr>
                <w:rFonts w:ascii="Arial" w:cs="Arial" w:eastAsia="Arial" w:hAnsi="Arial"/>
                <w:sz w:val="12"/>
                <w:szCs w:val="12"/>
                <w:b w:val="1"/>
                <w:bCs w:val="1"/>
                <w:color w:val="auto"/>
                <w:w w:val="90"/>
              </w:rPr>
              <w:t>Retained</w:t>
            </w:r>
          </w:p>
        </w:tc>
        <w:tc>
          <w:tcPr>
            <w:tcW w:w="140" w:type="dxa"/>
            <w:vAlign w:val="bottom"/>
          </w:tcPr>
          <w:p>
            <w:pPr>
              <w:spacing w:after="0"/>
              <w:rPr>
                <w:sz w:val="11"/>
                <w:szCs w:val="11"/>
                <w:color w:val="auto"/>
              </w:rPr>
            </w:pPr>
          </w:p>
        </w:tc>
        <w:tc>
          <w:tcPr>
            <w:tcW w:w="780" w:type="dxa"/>
            <w:vAlign w:val="bottom"/>
            <w:gridSpan w:val="3"/>
          </w:tcPr>
          <w:p>
            <w:pPr>
              <w:jc w:val="center"/>
              <w:ind w:right="160"/>
              <w:spacing w:after="0" w:line="128" w:lineRule="exact"/>
              <w:rPr>
                <w:sz w:val="20"/>
                <w:szCs w:val="20"/>
                <w:color w:val="auto"/>
              </w:rPr>
            </w:pPr>
            <w:r>
              <w:rPr>
                <w:rFonts w:ascii="Arial" w:cs="Arial" w:eastAsia="Arial" w:hAnsi="Arial"/>
                <w:sz w:val="12"/>
                <w:szCs w:val="12"/>
                <w:b w:val="1"/>
                <w:bCs w:val="1"/>
                <w:color w:val="auto"/>
                <w:w w:val="90"/>
              </w:rPr>
              <w:t>Controlling</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84"/>
              </w:rPr>
              <w:t>Stockholders</w:t>
            </w:r>
          </w:p>
        </w:tc>
        <w:tc>
          <w:tcPr>
            <w:tcW w:w="0" w:type="dxa"/>
            <w:vAlign w:val="bottom"/>
          </w:tcPr>
          <w:p>
            <w:pPr>
              <w:spacing w:after="0"/>
              <w:rPr>
                <w:sz w:val="1"/>
                <w:szCs w:val="1"/>
                <w:color w:val="auto"/>
              </w:rPr>
            </w:pPr>
          </w:p>
        </w:tc>
      </w:tr>
      <w:tr>
        <w:trPr>
          <w:trHeight w:val="143"/>
        </w:trPr>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Successor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01"/>
              <w:spacing w:after="0"/>
              <w:rPr>
                <w:sz w:val="20"/>
                <w:szCs w:val="20"/>
                <w:color w:val="auto"/>
              </w:rPr>
            </w:pPr>
            <w:r>
              <w:rPr>
                <w:rFonts w:ascii="Arial" w:cs="Arial" w:eastAsia="Arial" w:hAnsi="Arial"/>
                <w:sz w:val="12"/>
                <w:szCs w:val="12"/>
                <w:b w:val="1"/>
                <w:bCs w:val="1"/>
                <w:color w:val="auto"/>
              </w:rPr>
              <w:t>Capital</w:t>
            </w:r>
          </w:p>
        </w:tc>
        <w:tc>
          <w:tcPr>
            <w:tcW w:w="140" w:type="dxa"/>
            <w:vAlign w:val="bottom"/>
          </w:tcPr>
          <w:p>
            <w:pPr>
              <w:spacing w:after="0"/>
              <w:rPr>
                <w:sz w:val="12"/>
                <w:szCs w:val="12"/>
                <w:color w:val="auto"/>
              </w:rPr>
            </w:pPr>
          </w:p>
        </w:tc>
        <w:tc>
          <w:tcPr>
            <w:tcW w:w="11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8"/>
              </w:rPr>
              <w:t>Common Stock</w:t>
            </w:r>
          </w:p>
        </w:tc>
        <w:tc>
          <w:tcPr>
            <w:tcW w:w="140" w:type="dxa"/>
            <w:vAlign w:val="bottom"/>
          </w:tcPr>
          <w:p>
            <w:pPr>
              <w:spacing w:after="0"/>
              <w:rPr>
                <w:sz w:val="12"/>
                <w:szCs w:val="12"/>
                <w:color w:val="auto"/>
              </w:rPr>
            </w:pPr>
          </w:p>
        </w:tc>
        <w:tc>
          <w:tcPr>
            <w:tcW w:w="1120" w:type="dxa"/>
            <w:vAlign w:val="bottom"/>
            <w:gridSpan w:val="3"/>
          </w:tcPr>
          <w:p>
            <w:pPr>
              <w:jc w:val="right"/>
              <w:ind w:right="121"/>
              <w:spacing w:after="0"/>
              <w:rPr>
                <w:sz w:val="20"/>
                <w:szCs w:val="20"/>
                <w:color w:val="auto"/>
              </w:rPr>
            </w:pPr>
            <w:r>
              <w:rPr>
                <w:rFonts w:ascii="Arial" w:cs="Arial" w:eastAsia="Arial" w:hAnsi="Arial"/>
                <w:sz w:val="12"/>
                <w:szCs w:val="12"/>
                <w:b w:val="1"/>
                <w:bCs w:val="1"/>
                <w:color w:val="auto"/>
              </w:rPr>
              <w:t>Common Stock</w:t>
            </w:r>
          </w:p>
        </w:tc>
        <w:tc>
          <w:tcPr>
            <w:tcW w:w="140" w:type="dxa"/>
            <w:vAlign w:val="bottom"/>
          </w:tcPr>
          <w:p>
            <w:pPr>
              <w:spacing w:after="0"/>
              <w:rPr>
                <w:sz w:val="12"/>
                <w:szCs w:val="12"/>
                <w:color w:val="auto"/>
              </w:rPr>
            </w:pPr>
          </w:p>
        </w:tc>
        <w:tc>
          <w:tcPr>
            <w:tcW w:w="11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8"/>
              </w:rPr>
              <w:t>Common Stock</w:t>
            </w:r>
          </w:p>
        </w:tc>
        <w:tc>
          <w:tcPr>
            <w:tcW w:w="140" w:type="dxa"/>
            <w:vAlign w:val="bottom"/>
          </w:tcPr>
          <w:p>
            <w:pPr>
              <w:spacing w:after="0"/>
              <w:rPr>
                <w:sz w:val="12"/>
                <w:szCs w:val="12"/>
                <w:color w:val="auto"/>
              </w:rPr>
            </w:pPr>
          </w:p>
        </w:tc>
        <w:tc>
          <w:tcPr>
            <w:tcW w:w="1120" w:type="dxa"/>
            <w:vAlign w:val="bottom"/>
            <w:gridSpan w:val="3"/>
          </w:tcPr>
          <w:p>
            <w:pPr>
              <w:jc w:val="right"/>
              <w:ind w:right="121"/>
              <w:spacing w:after="0"/>
              <w:rPr>
                <w:sz w:val="20"/>
                <w:szCs w:val="20"/>
                <w:color w:val="auto"/>
              </w:rPr>
            </w:pPr>
            <w:r>
              <w:rPr>
                <w:rFonts w:ascii="Arial" w:cs="Arial" w:eastAsia="Arial" w:hAnsi="Arial"/>
                <w:sz w:val="12"/>
                <w:szCs w:val="12"/>
                <w:b w:val="1"/>
                <w:bCs w:val="1"/>
                <w:color w:val="auto"/>
              </w:rPr>
              <w:t>Common Stock</w:t>
            </w:r>
          </w:p>
        </w:tc>
        <w:tc>
          <w:tcPr>
            <w:tcW w:w="180" w:type="dxa"/>
            <w:vAlign w:val="bottom"/>
          </w:tcPr>
          <w:p>
            <w:pPr>
              <w:spacing w:after="0"/>
              <w:rPr>
                <w:sz w:val="12"/>
                <w:szCs w:val="12"/>
                <w:color w:val="auto"/>
              </w:rPr>
            </w:pPr>
          </w:p>
        </w:tc>
        <w:tc>
          <w:tcPr>
            <w:tcW w:w="640" w:type="dxa"/>
            <w:vAlign w:val="bottom"/>
          </w:tcPr>
          <w:p>
            <w:pPr>
              <w:jc w:val="center"/>
              <w:ind w:right="1"/>
              <w:spacing w:after="0"/>
              <w:rPr>
                <w:sz w:val="20"/>
                <w:szCs w:val="20"/>
                <w:color w:val="auto"/>
              </w:rPr>
            </w:pPr>
            <w:r>
              <w:rPr>
                <w:rFonts w:ascii="Arial" w:cs="Arial" w:eastAsia="Arial" w:hAnsi="Arial"/>
                <w:sz w:val="12"/>
                <w:szCs w:val="12"/>
                <w:b w:val="1"/>
                <w:bCs w:val="1"/>
                <w:color w:val="auto"/>
                <w:w w:val="94"/>
              </w:rPr>
              <w:t>Capital</w:t>
            </w:r>
          </w:p>
        </w:tc>
        <w:tc>
          <w:tcPr>
            <w:tcW w:w="200" w:type="dxa"/>
            <w:vAlign w:val="bottom"/>
          </w:tcPr>
          <w:p>
            <w:pPr>
              <w:spacing w:after="0"/>
              <w:rPr>
                <w:sz w:val="12"/>
                <w:szCs w:val="12"/>
                <w:color w:val="auto"/>
              </w:rPr>
            </w:pPr>
          </w:p>
        </w:tc>
        <w:tc>
          <w:tcPr>
            <w:tcW w:w="780" w:type="dxa"/>
            <w:vAlign w:val="bottom"/>
          </w:tcPr>
          <w:p>
            <w:pPr>
              <w:jc w:val="center"/>
              <w:ind w:right="21"/>
              <w:spacing w:after="0"/>
              <w:rPr>
                <w:sz w:val="20"/>
                <w:szCs w:val="20"/>
                <w:color w:val="auto"/>
              </w:rPr>
            </w:pPr>
            <w:r>
              <w:rPr>
                <w:rFonts w:ascii="Arial" w:cs="Arial" w:eastAsia="Arial" w:hAnsi="Arial"/>
                <w:sz w:val="12"/>
                <w:szCs w:val="12"/>
                <w:b w:val="1"/>
                <w:bCs w:val="1"/>
                <w:color w:val="auto"/>
                <w:w w:val="90"/>
              </w:rPr>
              <w:t>Income</w:t>
            </w:r>
          </w:p>
        </w:tc>
        <w:tc>
          <w:tcPr>
            <w:tcW w:w="12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b w:val="1"/>
                <w:bCs w:val="1"/>
                <w:color w:val="auto"/>
                <w:w w:val="93"/>
              </w:rPr>
              <w:t>Earnings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Interests</w:t>
            </w:r>
          </w:p>
        </w:tc>
        <w:tc>
          <w:tcPr>
            <w:tcW w:w="120" w:type="dxa"/>
            <w:vAlign w:val="bottom"/>
          </w:tcPr>
          <w:p>
            <w:pPr>
              <w:spacing w:after="0"/>
              <w:rPr>
                <w:sz w:val="12"/>
                <w:szCs w:val="12"/>
                <w:color w:val="auto"/>
              </w:rPr>
            </w:pPr>
          </w:p>
        </w:tc>
        <w:tc>
          <w:tcPr>
            <w:tcW w:w="560" w:type="dxa"/>
            <w:vAlign w:val="bottom"/>
          </w:tcPr>
          <w:p>
            <w:pPr>
              <w:jc w:val="right"/>
              <w:ind w:right="81"/>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20"/>
        </w:trPr>
        <w:tc>
          <w:tcPr>
            <w:tcW w:w="6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top w:val="single" w:sz="8" w:color="auto"/>
            </w:tcBorders>
          </w:tcPr>
          <w:p>
            <w:pPr>
              <w:jc w:val="right"/>
              <w:ind w:right="61"/>
              <w:spacing w:after="0" w:line="120" w:lineRule="exact"/>
              <w:rPr>
                <w:sz w:val="20"/>
                <w:szCs w:val="20"/>
                <w:color w:val="auto"/>
              </w:rPr>
            </w:pPr>
            <w:r>
              <w:rPr>
                <w:rFonts w:ascii="Arial" w:cs="Arial" w:eastAsia="Arial" w:hAnsi="Arial"/>
                <w:sz w:val="12"/>
                <w:szCs w:val="12"/>
                <w:b w:val="1"/>
                <w:bCs w:val="1"/>
                <w:color w:val="auto"/>
              </w:rPr>
              <w:t>Shares</w:t>
            </w:r>
          </w:p>
        </w:tc>
        <w:tc>
          <w:tcPr>
            <w:tcW w:w="560" w:type="dxa"/>
            <w:vAlign w:val="bottom"/>
            <w:tcBorders>
              <w:top w:val="single" w:sz="8" w:color="auto"/>
            </w:tcBorders>
            <w:gridSpan w:val="2"/>
          </w:tcPr>
          <w:p>
            <w:pPr>
              <w:ind w:left="140"/>
              <w:spacing w:after="0" w:line="120" w:lineRule="exact"/>
              <w:rPr>
                <w:sz w:val="20"/>
                <w:szCs w:val="20"/>
                <w:color w:val="auto"/>
              </w:rPr>
            </w:pPr>
            <w:r>
              <w:rPr>
                <w:rFonts w:ascii="Arial" w:cs="Arial" w:eastAsia="Arial" w:hAnsi="Arial"/>
                <w:sz w:val="12"/>
                <w:szCs w:val="12"/>
                <w:b w:val="1"/>
                <w:bCs w:val="1"/>
                <w:color w:val="auto"/>
                <w:w w:val="88"/>
              </w:rPr>
              <w:t>Amount</w:t>
            </w:r>
          </w:p>
        </w:tc>
        <w:tc>
          <w:tcPr>
            <w:tcW w:w="140" w:type="dxa"/>
            <w:vAlign w:val="bottom"/>
          </w:tcPr>
          <w:p>
            <w:pPr>
              <w:spacing w:after="0"/>
              <w:rPr>
                <w:sz w:val="10"/>
                <w:szCs w:val="10"/>
                <w:color w:val="auto"/>
              </w:rPr>
            </w:pPr>
          </w:p>
        </w:tc>
        <w:tc>
          <w:tcPr>
            <w:tcW w:w="560" w:type="dxa"/>
            <w:vAlign w:val="bottom"/>
            <w:tcBorders>
              <w:top w:val="single" w:sz="8" w:color="auto"/>
            </w:tcBorders>
          </w:tcPr>
          <w:p>
            <w:pPr>
              <w:jc w:val="right"/>
              <w:ind w:right="61"/>
              <w:spacing w:after="0" w:line="120" w:lineRule="exact"/>
              <w:rPr>
                <w:sz w:val="20"/>
                <w:szCs w:val="20"/>
                <w:color w:val="auto"/>
              </w:rPr>
            </w:pPr>
            <w:r>
              <w:rPr>
                <w:rFonts w:ascii="Arial" w:cs="Arial" w:eastAsia="Arial" w:hAnsi="Arial"/>
                <w:sz w:val="12"/>
                <w:szCs w:val="12"/>
                <w:b w:val="1"/>
                <w:bCs w:val="1"/>
                <w:color w:val="auto"/>
              </w:rPr>
              <w:t>Shares</w:t>
            </w:r>
          </w:p>
        </w:tc>
        <w:tc>
          <w:tcPr>
            <w:tcW w:w="560" w:type="dxa"/>
            <w:vAlign w:val="bottom"/>
            <w:tcBorders>
              <w:top w:val="single" w:sz="8" w:color="auto"/>
            </w:tcBorders>
            <w:gridSpan w:val="2"/>
          </w:tcPr>
          <w:p>
            <w:pPr>
              <w:jc w:val="right"/>
              <w:spacing w:after="0" w:line="120"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0"/>
                <w:szCs w:val="10"/>
                <w:color w:val="auto"/>
              </w:rPr>
            </w:pPr>
          </w:p>
        </w:tc>
        <w:tc>
          <w:tcPr>
            <w:tcW w:w="560" w:type="dxa"/>
            <w:vAlign w:val="bottom"/>
            <w:tcBorders>
              <w:top w:val="single" w:sz="8" w:color="auto"/>
            </w:tcBorders>
          </w:tcPr>
          <w:p>
            <w:pPr>
              <w:jc w:val="right"/>
              <w:ind w:right="61"/>
              <w:spacing w:after="0" w:line="120" w:lineRule="exact"/>
              <w:rPr>
                <w:sz w:val="20"/>
                <w:szCs w:val="20"/>
                <w:color w:val="auto"/>
              </w:rPr>
            </w:pPr>
            <w:r>
              <w:rPr>
                <w:rFonts w:ascii="Arial" w:cs="Arial" w:eastAsia="Arial" w:hAnsi="Arial"/>
                <w:sz w:val="12"/>
                <w:szCs w:val="12"/>
                <w:b w:val="1"/>
                <w:bCs w:val="1"/>
                <w:color w:val="auto"/>
              </w:rPr>
              <w:t>Shares</w:t>
            </w:r>
          </w:p>
        </w:tc>
        <w:tc>
          <w:tcPr>
            <w:tcW w:w="560" w:type="dxa"/>
            <w:vAlign w:val="bottom"/>
            <w:tcBorders>
              <w:top w:val="single" w:sz="8" w:color="auto"/>
            </w:tcBorders>
            <w:gridSpan w:val="2"/>
          </w:tcPr>
          <w:p>
            <w:pPr>
              <w:ind w:left="140"/>
              <w:spacing w:after="0" w:line="120" w:lineRule="exact"/>
              <w:rPr>
                <w:sz w:val="20"/>
                <w:szCs w:val="20"/>
                <w:color w:val="auto"/>
              </w:rPr>
            </w:pPr>
            <w:r>
              <w:rPr>
                <w:rFonts w:ascii="Arial" w:cs="Arial" w:eastAsia="Arial" w:hAnsi="Arial"/>
                <w:sz w:val="12"/>
                <w:szCs w:val="12"/>
                <w:b w:val="1"/>
                <w:bCs w:val="1"/>
                <w:color w:val="auto"/>
                <w:w w:val="88"/>
              </w:rPr>
              <w:t>Amount</w:t>
            </w:r>
          </w:p>
        </w:tc>
        <w:tc>
          <w:tcPr>
            <w:tcW w:w="140" w:type="dxa"/>
            <w:vAlign w:val="bottom"/>
          </w:tcPr>
          <w:p>
            <w:pPr>
              <w:spacing w:after="0"/>
              <w:rPr>
                <w:sz w:val="10"/>
                <w:szCs w:val="10"/>
                <w:color w:val="auto"/>
              </w:rPr>
            </w:pPr>
          </w:p>
        </w:tc>
        <w:tc>
          <w:tcPr>
            <w:tcW w:w="560" w:type="dxa"/>
            <w:vAlign w:val="bottom"/>
            <w:tcBorders>
              <w:top w:val="single" w:sz="8" w:color="auto"/>
            </w:tcBorders>
          </w:tcPr>
          <w:p>
            <w:pPr>
              <w:jc w:val="right"/>
              <w:ind w:right="61"/>
              <w:spacing w:after="0" w:line="120" w:lineRule="exact"/>
              <w:rPr>
                <w:sz w:val="20"/>
                <w:szCs w:val="20"/>
                <w:color w:val="auto"/>
              </w:rPr>
            </w:pPr>
            <w:r>
              <w:rPr>
                <w:rFonts w:ascii="Arial" w:cs="Arial" w:eastAsia="Arial" w:hAnsi="Arial"/>
                <w:sz w:val="12"/>
                <w:szCs w:val="12"/>
                <w:b w:val="1"/>
                <w:bCs w:val="1"/>
                <w:color w:val="auto"/>
              </w:rPr>
              <w:t>Shares</w:t>
            </w:r>
          </w:p>
        </w:tc>
        <w:tc>
          <w:tcPr>
            <w:tcW w:w="560" w:type="dxa"/>
            <w:vAlign w:val="bottom"/>
            <w:tcBorders>
              <w:top w:val="single" w:sz="8" w:color="auto"/>
            </w:tcBorders>
            <w:gridSpan w:val="2"/>
          </w:tcPr>
          <w:p>
            <w:pPr>
              <w:jc w:val="right"/>
              <w:spacing w:after="0" w:line="120" w:lineRule="exact"/>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680" w:type="dxa"/>
            <w:vAlign w:val="bottom"/>
            <w:tcBorders>
              <w:top w:val="single" w:sz="8" w:color="auto"/>
            </w:tcBorders>
            <w:shd w:val="clear" w:color="auto" w:fill="CCEEFF"/>
          </w:tcPr>
          <w:p>
            <w:pPr>
              <w:spacing w:after="0" w:line="106" w:lineRule="exact"/>
              <w:rPr>
                <w:sz w:val="20"/>
                <w:szCs w:val="20"/>
                <w:color w:val="auto"/>
              </w:rPr>
            </w:pPr>
            <w:r>
              <w:rPr>
                <w:rFonts w:ascii="Arial" w:cs="Arial" w:eastAsia="Arial" w:hAnsi="Arial"/>
                <w:sz w:val="12"/>
                <w:szCs w:val="12"/>
                <w:color w:val="auto"/>
              </w:rPr>
              <w:t>Balance at</w:t>
            </w: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right w:val="single" w:sz="8" w:color="CCEEFF"/>
            </w:tcBorders>
            <w:shd w:val="clear" w:color="auto" w:fill="CCEEFF"/>
          </w:tcPr>
          <w:p>
            <w:pPr>
              <w:spacing w:after="0"/>
              <w:rPr>
                <w:sz w:val="9"/>
                <w:szCs w:val="9"/>
                <w:color w:val="auto"/>
              </w:rPr>
            </w:pPr>
          </w:p>
        </w:tc>
        <w:tc>
          <w:tcPr>
            <w:tcW w:w="6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right w:val="single" w:sz="8" w:color="CCEEFF"/>
            </w:tcBorders>
            <w:shd w:val="clear" w:color="auto" w:fill="CCEEFF"/>
          </w:tcPr>
          <w:p>
            <w:pPr>
              <w:spacing w:after="0"/>
              <w:rPr>
                <w:sz w:val="9"/>
                <w:szCs w:val="9"/>
                <w:color w:val="auto"/>
              </w:rPr>
            </w:pPr>
          </w:p>
        </w:tc>
        <w:tc>
          <w:tcPr>
            <w:tcW w:w="7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w w:val="87"/>
              </w:rPr>
              <w:t>December 31,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80" w:type="dxa"/>
            <w:vAlign w:val="bottom"/>
            <w:shd w:val="clear" w:color="auto" w:fill="CCEEFF"/>
          </w:tcPr>
          <w:p>
            <w:pPr>
              <w:spacing w:after="0"/>
              <w:rPr>
                <w:sz w:val="20"/>
                <w:szCs w:val="20"/>
                <w:color w:val="auto"/>
              </w:rPr>
            </w:pPr>
            <w:r>
              <w:rPr>
                <w:rFonts w:ascii="Arial" w:cs="Arial" w:eastAsia="Arial" w:hAnsi="Arial"/>
                <w:sz w:val="12"/>
                <w:szCs w:val="12"/>
                <w:color w:val="auto"/>
              </w:rPr>
              <w:t>2018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4,573,200</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4,572,334</w:t>
            </w:r>
          </w:p>
        </w:tc>
        <w:tc>
          <w:tcPr>
            <w:tcW w:w="0" w:type="dxa"/>
            <w:vAlign w:val="bottom"/>
          </w:tcPr>
          <w:p>
            <w:pPr>
              <w:spacing w:after="0"/>
              <w:rPr>
                <w:sz w:val="1"/>
                <w:szCs w:val="1"/>
                <w:color w:val="auto"/>
              </w:rPr>
            </w:pPr>
          </w:p>
        </w:tc>
      </w:tr>
      <w:tr>
        <w:trPr>
          <w:trHeight w:val="113"/>
        </w:trPr>
        <w:tc>
          <w:tcPr>
            <w:tcW w:w="680" w:type="dxa"/>
            <w:vAlign w:val="bottom"/>
          </w:tcPr>
          <w:p>
            <w:pPr>
              <w:spacing w:after="0" w:line="113" w:lineRule="exact"/>
              <w:rPr>
                <w:sz w:val="20"/>
                <w:szCs w:val="20"/>
                <w:color w:val="auto"/>
              </w:rPr>
            </w:pPr>
            <w:r>
              <w:rPr>
                <w:rFonts w:ascii="Arial" w:cs="Arial" w:eastAsia="Arial" w:hAnsi="Arial"/>
                <w:sz w:val="12"/>
                <w:szCs w:val="12"/>
                <w:color w:val="auto"/>
                <w:w w:val="89"/>
              </w:rPr>
              <w:t>Adjustment to</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line="128" w:lineRule="exact"/>
              <w:rPr>
                <w:sz w:val="20"/>
                <w:szCs w:val="20"/>
                <w:color w:val="auto"/>
              </w:rPr>
            </w:pPr>
            <w:r>
              <w:rPr>
                <w:rFonts w:ascii="Arial" w:cs="Arial" w:eastAsia="Arial" w:hAnsi="Arial"/>
                <w:sz w:val="12"/>
                <w:szCs w:val="12"/>
                <w:color w:val="auto"/>
              </w:rPr>
              <w:t>Class C</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line="128" w:lineRule="exact"/>
              <w:rPr>
                <w:sz w:val="20"/>
                <w:szCs w:val="20"/>
                <w:color w:val="auto"/>
              </w:rPr>
            </w:pPr>
            <w:r>
              <w:rPr>
                <w:rFonts w:ascii="Arial" w:cs="Arial" w:eastAsia="Arial" w:hAnsi="Arial"/>
                <w:sz w:val="12"/>
                <w:szCs w:val="12"/>
                <w:color w:val="auto"/>
              </w:rPr>
              <w:t>Shares and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line="128" w:lineRule="exact"/>
              <w:rPr>
                <w:sz w:val="20"/>
                <w:szCs w:val="20"/>
                <w:color w:val="auto"/>
              </w:rPr>
            </w:pPr>
            <w:r>
              <w:rPr>
                <w:rFonts w:ascii="Arial" w:cs="Arial" w:eastAsia="Arial" w:hAnsi="Arial"/>
                <w:sz w:val="12"/>
                <w:szCs w:val="12"/>
                <w:color w:val="auto"/>
              </w:rPr>
              <w:t>Class P(C)</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line="128" w:lineRule="exact"/>
              <w:rPr>
                <w:sz w:val="20"/>
                <w:szCs w:val="20"/>
                <w:color w:val="auto"/>
              </w:rPr>
            </w:pPr>
            <w:r>
              <w:rPr>
                <w:rFonts w:ascii="Arial" w:cs="Arial" w:eastAsia="Arial" w:hAnsi="Arial"/>
                <w:sz w:val="12"/>
                <w:szCs w:val="12"/>
                <w:color w:val="auto"/>
              </w:rPr>
              <w:t>shares in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line="128" w:lineRule="exact"/>
              <w:rPr>
                <w:sz w:val="20"/>
                <w:szCs w:val="20"/>
                <w:color w:val="auto"/>
              </w:rPr>
            </w:pPr>
            <w:r>
              <w:rPr>
                <w:rFonts w:ascii="Arial" w:cs="Arial" w:eastAsia="Arial" w:hAnsi="Arial"/>
                <w:sz w:val="12"/>
                <w:szCs w:val="12"/>
                <w:color w:val="auto"/>
              </w:rPr>
              <w:t>mezzanine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20"/>
                <w:szCs w:val="20"/>
                <w:color w:val="auto"/>
              </w:rPr>
            </w:pPr>
            <w:r>
              <w:rPr>
                <w:rFonts w:ascii="Arial" w:cs="Arial" w:eastAsia="Arial" w:hAnsi="Arial"/>
                <w:sz w:val="12"/>
                <w:szCs w:val="12"/>
                <w:color w:val="auto"/>
              </w:rPr>
              <w:t>capital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(2,369)</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(2,369</w:t>
            </w:r>
          </w:p>
        </w:tc>
        <w:tc>
          <w:tcPr>
            <w:tcW w:w="0" w:type="dxa"/>
            <w:vAlign w:val="bottom"/>
          </w:tcPr>
          <w:p>
            <w:pPr>
              <w:spacing w:after="0"/>
              <w:rPr>
                <w:sz w:val="1"/>
                <w:szCs w:val="1"/>
                <w:color w:val="auto"/>
              </w:rPr>
            </w:pPr>
          </w:p>
        </w:tc>
      </w:tr>
      <w:tr>
        <w:trPr>
          <w:trHeight w:val="113"/>
        </w:trPr>
        <w:tc>
          <w:tcPr>
            <w:tcW w:w="680" w:type="dxa"/>
            <w:vAlign w:val="bottom"/>
            <w:shd w:val="clear" w:color="auto" w:fill="CCEEFF"/>
          </w:tcPr>
          <w:p>
            <w:pPr>
              <w:spacing w:after="0" w:line="113" w:lineRule="exact"/>
              <w:rPr>
                <w:sz w:val="20"/>
                <w:szCs w:val="20"/>
                <w:color w:val="auto"/>
              </w:rPr>
            </w:pPr>
            <w:r>
              <w:rPr>
                <w:rFonts w:ascii="Arial" w:cs="Arial" w:eastAsia="Arial" w:hAnsi="Arial"/>
                <w:sz w:val="12"/>
                <w:szCs w:val="12"/>
                <w:color w:val="auto"/>
              </w:rPr>
              <w:t>Capital</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680" w:type="dxa"/>
            <w:vAlign w:val="bottom"/>
            <w:shd w:val="clear" w:color="auto" w:fill="CCEEFF"/>
          </w:tcPr>
          <w:p>
            <w:pPr>
              <w:spacing w:after="0"/>
              <w:rPr>
                <w:sz w:val="20"/>
                <w:szCs w:val="20"/>
                <w:color w:val="auto"/>
              </w:rPr>
            </w:pPr>
            <w:r>
              <w:rPr>
                <w:rFonts w:ascii="Arial" w:cs="Arial" w:eastAsia="Arial" w:hAnsi="Arial"/>
                <w:sz w:val="12"/>
                <w:szCs w:val="12"/>
                <w:color w:val="auto"/>
              </w:rPr>
              <w:t>distributions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(20,000)</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(20,000</w:t>
            </w:r>
          </w:p>
        </w:tc>
        <w:tc>
          <w:tcPr>
            <w:tcW w:w="0" w:type="dxa"/>
            <w:vAlign w:val="bottom"/>
          </w:tcPr>
          <w:p>
            <w:pPr>
              <w:spacing w:after="0"/>
              <w:rPr>
                <w:sz w:val="1"/>
                <w:szCs w:val="1"/>
                <w:color w:val="auto"/>
              </w:rPr>
            </w:pPr>
          </w:p>
        </w:tc>
      </w:tr>
      <w:tr>
        <w:trPr>
          <w:trHeight w:val="113"/>
        </w:trPr>
        <w:tc>
          <w:tcPr>
            <w:tcW w:w="680" w:type="dxa"/>
            <w:vAlign w:val="bottom"/>
          </w:tcPr>
          <w:p>
            <w:pPr>
              <w:spacing w:after="0" w:line="113" w:lineRule="exact"/>
              <w:rPr>
                <w:sz w:val="20"/>
                <w:szCs w:val="20"/>
                <w:color w:val="auto"/>
              </w:rPr>
            </w:pPr>
            <w:r>
              <w:rPr>
                <w:rFonts w:ascii="Arial" w:cs="Arial" w:eastAsia="Arial" w:hAnsi="Arial"/>
                <w:sz w:val="12"/>
                <w:szCs w:val="12"/>
                <w:color w:val="auto"/>
                <w:w w:val="98"/>
              </w:rPr>
              <w:t>Stock-based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20"/>
                <w:szCs w:val="20"/>
                <w:color w:val="auto"/>
              </w:rPr>
            </w:pPr>
            <w:r>
              <w:rPr>
                <w:rFonts w:ascii="Arial" w:cs="Arial" w:eastAsia="Arial" w:hAnsi="Arial"/>
                <w:sz w:val="12"/>
                <w:szCs w:val="12"/>
                <w:color w:val="auto"/>
                <w:w w:val="88"/>
              </w:rPr>
              <w:t>compensation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4,674</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4,674</w:t>
            </w:r>
          </w:p>
        </w:tc>
        <w:tc>
          <w:tcPr>
            <w:tcW w:w="0" w:type="dxa"/>
            <w:vAlign w:val="bottom"/>
          </w:tcPr>
          <w:p>
            <w:pPr>
              <w:spacing w:after="0"/>
              <w:rPr>
                <w:sz w:val="1"/>
                <w:szCs w:val="1"/>
                <w:color w:val="auto"/>
              </w:rPr>
            </w:pPr>
          </w:p>
        </w:tc>
      </w:tr>
      <w:tr>
        <w:trPr>
          <w:trHeight w:val="127"/>
        </w:trPr>
        <w:tc>
          <w:tcPr>
            <w:tcW w:w="6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Net income</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42,352</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ind w:left="260"/>
              <w:spacing w:after="0" w:line="128"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ind w:left="260"/>
              <w:spacing w:after="0" w:line="128"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jc w:val="right"/>
              <w:ind w:right="1"/>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42,352</w:t>
            </w:r>
          </w:p>
        </w:tc>
        <w:tc>
          <w:tcPr>
            <w:tcW w:w="0" w:type="dxa"/>
            <w:vAlign w:val="bottom"/>
          </w:tcPr>
          <w:p>
            <w:pPr>
              <w:spacing w:after="0"/>
              <w:rPr>
                <w:sz w:val="1"/>
                <w:szCs w:val="1"/>
                <w:color w:val="auto"/>
              </w:rPr>
            </w:pPr>
          </w:p>
        </w:tc>
      </w:tr>
      <w:tr>
        <w:trPr>
          <w:trHeight w:val="113"/>
        </w:trPr>
        <w:tc>
          <w:tcPr>
            <w:tcW w:w="680" w:type="dxa"/>
            <w:vAlign w:val="bottom"/>
          </w:tcPr>
          <w:p>
            <w:pPr>
              <w:spacing w:after="0" w:line="113" w:lineRule="exact"/>
              <w:rPr>
                <w:sz w:val="20"/>
                <w:szCs w:val="20"/>
                <w:color w:val="auto"/>
              </w:rPr>
            </w:pPr>
            <w:r>
              <w:rPr>
                <w:rFonts w:ascii="Arial" w:cs="Arial" w:eastAsia="Arial" w:hAnsi="Arial"/>
                <w:sz w:val="12"/>
                <w:szCs w:val="12"/>
                <w:color w:val="auto"/>
              </w:rPr>
              <w:t>Foreign</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line="128" w:lineRule="exact"/>
              <w:rPr>
                <w:sz w:val="20"/>
                <w:szCs w:val="20"/>
                <w:color w:val="auto"/>
              </w:rPr>
            </w:pPr>
            <w:r>
              <w:rPr>
                <w:rFonts w:ascii="Arial" w:cs="Arial" w:eastAsia="Arial" w:hAnsi="Arial"/>
                <w:sz w:val="12"/>
                <w:szCs w:val="12"/>
                <w:color w:val="auto"/>
              </w:rPr>
              <w:t>currency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line="128" w:lineRule="exact"/>
              <w:rPr>
                <w:sz w:val="20"/>
                <w:szCs w:val="20"/>
                <w:color w:val="auto"/>
              </w:rPr>
            </w:pPr>
            <w:r>
              <w:rPr>
                <w:rFonts w:ascii="Arial" w:cs="Arial" w:eastAsia="Arial" w:hAnsi="Arial"/>
                <w:sz w:val="12"/>
                <w:szCs w:val="12"/>
                <w:color w:val="auto"/>
              </w:rPr>
              <w:t>translation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20"/>
                <w:szCs w:val="20"/>
                <w:color w:val="auto"/>
              </w:rPr>
            </w:pPr>
            <w:r>
              <w:rPr>
                <w:rFonts w:ascii="Arial" w:cs="Arial" w:eastAsia="Arial" w:hAnsi="Arial"/>
                <w:sz w:val="12"/>
                <w:szCs w:val="12"/>
                <w:color w:val="auto"/>
              </w:rPr>
              <w:t>adjustments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988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988</w:t>
            </w:r>
          </w:p>
        </w:tc>
        <w:tc>
          <w:tcPr>
            <w:tcW w:w="0" w:type="dxa"/>
            <w:vAlign w:val="bottom"/>
          </w:tcPr>
          <w:p>
            <w:pPr>
              <w:spacing w:after="0"/>
              <w:rPr>
                <w:sz w:val="1"/>
                <w:szCs w:val="1"/>
                <w:color w:val="auto"/>
              </w:rPr>
            </w:pPr>
          </w:p>
        </w:tc>
      </w:tr>
      <w:tr>
        <w:trPr>
          <w:trHeight w:val="93"/>
        </w:trPr>
        <w:tc>
          <w:tcPr>
            <w:tcW w:w="680" w:type="dxa"/>
            <w:vAlign w:val="bottom"/>
            <w:tcBorders>
              <w:top w:val="single" w:sz="8" w:color="CCEEFF"/>
            </w:tcBorders>
            <w:shd w:val="clear" w:color="auto" w:fill="CCEEFF"/>
          </w:tcPr>
          <w:p>
            <w:pPr>
              <w:spacing w:after="0" w:line="93" w:lineRule="exact"/>
              <w:rPr>
                <w:sz w:val="20"/>
                <w:szCs w:val="20"/>
                <w:color w:val="auto"/>
              </w:rPr>
            </w:pPr>
            <w:r>
              <w:rPr>
                <w:rFonts w:ascii="Arial" w:cs="Arial" w:eastAsia="Arial" w:hAnsi="Arial"/>
                <w:sz w:val="9"/>
                <w:szCs w:val="9"/>
                <w:color w:val="auto"/>
              </w:rPr>
              <w:t>Balance at</w:t>
            </w: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right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6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March 31,</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4,597,857</w:t>
            </w:r>
          </w:p>
        </w:tc>
        <w:tc>
          <w:tcPr>
            <w:tcW w:w="1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vMerge w:val="restart"/>
            <w:shd w:val="clear" w:color="auto" w:fill="CCEEFF"/>
          </w:tcPr>
          <w:p>
            <w:pPr>
              <w:ind w:left="120"/>
              <w:spacing w:after="0"/>
              <w:rPr>
                <w:sz w:val="20"/>
                <w:szCs w:val="20"/>
                <w:color w:val="auto"/>
              </w:rPr>
            </w:pPr>
            <w:r>
              <w:rPr>
                <w:rFonts w:ascii="Arial" w:cs="Arial" w:eastAsia="Arial" w:hAnsi="Arial"/>
                <w:sz w:val="9"/>
                <w:szCs w:val="9"/>
                <w:color w:val="auto"/>
                <w:w w:val="78"/>
              </w:rPr>
              <w:t>$</w:t>
            </w:r>
          </w:p>
        </w:tc>
        <w:tc>
          <w:tcPr>
            <w:tcW w:w="78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122</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4,597,979</w:t>
            </w:r>
          </w:p>
        </w:tc>
        <w:tc>
          <w:tcPr>
            <w:tcW w:w="0" w:type="dxa"/>
            <w:vAlign w:val="bottom"/>
          </w:tcPr>
          <w:p>
            <w:pPr>
              <w:spacing w:after="0"/>
              <w:rPr>
                <w:sz w:val="1"/>
                <w:szCs w:val="1"/>
                <w:color w:val="auto"/>
              </w:rPr>
            </w:pPr>
          </w:p>
        </w:tc>
      </w:tr>
      <w:tr>
        <w:trPr>
          <w:trHeight w:val="148"/>
        </w:trPr>
        <w:tc>
          <w:tcPr>
            <w:tcW w:w="6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2019</w:t>
            </w:r>
          </w:p>
        </w:tc>
        <w:tc>
          <w:tcPr>
            <w:tcW w:w="20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180" w:type="dxa"/>
            <w:vAlign w:val="bottom"/>
            <w:tcBorders>
              <w:right w:val="single" w:sz="8" w:color="CCEEFF"/>
            </w:tcBorders>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200" w:type="dxa"/>
            <w:vAlign w:val="bottom"/>
            <w:tcBorders>
              <w:right w:val="single" w:sz="8" w:color="CCEEFF"/>
            </w:tcBorders>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680" w:type="dxa"/>
            <w:vAlign w:val="bottom"/>
            <w:tcBorders>
              <w:top w:val="single" w:sz="8" w:color="CCEEFF"/>
            </w:tcBorders>
          </w:tcPr>
          <w:p>
            <w:pPr>
              <w:spacing w:after="0" w:line="86" w:lineRule="exact"/>
              <w:rPr>
                <w:sz w:val="20"/>
                <w:szCs w:val="20"/>
                <w:color w:val="auto"/>
              </w:rPr>
            </w:pPr>
            <w:r>
              <w:rPr>
                <w:rFonts w:ascii="Arial" w:cs="Arial" w:eastAsia="Arial" w:hAnsi="Arial"/>
                <w:sz w:val="9"/>
                <w:szCs w:val="9"/>
                <w:color w:val="auto"/>
              </w:rPr>
              <w:t>Capital</w:t>
            </w:r>
          </w:p>
        </w:tc>
        <w:tc>
          <w:tcPr>
            <w:tcW w:w="12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80" w:type="dxa"/>
            <w:vAlign w:val="bottom"/>
            <w:tcBorders>
              <w:top w:val="single" w:sz="8" w:color="CCEEFF"/>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20"/>
                <w:szCs w:val="20"/>
                <w:color w:val="auto"/>
              </w:rPr>
            </w:pPr>
            <w:r>
              <w:rPr>
                <w:rFonts w:ascii="Arial" w:cs="Arial" w:eastAsia="Arial" w:hAnsi="Arial"/>
                <w:sz w:val="12"/>
                <w:szCs w:val="12"/>
                <w:color w:val="auto"/>
              </w:rPr>
              <w:t>distributions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(100,000)</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(100,000</w:t>
            </w:r>
          </w:p>
        </w:tc>
        <w:tc>
          <w:tcPr>
            <w:tcW w:w="0" w:type="dxa"/>
            <w:vAlign w:val="bottom"/>
          </w:tcPr>
          <w:p>
            <w:pPr>
              <w:spacing w:after="0"/>
              <w:rPr>
                <w:sz w:val="1"/>
                <w:szCs w:val="1"/>
                <w:color w:val="auto"/>
              </w:rPr>
            </w:pPr>
          </w:p>
        </w:tc>
      </w:tr>
      <w:tr>
        <w:trPr>
          <w:trHeight w:val="113"/>
        </w:trPr>
        <w:tc>
          <w:tcPr>
            <w:tcW w:w="680" w:type="dxa"/>
            <w:vAlign w:val="bottom"/>
            <w:shd w:val="clear" w:color="auto" w:fill="CCEEFF"/>
          </w:tcPr>
          <w:p>
            <w:pPr>
              <w:spacing w:after="0" w:line="113" w:lineRule="exact"/>
              <w:rPr>
                <w:sz w:val="20"/>
                <w:szCs w:val="20"/>
                <w:color w:val="auto"/>
              </w:rPr>
            </w:pPr>
            <w:r>
              <w:rPr>
                <w:rFonts w:ascii="Arial" w:cs="Arial" w:eastAsia="Arial" w:hAnsi="Arial"/>
                <w:sz w:val="12"/>
                <w:szCs w:val="12"/>
                <w:color w:val="auto"/>
              </w:rPr>
              <w:t>Effect of the</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w w:val="86"/>
              </w:rPr>
              <w:t>reorganization</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80" w:type="dxa"/>
            <w:vAlign w:val="bottom"/>
            <w:shd w:val="clear" w:color="auto" w:fill="CCEEFF"/>
          </w:tcPr>
          <w:p>
            <w:pPr>
              <w:spacing w:after="0"/>
              <w:rPr>
                <w:sz w:val="20"/>
                <w:szCs w:val="20"/>
                <w:color w:val="auto"/>
              </w:rPr>
            </w:pPr>
            <w:r>
              <w:rPr>
                <w:rFonts w:ascii="Arial" w:cs="Arial" w:eastAsia="Arial" w:hAnsi="Arial"/>
                <w:sz w:val="12"/>
                <w:szCs w:val="12"/>
                <w:color w:val="auto"/>
              </w:rPr>
              <w:t>transactions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(4,497,857)</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4,521,132</w:t>
            </w: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23,275</w:t>
            </w:r>
          </w:p>
        </w:tc>
        <w:tc>
          <w:tcPr>
            <w:tcW w:w="0" w:type="dxa"/>
            <w:vAlign w:val="bottom"/>
          </w:tcPr>
          <w:p>
            <w:pPr>
              <w:spacing w:after="0"/>
              <w:rPr>
                <w:sz w:val="1"/>
                <w:szCs w:val="1"/>
                <w:color w:val="auto"/>
              </w:rPr>
            </w:pPr>
          </w:p>
        </w:tc>
      </w:tr>
      <w:tr>
        <w:trPr>
          <w:trHeight w:val="113"/>
        </w:trPr>
        <w:tc>
          <w:tcPr>
            <w:tcW w:w="680" w:type="dxa"/>
            <w:vAlign w:val="bottom"/>
          </w:tcPr>
          <w:p>
            <w:pPr>
              <w:spacing w:after="0" w:line="113" w:lineRule="exact"/>
              <w:rPr>
                <w:sz w:val="20"/>
                <w:szCs w:val="20"/>
                <w:color w:val="auto"/>
              </w:rPr>
            </w:pPr>
            <w:r>
              <w:rPr>
                <w:rFonts w:ascii="Arial" w:cs="Arial" w:eastAsia="Arial" w:hAnsi="Arial"/>
                <w:sz w:val="12"/>
                <w:szCs w:val="12"/>
                <w:color w:val="auto"/>
              </w:rPr>
              <w:t>Issuance of</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line="128" w:lineRule="exact"/>
              <w:rPr>
                <w:sz w:val="20"/>
                <w:szCs w:val="20"/>
                <w:color w:val="auto"/>
              </w:rPr>
            </w:pPr>
            <w:r>
              <w:rPr>
                <w:rFonts w:ascii="Arial" w:cs="Arial" w:eastAsia="Arial" w:hAnsi="Arial"/>
                <w:sz w:val="12"/>
                <w:szCs w:val="12"/>
                <w:color w:val="auto"/>
              </w:rPr>
              <w:t>common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line="128" w:lineRule="exact"/>
              <w:rPr>
                <w:sz w:val="20"/>
                <w:szCs w:val="20"/>
                <w:color w:val="auto"/>
              </w:rPr>
            </w:pPr>
            <w:r>
              <w:rPr>
                <w:rFonts w:ascii="Arial" w:cs="Arial" w:eastAsia="Arial" w:hAnsi="Arial"/>
                <w:sz w:val="12"/>
                <w:szCs w:val="12"/>
                <w:color w:val="auto"/>
              </w:rPr>
              <w:t>stock, net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line="128" w:lineRule="exact"/>
              <w:rPr>
                <w:sz w:val="20"/>
                <w:szCs w:val="20"/>
                <w:color w:val="auto"/>
              </w:rPr>
            </w:pPr>
            <w:r>
              <w:rPr>
                <w:rFonts w:ascii="Arial" w:cs="Arial" w:eastAsia="Arial" w:hAnsi="Arial"/>
                <w:sz w:val="12"/>
                <w:szCs w:val="12"/>
                <w:color w:val="auto"/>
                <w:w w:val="92"/>
              </w:rPr>
              <w:t>offering costs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line="128" w:lineRule="exact"/>
              <w:rPr>
                <w:sz w:val="20"/>
                <w:szCs w:val="20"/>
                <w:color w:val="auto"/>
              </w:rPr>
            </w:pPr>
            <w:r>
              <w:rPr>
                <w:rFonts w:ascii="Arial" w:cs="Arial" w:eastAsia="Arial" w:hAnsi="Arial"/>
                <w:sz w:val="12"/>
                <w:szCs w:val="12"/>
                <w:color w:val="auto"/>
              </w:rPr>
              <w:t>and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20"/>
                <w:szCs w:val="20"/>
                <w:color w:val="auto"/>
              </w:rPr>
            </w:pPr>
            <w:r>
              <w:rPr>
                <w:rFonts w:ascii="Arial" w:cs="Arial" w:eastAsia="Arial" w:hAnsi="Arial"/>
                <w:sz w:val="12"/>
                <w:szCs w:val="12"/>
                <w:color w:val="auto"/>
                <w:w w:val="95"/>
              </w:rPr>
              <w:t>cancellations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46,000,000</w:t>
            </w:r>
          </w:p>
        </w:tc>
        <w:tc>
          <w:tcPr>
            <w:tcW w:w="1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96,933,192</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1</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10,006,269</w:t>
            </w:r>
          </w:p>
        </w:tc>
        <w:tc>
          <w:tcPr>
            <w:tcW w:w="1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69,282,736</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1</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(15,856)</w:t>
            </w:r>
          </w:p>
        </w:tc>
        <w:tc>
          <w:tcPr>
            <w:tcW w:w="200" w:type="dxa"/>
            <w:vAlign w:val="bottom"/>
          </w:tcPr>
          <w:p>
            <w:pPr>
              <w:spacing w:after="0"/>
              <w:rPr>
                <w:sz w:val="12"/>
                <w:szCs w:val="12"/>
                <w:color w:val="auto"/>
              </w:rPr>
            </w:pP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(15,854</w:t>
            </w:r>
          </w:p>
        </w:tc>
        <w:tc>
          <w:tcPr>
            <w:tcW w:w="0" w:type="dxa"/>
            <w:vAlign w:val="bottom"/>
          </w:tcPr>
          <w:p>
            <w:pPr>
              <w:spacing w:after="0"/>
              <w:rPr>
                <w:sz w:val="1"/>
                <w:szCs w:val="1"/>
                <w:color w:val="auto"/>
              </w:rPr>
            </w:pPr>
          </w:p>
        </w:tc>
      </w:tr>
      <w:tr>
        <w:trPr>
          <w:trHeight w:val="113"/>
        </w:trPr>
        <w:tc>
          <w:tcPr>
            <w:tcW w:w="680" w:type="dxa"/>
            <w:vAlign w:val="bottom"/>
            <w:shd w:val="clear" w:color="auto" w:fill="CCEEFF"/>
          </w:tcPr>
          <w:p>
            <w:pPr>
              <w:spacing w:after="0" w:line="113" w:lineRule="exact"/>
              <w:rPr>
                <w:sz w:val="20"/>
                <w:szCs w:val="20"/>
                <w:color w:val="auto"/>
              </w:rPr>
            </w:pPr>
            <w:r>
              <w:rPr>
                <w:rFonts w:ascii="Arial" w:cs="Arial" w:eastAsia="Arial" w:hAnsi="Arial"/>
                <w:sz w:val="12"/>
                <w:szCs w:val="12"/>
                <w:color w:val="auto"/>
              </w:rPr>
              <w:t>Tax</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receivable</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agreement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liability and</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w w:val="85"/>
              </w:rPr>
              <w:t>deferred taxes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arising from</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the</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w w:val="86"/>
              </w:rPr>
              <w:t>reorganization</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transactions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80" w:type="dxa"/>
            <w:vAlign w:val="bottom"/>
            <w:shd w:val="clear" w:color="auto" w:fill="CCEEFF"/>
          </w:tcPr>
          <w:p>
            <w:pPr>
              <w:spacing w:after="0"/>
              <w:rPr>
                <w:sz w:val="20"/>
                <w:szCs w:val="20"/>
                <w:color w:val="auto"/>
              </w:rPr>
            </w:pPr>
            <w:r>
              <w:rPr>
                <w:rFonts w:ascii="Arial" w:cs="Arial" w:eastAsia="Arial" w:hAnsi="Arial"/>
                <w:sz w:val="12"/>
                <w:szCs w:val="12"/>
                <w:color w:val="auto"/>
              </w:rPr>
              <w:t>and IPO</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(78,232)</w:t>
            </w: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(78,232</w:t>
            </w:r>
          </w:p>
        </w:tc>
        <w:tc>
          <w:tcPr>
            <w:tcW w:w="0" w:type="dxa"/>
            <w:vAlign w:val="bottom"/>
          </w:tcPr>
          <w:p>
            <w:pPr>
              <w:spacing w:after="0"/>
              <w:rPr>
                <w:sz w:val="1"/>
                <w:szCs w:val="1"/>
                <w:color w:val="auto"/>
              </w:rPr>
            </w:pPr>
          </w:p>
        </w:tc>
      </w:tr>
      <w:tr>
        <w:trPr>
          <w:trHeight w:val="113"/>
        </w:trPr>
        <w:tc>
          <w:tcPr>
            <w:tcW w:w="680" w:type="dxa"/>
            <w:vAlign w:val="bottom"/>
          </w:tcPr>
          <w:p>
            <w:pPr>
              <w:spacing w:after="0" w:line="113" w:lineRule="exact"/>
              <w:rPr>
                <w:sz w:val="20"/>
                <w:szCs w:val="20"/>
                <w:color w:val="auto"/>
              </w:rPr>
            </w:pPr>
            <w:r>
              <w:rPr>
                <w:rFonts w:ascii="Arial" w:cs="Arial" w:eastAsia="Arial" w:hAnsi="Arial"/>
                <w:sz w:val="12"/>
                <w:szCs w:val="12"/>
                <w:color w:val="auto"/>
              </w:rPr>
              <w:t>Allocation of</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line="128" w:lineRule="exact"/>
              <w:rPr>
                <w:sz w:val="20"/>
                <w:szCs w:val="20"/>
                <w:color w:val="auto"/>
              </w:rPr>
            </w:pPr>
            <w:r>
              <w:rPr>
                <w:rFonts w:ascii="Arial" w:cs="Arial" w:eastAsia="Arial" w:hAnsi="Arial"/>
                <w:sz w:val="12"/>
                <w:szCs w:val="12"/>
                <w:color w:val="auto"/>
                <w:w w:val="90"/>
              </w:rPr>
              <w:t>equity to non-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line="128" w:lineRule="exact"/>
              <w:rPr>
                <w:sz w:val="20"/>
                <w:szCs w:val="20"/>
                <w:color w:val="auto"/>
              </w:rPr>
            </w:pPr>
            <w:r>
              <w:rPr>
                <w:rFonts w:ascii="Arial" w:cs="Arial" w:eastAsia="Arial" w:hAnsi="Arial"/>
                <w:sz w:val="12"/>
                <w:szCs w:val="12"/>
                <w:color w:val="auto"/>
              </w:rPr>
              <w:t>controlling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20"/>
                <w:szCs w:val="20"/>
                <w:color w:val="auto"/>
              </w:rPr>
            </w:pPr>
            <w:r>
              <w:rPr>
                <w:rFonts w:ascii="Arial" w:cs="Arial" w:eastAsia="Arial" w:hAnsi="Arial"/>
                <w:sz w:val="12"/>
                <w:szCs w:val="12"/>
                <w:color w:val="auto"/>
              </w:rPr>
              <w:t>interests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(1,607,529)</w:t>
            </w:r>
          </w:p>
        </w:tc>
        <w:tc>
          <w:tcPr>
            <w:tcW w:w="200" w:type="dxa"/>
            <w:vAlign w:val="bottom"/>
          </w:tcPr>
          <w:p>
            <w:pPr>
              <w:spacing w:after="0"/>
              <w:rPr>
                <w:sz w:val="12"/>
                <w:szCs w:val="12"/>
                <w:color w:val="auto"/>
              </w:rPr>
            </w:pP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7"/>
              </w:rPr>
              <w:t>1,607,529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3"/>
        </w:trPr>
        <w:tc>
          <w:tcPr>
            <w:tcW w:w="680" w:type="dxa"/>
            <w:vAlign w:val="bottom"/>
            <w:shd w:val="clear" w:color="auto" w:fill="CCEEFF"/>
          </w:tcPr>
          <w:p>
            <w:pPr>
              <w:spacing w:after="0" w:line="113" w:lineRule="exact"/>
              <w:rPr>
                <w:sz w:val="20"/>
                <w:szCs w:val="20"/>
                <w:color w:val="auto"/>
              </w:rPr>
            </w:pPr>
            <w:r>
              <w:rPr>
                <w:rFonts w:ascii="Arial" w:cs="Arial" w:eastAsia="Arial" w:hAnsi="Arial"/>
                <w:sz w:val="12"/>
                <w:szCs w:val="12"/>
                <w:color w:val="auto"/>
                <w:w w:val="99"/>
              </w:rPr>
              <w:t>Adjustments</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to non-</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controlling</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80" w:type="dxa"/>
            <w:vAlign w:val="bottom"/>
            <w:shd w:val="clear" w:color="auto" w:fill="CCEEFF"/>
          </w:tcPr>
          <w:p>
            <w:pPr>
              <w:spacing w:after="0"/>
              <w:rPr>
                <w:sz w:val="20"/>
                <w:szCs w:val="20"/>
                <w:color w:val="auto"/>
              </w:rPr>
            </w:pPr>
            <w:r>
              <w:rPr>
                <w:rFonts w:ascii="Arial" w:cs="Arial" w:eastAsia="Arial" w:hAnsi="Arial"/>
                <w:sz w:val="12"/>
                <w:szCs w:val="12"/>
                <w:color w:val="auto"/>
              </w:rPr>
              <w:t>interests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3"/>
        </w:trPr>
        <w:tc>
          <w:tcPr>
            <w:tcW w:w="680" w:type="dxa"/>
            <w:vAlign w:val="bottom"/>
          </w:tcPr>
          <w:p>
            <w:pPr>
              <w:spacing w:after="0" w:line="113" w:lineRule="exact"/>
              <w:rPr>
                <w:sz w:val="20"/>
                <w:szCs w:val="20"/>
                <w:color w:val="auto"/>
              </w:rPr>
            </w:pPr>
            <w:r>
              <w:rPr>
                <w:rFonts w:ascii="Arial" w:cs="Arial" w:eastAsia="Arial" w:hAnsi="Arial"/>
                <w:sz w:val="12"/>
                <w:szCs w:val="12"/>
                <w:color w:val="auto"/>
                <w:w w:val="99"/>
              </w:rPr>
              <w:t>Distributions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line="128" w:lineRule="exact"/>
              <w:rPr>
                <w:sz w:val="20"/>
                <w:szCs w:val="20"/>
                <w:color w:val="auto"/>
              </w:rPr>
            </w:pPr>
            <w:r>
              <w:rPr>
                <w:rFonts w:ascii="Arial" w:cs="Arial" w:eastAsia="Arial" w:hAnsi="Arial"/>
                <w:sz w:val="12"/>
                <w:szCs w:val="12"/>
                <w:color w:val="auto"/>
              </w:rPr>
              <w:t>to non-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line="128" w:lineRule="exact"/>
              <w:rPr>
                <w:sz w:val="20"/>
                <w:szCs w:val="20"/>
                <w:color w:val="auto"/>
              </w:rPr>
            </w:pPr>
            <w:r>
              <w:rPr>
                <w:rFonts w:ascii="Arial" w:cs="Arial" w:eastAsia="Arial" w:hAnsi="Arial"/>
                <w:sz w:val="12"/>
                <w:szCs w:val="12"/>
                <w:color w:val="auto"/>
              </w:rPr>
              <w:t>controlling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20"/>
                <w:szCs w:val="20"/>
                <w:color w:val="auto"/>
              </w:rPr>
            </w:pPr>
            <w:r>
              <w:rPr>
                <w:rFonts w:ascii="Arial" w:cs="Arial" w:eastAsia="Arial" w:hAnsi="Arial"/>
                <w:sz w:val="12"/>
                <w:szCs w:val="12"/>
                <w:color w:val="auto"/>
              </w:rPr>
              <w:t>interests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(11,909)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(11,909</w:t>
            </w:r>
          </w:p>
        </w:tc>
        <w:tc>
          <w:tcPr>
            <w:tcW w:w="0" w:type="dxa"/>
            <w:vAlign w:val="bottom"/>
          </w:tcPr>
          <w:p>
            <w:pPr>
              <w:spacing w:after="0"/>
              <w:rPr>
                <w:sz w:val="1"/>
                <w:szCs w:val="1"/>
                <w:color w:val="auto"/>
              </w:rPr>
            </w:pPr>
          </w:p>
        </w:tc>
      </w:tr>
      <w:tr>
        <w:trPr>
          <w:trHeight w:val="113"/>
        </w:trPr>
        <w:tc>
          <w:tcPr>
            <w:tcW w:w="680" w:type="dxa"/>
            <w:vAlign w:val="bottom"/>
            <w:shd w:val="clear" w:color="auto" w:fill="CCEEFF"/>
          </w:tcPr>
          <w:p>
            <w:pPr>
              <w:spacing w:after="0" w:line="113" w:lineRule="exact"/>
              <w:rPr>
                <w:sz w:val="20"/>
                <w:szCs w:val="20"/>
                <w:color w:val="auto"/>
              </w:rPr>
            </w:pPr>
            <w:r>
              <w:rPr>
                <w:rFonts w:ascii="Arial" w:cs="Arial" w:eastAsia="Arial" w:hAnsi="Arial"/>
                <w:sz w:val="12"/>
                <w:szCs w:val="12"/>
                <w:color w:val="auto"/>
              </w:rPr>
              <w:t>Dividends</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($0.08 per</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80" w:type="dxa"/>
            <w:vAlign w:val="bottom"/>
            <w:shd w:val="clear" w:color="auto" w:fill="CCEEFF"/>
          </w:tcPr>
          <w:p>
            <w:pPr>
              <w:spacing w:after="0"/>
              <w:rPr>
                <w:sz w:val="20"/>
                <w:szCs w:val="20"/>
                <w:color w:val="auto"/>
              </w:rPr>
            </w:pPr>
            <w:r>
              <w:rPr>
                <w:rFonts w:ascii="Arial" w:cs="Arial" w:eastAsia="Arial" w:hAnsi="Arial"/>
                <w:sz w:val="12"/>
                <w:szCs w:val="12"/>
                <w:color w:val="auto"/>
              </w:rPr>
              <w:t>share)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(11,435)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(11,435</w:t>
            </w:r>
          </w:p>
        </w:tc>
        <w:tc>
          <w:tcPr>
            <w:tcW w:w="0" w:type="dxa"/>
            <w:vAlign w:val="bottom"/>
          </w:tcPr>
          <w:p>
            <w:pPr>
              <w:spacing w:after="0"/>
              <w:rPr>
                <w:sz w:val="1"/>
                <w:szCs w:val="1"/>
                <w:color w:val="auto"/>
              </w:rPr>
            </w:pPr>
          </w:p>
        </w:tc>
      </w:tr>
      <w:tr>
        <w:trPr>
          <w:trHeight w:val="113"/>
        </w:trPr>
        <w:tc>
          <w:tcPr>
            <w:tcW w:w="680" w:type="dxa"/>
            <w:vAlign w:val="bottom"/>
          </w:tcPr>
          <w:p>
            <w:pPr>
              <w:spacing w:after="0" w:line="113" w:lineRule="exact"/>
              <w:rPr>
                <w:sz w:val="20"/>
                <w:szCs w:val="20"/>
                <w:color w:val="auto"/>
              </w:rPr>
            </w:pPr>
            <w:r>
              <w:rPr>
                <w:rFonts w:ascii="Arial" w:cs="Arial" w:eastAsia="Arial" w:hAnsi="Arial"/>
                <w:sz w:val="12"/>
                <w:szCs w:val="12"/>
                <w:color w:val="auto"/>
                <w:w w:val="98"/>
              </w:rPr>
              <w:t>Stock-based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line="128" w:lineRule="exact"/>
              <w:rPr>
                <w:sz w:val="20"/>
                <w:szCs w:val="20"/>
                <w:color w:val="auto"/>
              </w:rPr>
            </w:pPr>
            <w:r>
              <w:rPr>
                <w:rFonts w:ascii="Arial" w:cs="Arial" w:eastAsia="Arial" w:hAnsi="Arial"/>
                <w:sz w:val="12"/>
                <w:szCs w:val="12"/>
                <w:color w:val="auto"/>
                <w:w w:val="88"/>
              </w:rPr>
              <w:t>compensation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line="128" w:lineRule="exact"/>
              <w:rPr>
                <w:sz w:val="20"/>
                <w:szCs w:val="20"/>
                <w:color w:val="auto"/>
              </w:rPr>
            </w:pPr>
            <w:r>
              <w:rPr>
                <w:rFonts w:ascii="Arial" w:cs="Arial" w:eastAsia="Arial" w:hAnsi="Arial"/>
                <w:sz w:val="12"/>
                <w:szCs w:val="12"/>
                <w:color w:val="auto"/>
                <w:w w:val="83"/>
              </w:rPr>
              <w:t>expense under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line="128" w:lineRule="exact"/>
              <w:rPr>
                <w:sz w:val="20"/>
                <w:szCs w:val="20"/>
                <w:color w:val="auto"/>
              </w:rPr>
            </w:pPr>
            <w:r>
              <w:rPr>
                <w:rFonts w:ascii="Arial" w:cs="Arial" w:eastAsia="Arial" w:hAnsi="Arial"/>
                <w:sz w:val="12"/>
                <w:szCs w:val="12"/>
                <w:color w:val="auto"/>
              </w:rPr>
              <w:t>the PRSU</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20"/>
                <w:szCs w:val="20"/>
                <w:color w:val="auto"/>
              </w:rPr>
            </w:pPr>
            <w:r>
              <w:rPr>
                <w:rFonts w:ascii="Arial" w:cs="Arial" w:eastAsia="Arial" w:hAnsi="Arial"/>
                <w:sz w:val="12"/>
                <w:szCs w:val="12"/>
                <w:color w:val="auto"/>
              </w:rPr>
              <w:t>Plan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6,763</w:t>
            </w:r>
          </w:p>
        </w:tc>
        <w:tc>
          <w:tcPr>
            <w:tcW w:w="200" w:type="dxa"/>
            <w:vAlign w:val="bottom"/>
          </w:tcPr>
          <w:p>
            <w:pPr>
              <w:spacing w:after="0"/>
              <w:rPr>
                <w:sz w:val="12"/>
                <w:szCs w:val="12"/>
                <w:color w:val="auto"/>
              </w:rPr>
            </w:pP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6,763</w:t>
            </w:r>
          </w:p>
        </w:tc>
        <w:tc>
          <w:tcPr>
            <w:tcW w:w="0" w:type="dxa"/>
            <w:vAlign w:val="bottom"/>
          </w:tcPr>
          <w:p>
            <w:pPr>
              <w:spacing w:after="0"/>
              <w:rPr>
                <w:sz w:val="1"/>
                <w:szCs w:val="1"/>
                <w:color w:val="auto"/>
              </w:rPr>
            </w:pPr>
          </w:p>
        </w:tc>
      </w:tr>
      <w:tr>
        <w:trPr>
          <w:trHeight w:val="113"/>
        </w:trPr>
        <w:tc>
          <w:tcPr>
            <w:tcW w:w="680" w:type="dxa"/>
            <w:vAlign w:val="bottom"/>
            <w:shd w:val="clear" w:color="auto" w:fill="CCEEFF"/>
          </w:tcPr>
          <w:p>
            <w:pPr>
              <w:spacing w:after="0" w:line="113" w:lineRule="exact"/>
              <w:rPr>
                <w:sz w:val="20"/>
                <w:szCs w:val="20"/>
                <w:color w:val="auto"/>
              </w:rPr>
            </w:pPr>
            <w:r>
              <w:rPr>
                <w:rFonts w:ascii="Arial" w:cs="Arial" w:eastAsia="Arial" w:hAnsi="Arial"/>
                <w:sz w:val="12"/>
                <w:szCs w:val="12"/>
                <w:color w:val="auto"/>
                <w:w w:val="98"/>
              </w:rPr>
              <w:t>Stock-based</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w w:val="88"/>
              </w:rPr>
              <w:t>compensation</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w w:val="83"/>
              </w:rPr>
              <w:t>expense under</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the Option</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80" w:type="dxa"/>
            <w:vAlign w:val="bottom"/>
            <w:shd w:val="clear" w:color="auto" w:fill="CCEEFF"/>
          </w:tcPr>
          <w:p>
            <w:pPr>
              <w:spacing w:after="0"/>
              <w:rPr>
                <w:sz w:val="20"/>
                <w:szCs w:val="20"/>
                <w:color w:val="auto"/>
              </w:rPr>
            </w:pPr>
            <w:r>
              <w:rPr>
                <w:rFonts w:ascii="Arial" w:cs="Arial" w:eastAsia="Arial" w:hAnsi="Arial"/>
                <w:sz w:val="12"/>
                <w:szCs w:val="12"/>
                <w:color w:val="auto"/>
              </w:rPr>
              <w:t>Plan</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20,403</w:t>
            </w: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20,403</w:t>
            </w:r>
          </w:p>
        </w:tc>
        <w:tc>
          <w:tcPr>
            <w:tcW w:w="0" w:type="dxa"/>
            <w:vAlign w:val="bottom"/>
          </w:tcPr>
          <w:p>
            <w:pPr>
              <w:spacing w:after="0"/>
              <w:rPr>
                <w:sz w:val="1"/>
                <w:szCs w:val="1"/>
                <w:color w:val="auto"/>
              </w:rPr>
            </w:pPr>
          </w:p>
        </w:tc>
      </w:tr>
      <w:tr>
        <w:trPr>
          <w:trHeight w:val="127"/>
        </w:trPr>
        <w:tc>
          <w:tcPr>
            <w:tcW w:w="680" w:type="dxa"/>
            <w:vAlign w:val="bottom"/>
          </w:tcPr>
          <w:p>
            <w:pPr>
              <w:spacing w:after="0" w:line="128" w:lineRule="exact"/>
              <w:rPr>
                <w:sz w:val="20"/>
                <w:szCs w:val="20"/>
                <w:color w:val="auto"/>
              </w:rPr>
            </w:pPr>
            <w:r>
              <w:rPr>
                <w:rFonts w:ascii="Arial" w:cs="Arial" w:eastAsia="Arial" w:hAnsi="Arial"/>
                <w:sz w:val="12"/>
                <w:szCs w:val="12"/>
                <w:color w:val="auto"/>
              </w:rPr>
              <w:t>Net income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20" w:type="dxa"/>
            <w:vAlign w:val="bottom"/>
          </w:tcPr>
          <w:p>
            <w:pPr>
              <w:ind w:left="260"/>
              <w:spacing w:after="0" w:line="128"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20" w:type="dxa"/>
            <w:vAlign w:val="bottom"/>
          </w:tcPr>
          <w:p>
            <w:pPr>
              <w:ind w:left="260"/>
              <w:spacing w:after="0" w:line="128"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780" w:type="dxa"/>
            <w:vAlign w:val="bottom"/>
          </w:tcPr>
          <w:p>
            <w:pPr>
              <w:jc w:val="right"/>
              <w:ind w:right="1"/>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28" w:lineRule="exact"/>
              <w:rPr>
                <w:sz w:val="20"/>
                <w:szCs w:val="20"/>
                <w:color w:val="auto"/>
              </w:rPr>
            </w:pPr>
            <w:r>
              <w:rPr>
                <w:rFonts w:ascii="Arial" w:cs="Arial" w:eastAsia="Arial" w:hAnsi="Arial"/>
                <w:sz w:val="12"/>
                <w:szCs w:val="12"/>
                <w:color w:val="auto"/>
              </w:rPr>
              <w:t>12,828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8" w:lineRule="exact"/>
              <w:rPr>
                <w:sz w:val="20"/>
                <w:szCs w:val="20"/>
                <w:color w:val="auto"/>
              </w:rPr>
            </w:pPr>
            <w:r>
              <w:rPr>
                <w:rFonts w:ascii="Arial" w:cs="Arial" w:eastAsia="Arial" w:hAnsi="Arial"/>
                <w:sz w:val="12"/>
                <w:szCs w:val="12"/>
                <w:color w:val="auto"/>
              </w:rPr>
              <w:t>11,988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28" w:lineRule="exact"/>
              <w:rPr>
                <w:sz w:val="20"/>
                <w:szCs w:val="20"/>
                <w:color w:val="auto"/>
              </w:rPr>
            </w:pPr>
            <w:r>
              <w:rPr>
                <w:rFonts w:ascii="Arial" w:cs="Arial" w:eastAsia="Arial" w:hAnsi="Arial"/>
                <w:sz w:val="12"/>
                <w:szCs w:val="12"/>
                <w:color w:val="auto"/>
              </w:rPr>
              <w:t>24,816</w:t>
            </w:r>
          </w:p>
        </w:tc>
        <w:tc>
          <w:tcPr>
            <w:tcW w:w="0" w:type="dxa"/>
            <w:vAlign w:val="bottom"/>
          </w:tcPr>
          <w:p>
            <w:pPr>
              <w:spacing w:after="0"/>
              <w:rPr>
                <w:sz w:val="1"/>
                <w:szCs w:val="1"/>
                <w:color w:val="auto"/>
              </w:rPr>
            </w:pPr>
          </w:p>
        </w:tc>
      </w:tr>
      <w:tr>
        <w:trPr>
          <w:trHeight w:val="113"/>
        </w:trPr>
        <w:tc>
          <w:tcPr>
            <w:tcW w:w="680" w:type="dxa"/>
            <w:vAlign w:val="bottom"/>
            <w:shd w:val="clear" w:color="auto" w:fill="CCEEFF"/>
          </w:tcPr>
          <w:p>
            <w:pPr>
              <w:spacing w:after="0" w:line="113" w:lineRule="exact"/>
              <w:rPr>
                <w:sz w:val="20"/>
                <w:szCs w:val="20"/>
                <w:color w:val="auto"/>
              </w:rPr>
            </w:pPr>
            <w:r>
              <w:rPr>
                <w:rFonts w:ascii="Arial" w:cs="Arial" w:eastAsia="Arial" w:hAnsi="Arial"/>
                <w:sz w:val="12"/>
                <w:szCs w:val="12"/>
                <w:color w:val="auto"/>
              </w:rPr>
              <w:t>Foreign</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currency</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translation</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80" w:type="dxa"/>
            <w:vAlign w:val="bottom"/>
            <w:shd w:val="clear" w:color="auto" w:fill="CCEEFF"/>
          </w:tcPr>
          <w:p>
            <w:pPr>
              <w:spacing w:after="0"/>
              <w:rPr>
                <w:sz w:val="20"/>
                <w:szCs w:val="20"/>
                <w:color w:val="auto"/>
              </w:rPr>
            </w:pPr>
            <w:r>
              <w:rPr>
                <w:rFonts w:ascii="Arial" w:cs="Arial" w:eastAsia="Arial" w:hAnsi="Arial"/>
                <w:sz w:val="12"/>
                <w:szCs w:val="12"/>
                <w:color w:val="auto"/>
              </w:rPr>
              <w:t>adjustments</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(647)</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(359)</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(1,006</w:t>
            </w:r>
          </w:p>
        </w:tc>
        <w:tc>
          <w:tcPr>
            <w:tcW w:w="0" w:type="dxa"/>
            <w:vAlign w:val="bottom"/>
          </w:tcPr>
          <w:p>
            <w:pPr>
              <w:spacing w:after="0"/>
              <w:rPr>
                <w:sz w:val="1"/>
                <w:szCs w:val="1"/>
                <w:color w:val="auto"/>
              </w:rPr>
            </w:pPr>
          </w:p>
        </w:tc>
      </w:tr>
      <w:tr>
        <w:trPr>
          <w:trHeight w:val="93"/>
        </w:trPr>
        <w:tc>
          <w:tcPr>
            <w:tcW w:w="680" w:type="dxa"/>
            <w:vAlign w:val="bottom"/>
          </w:tcPr>
          <w:p>
            <w:pPr>
              <w:spacing w:after="0" w:line="93" w:lineRule="exact"/>
              <w:rPr>
                <w:sz w:val="20"/>
                <w:szCs w:val="20"/>
                <w:color w:val="auto"/>
              </w:rPr>
            </w:pPr>
            <w:r>
              <w:rPr>
                <w:rFonts w:ascii="Arial" w:cs="Arial" w:eastAsia="Arial" w:hAnsi="Arial"/>
                <w:sz w:val="9"/>
                <w:szCs w:val="9"/>
                <w:color w:val="auto"/>
              </w:rPr>
              <w:t>Balance at</w:t>
            </w:r>
          </w:p>
        </w:tc>
        <w:tc>
          <w:tcPr>
            <w:tcW w:w="120" w:type="dxa"/>
            <w:vAlign w:val="bottom"/>
            <w:vMerge w:val="restart"/>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color w:val="auto"/>
              </w:rPr>
              <w:t>46,000,000</w:t>
            </w:r>
          </w:p>
        </w:tc>
        <w:tc>
          <w:tcPr>
            <w:tcW w:w="140" w:type="dxa"/>
            <w:vAlign w:val="bottom"/>
          </w:tcPr>
          <w:p>
            <w:pPr>
              <w:spacing w:after="0"/>
              <w:rPr>
                <w:sz w:val="8"/>
                <w:szCs w:val="8"/>
                <w:color w:val="auto"/>
              </w:rPr>
            </w:pPr>
          </w:p>
        </w:tc>
        <w:tc>
          <w:tcPr>
            <w:tcW w:w="420" w:type="dxa"/>
            <w:vAlign w:val="bottom"/>
            <w:vMerge w:val="restart"/>
          </w:tcPr>
          <w:p>
            <w:pPr>
              <w:ind w:left="260"/>
              <w:spacing w:after="0"/>
              <w:rPr>
                <w:sz w:val="20"/>
                <w:szCs w:val="20"/>
                <w:color w:val="auto"/>
              </w:rPr>
            </w:pPr>
            <w:r>
              <w:rPr>
                <w:rFonts w:ascii="Arial" w:cs="Arial" w:eastAsia="Arial" w:hAnsi="Arial"/>
                <w:sz w:val="12"/>
                <w:szCs w:val="12"/>
                <w:color w:val="auto"/>
              </w:rPr>
              <w:t>—</w:t>
            </w: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color w:val="auto"/>
              </w:rPr>
              <w:t>96,933,192</w:t>
            </w:r>
          </w:p>
        </w:tc>
        <w:tc>
          <w:tcPr>
            <w:tcW w:w="560" w:type="dxa"/>
            <w:vAlign w:val="bottom"/>
            <w:gridSpan w:val="2"/>
            <w:vMerge w:val="restart"/>
          </w:tcPr>
          <w:p>
            <w:pPr>
              <w:jc w:val="right"/>
              <w:spacing w:after="0"/>
              <w:rPr>
                <w:sz w:val="20"/>
                <w:szCs w:val="20"/>
                <w:color w:val="auto"/>
              </w:rPr>
            </w:pPr>
            <w:r>
              <w:rPr>
                <w:rFonts w:ascii="Arial" w:cs="Arial" w:eastAsia="Arial" w:hAnsi="Arial"/>
                <w:sz w:val="12"/>
                <w:szCs w:val="12"/>
                <w:color w:val="auto"/>
              </w:rPr>
              <w:t>1</w:t>
            </w: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color w:val="auto"/>
              </w:rPr>
              <w:t>10,006,269</w:t>
            </w:r>
          </w:p>
        </w:tc>
        <w:tc>
          <w:tcPr>
            <w:tcW w:w="140" w:type="dxa"/>
            <w:vAlign w:val="bottom"/>
          </w:tcPr>
          <w:p>
            <w:pPr>
              <w:spacing w:after="0"/>
              <w:rPr>
                <w:sz w:val="8"/>
                <w:szCs w:val="8"/>
                <w:color w:val="auto"/>
              </w:rPr>
            </w:pPr>
          </w:p>
        </w:tc>
        <w:tc>
          <w:tcPr>
            <w:tcW w:w="420" w:type="dxa"/>
            <w:vAlign w:val="bottom"/>
            <w:vMerge w:val="restart"/>
          </w:tcPr>
          <w:p>
            <w:pPr>
              <w:ind w:left="260"/>
              <w:spacing w:after="0"/>
              <w:rPr>
                <w:sz w:val="20"/>
                <w:szCs w:val="20"/>
                <w:color w:val="auto"/>
              </w:rPr>
            </w:pPr>
            <w:r>
              <w:rPr>
                <w:rFonts w:ascii="Arial" w:cs="Arial" w:eastAsia="Arial" w:hAnsi="Arial"/>
                <w:sz w:val="12"/>
                <w:szCs w:val="12"/>
                <w:color w:val="auto"/>
              </w:rPr>
              <w:t>—</w:t>
            </w: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color w:val="auto"/>
              </w:rPr>
              <w:t>69,282,736</w:t>
            </w:r>
          </w:p>
        </w:tc>
        <w:tc>
          <w:tcPr>
            <w:tcW w:w="560" w:type="dxa"/>
            <w:vAlign w:val="bottom"/>
            <w:gridSpan w:val="2"/>
            <w:vMerge w:val="restart"/>
          </w:tcPr>
          <w:p>
            <w:pPr>
              <w:jc w:val="right"/>
              <w:spacing w:after="0"/>
              <w:rPr>
                <w:sz w:val="20"/>
                <w:szCs w:val="20"/>
                <w:color w:val="auto"/>
              </w:rPr>
            </w:pPr>
            <w:r>
              <w:rPr>
                <w:rFonts w:ascii="Arial" w:cs="Arial" w:eastAsia="Arial" w:hAnsi="Arial"/>
                <w:sz w:val="12"/>
                <w:szCs w:val="12"/>
                <w:color w:val="auto"/>
              </w:rPr>
              <w:t>1</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2,846,681</w:t>
            </w:r>
          </w:p>
        </w:tc>
        <w:tc>
          <w:tcPr>
            <w:tcW w:w="200" w:type="dxa"/>
            <w:vAlign w:val="bottom"/>
            <w:vMerge w:val="restart"/>
          </w:tcPr>
          <w:p>
            <w:pPr>
              <w:ind w:left="120"/>
              <w:spacing w:after="0"/>
              <w:rPr>
                <w:sz w:val="20"/>
                <w:szCs w:val="20"/>
                <w:color w:val="auto"/>
              </w:rPr>
            </w:pPr>
            <w:r>
              <w:rPr>
                <w:rFonts w:ascii="Arial" w:cs="Arial" w:eastAsia="Arial" w:hAnsi="Arial"/>
                <w:sz w:val="9"/>
                <w:szCs w:val="9"/>
                <w:color w:val="auto"/>
                <w:w w:val="78"/>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(525)</w:t>
            </w:r>
          </w:p>
        </w:tc>
        <w:tc>
          <w:tcPr>
            <w:tcW w:w="22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1,393</w:t>
            </w:r>
          </w:p>
        </w:tc>
        <w:tc>
          <w:tcPr>
            <w:tcW w:w="22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w w:val="97"/>
              </w:rPr>
              <w:t>1,607,249</w:t>
            </w:r>
          </w:p>
        </w:tc>
        <w:tc>
          <w:tcPr>
            <w:tcW w:w="120" w:type="dxa"/>
            <w:vAlign w:val="bottom"/>
          </w:tcPr>
          <w:p>
            <w:pPr>
              <w:spacing w:after="0"/>
              <w:rPr>
                <w:sz w:val="8"/>
                <w:szCs w:val="8"/>
                <w:color w:val="auto"/>
              </w:rPr>
            </w:pPr>
          </w:p>
        </w:tc>
        <w:tc>
          <w:tcPr>
            <w:tcW w:w="120" w:type="dxa"/>
            <w:vAlign w:val="bottom"/>
            <w:vMerge w:val="restart"/>
          </w:tcPr>
          <w:p>
            <w:pPr>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4,454,800</w:t>
            </w:r>
          </w:p>
        </w:tc>
        <w:tc>
          <w:tcPr>
            <w:tcW w:w="0" w:type="dxa"/>
            <w:vAlign w:val="bottom"/>
          </w:tcPr>
          <w:p>
            <w:pPr>
              <w:spacing w:after="0"/>
              <w:rPr>
                <w:sz w:val="1"/>
                <w:szCs w:val="1"/>
                <w:color w:val="auto"/>
              </w:rPr>
            </w:pPr>
          </w:p>
        </w:tc>
      </w:tr>
      <w:tr>
        <w:trPr>
          <w:trHeight w:val="128"/>
        </w:trPr>
        <w:tc>
          <w:tcPr>
            <w:tcW w:w="680" w:type="dxa"/>
            <w:vAlign w:val="bottom"/>
          </w:tcPr>
          <w:p>
            <w:pPr>
              <w:spacing w:after="0" w:line="129" w:lineRule="exact"/>
              <w:rPr>
                <w:sz w:val="20"/>
                <w:szCs w:val="20"/>
                <w:color w:val="auto"/>
              </w:rPr>
            </w:pPr>
            <w:r>
              <w:rPr>
                <w:rFonts w:ascii="Arial" w:cs="Arial" w:eastAsia="Arial" w:hAnsi="Arial"/>
                <w:sz w:val="12"/>
                <w:szCs w:val="12"/>
                <w:color w:val="auto"/>
                <w:w w:val="86"/>
              </w:rPr>
              <w:t>June 30, 2019</w:t>
            </w:r>
          </w:p>
        </w:tc>
        <w:tc>
          <w:tcPr>
            <w:tcW w:w="1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272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335915</wp:posOffset>
            </wp:positionV>
            <wp:extent cx="6100445"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00445" cy="24130"/>
                    </a:xfrm>
                    <a:prstGeom prst="rect">
                      <a:avLst/>
                    </a:prstGeom>
                    <a:noFill/>
                  </pic:spPr>
                </pic:pic>
              </a:graphicData>
            </a:graphic>
          </wp:anchor>
        </w:drawing>
      </w:r>
    </w:p>
    <w:p>
      <w:pPr>
        <w:sectPr>
          <w:pgSz w:w="11900" w:h="16838" w:orient="portrait"/>
          <w:cols w:equalWidth="0" w:num="1">
            <w:col w:w="10600"/>
          </w:cols>
          <w:pgMar w:left="1160" w:top="127" w:right="139" w:bottom="1440" w:gutter="0" w:footer="0" w:header="0"/>
        </w:sectPr>
      </w:pPr>
    </w:p>
    <w:bookmarkStart w:id="10" w:name="page11"/>
    <w:bookmarkEnd w:id="1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Tradeweb Markets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Changes in Equity – (Continued)</w:t>
      </w:r>
    </w:p>
    <w:p>
      <w:pPr>
        <w:jc w:val="center"/>
        <w:spacing w:after="0" w:line="238" w:lineRule="auto"/>
        <w:rPr>
          <w:sz w:val="20"/>
          <w:szCs w:val="20"/>
          <w:color w:val="auto"/>
        </w:rPr>
      </w:pPr>
      <w:r>
        <w:rPr>
          <w:rFonts w:ascii="Arial" w:cs="Arial" w:eastAsia="Arial" w:hAnsi="Arial"/>
          <w:sz w:val="20"/>
          <w:szCs w:val="20"/>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0"/>
        </w:trPr>
        <w:tc>
          <w:tcPr>
            <w:tcW w:w="4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60"/>
              <w:spacing w:after="0" w:line="140" w:lineRule="exact"/>
              <w:rPr>
                <w:sz w:val="20"/>
                <w:szCs w:val="20"/>
                <w:color w:val="auto"/>
              </w:rPr>
            </w:pPr>
            <w:r>
              <w:rPr>
                <w:rFonts w:ascii="Arial" w:cs="Arial" w:eastAsia="Arial" w:hAnsi="Arial"/>
                <w:sz w:val="14"/>
                <w:szCs w:val="14"/>
                <w:b w:val="1"/>
                <w:bCs w:val="1"/>
                <w:color w:val="auto"/>
                <w:w w:val="89"/>
              </w:rPr>
              <w:t>Total</w:t>
            </w:r>
          </w:p>
        </w:tc>
      </w:tr>
      <w:tr>
        <w:trPr>
          <w:trHeight w:val="140"/>
        </w:trPr>
        <w:tc>
          <w:tcPr>
            <w:tcW w:w="4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19"/>
              <w:spacing w:after="0" w:line="140" w:lineRule="exact"/>
              <w:rPr>
                <w:sz w:val="20"/>
                <w:szCs w:val="20"/>
                <w:color w:val="auto"/>
              </w:rPr>
            </w:pPr>
            <w:r>
              <w:rPr>
                <w:rFonts w:ascii="Arial" w:cs="Arial" w:eastAsia="Arial" w:hAnsi="Arial"/>
                <w:sz w:val="14"/>
                <w:szCs w:val="14"/>
                <w:b w:val="1"/>
                <w:bCs w:val="1"/>
                <w:color w:val="auto"/>
                <w:w w:val="92"/>
              </w:rPr>
              <w:t>Members'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w w:val="85"/>
              </w:rPr>
              <w:t>Comprehensive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80"/>
              <w:spacing w:after="0" w:line="140" w:lineRule="exact"/>
              <w:rPr>
                <w:sz w:val="20"/>
                <w:szCs w:val="20"/>
                <w:color w:val="auto"/>
              </w:rPr>
            </w:pPr>
            <w:r>
              <w:rPr>
                <w:rFonts w:ascii="Arial" w:cs="Arial" w:eastAsia="Arial" w:hAnsi="Arial"/>
                <w:sz w:val="14"/>
                <w:szCs w:val="14"/>
                <w:b w:val="1"/>
                <w:bCs w:val="1"/>
                <w:color w:val="auto"/>
                <w:w w:val="92"/>
              </w:rPr>
              <w:t>Members'</w:t>
            </w:r>
          </w:p>
        </w:tc>
      </w:tr>
      <w:tr>
        <w:trPr>
          <w:trHeight w:val="160"/>
        </w:trPr>
        <w:tc>
          <w:tcPr>
            <w:tcW w:w="4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179"/>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9"/>
              </w:rPr>
              <w:t>Loss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80"/>
              <w:spacing w:after="0"/>
              <w:rPr>
                <w:sz w:val="20"/>
                <w:szCs w:val="20"/>
                <w:color w:val="auto"/>
              </w:rPr>
            </w:pPr>
            <w:r>
              <w:rPr>
                <w:rFonts w:ascii="Arial" w:cs="Arial" w:eastAsia="Arial" w:hAnsi="Arial"/>
                <w:sz w:val="14"/>
                <w:szCs w:val="14"/>
                <w:b w:val="1"/>
                <w:bCs w:val="1"/>
                <w:color w:val="auto"/>
                <w:w w:val="94"/>
              </w:rPr>
              <w:t>Capital</w:t>
            </w:r>
          </w:p>
        </w:tc>
      </w:tr>
      <w:tr>
        <w:trPr>
          <w:trHeight w:val="196"/>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Predecessor</w:t>
            </w:r>
          </w:p>
        </w:tc>
        <w:tc>
          <w:tcPr>
            <w:tcW w:w="1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03"/>
        </w:trPr>
        <w:tc>
          <w:tcPr>
            <w:tcW w:w="4200" w:type="dxa"/>
            <w:vAlign w:val="bottom"/>
          </w:tcPr>
          <w:p>
            <w:pPr>
              <w:spacing w:after="0"/>
              <w:rPr>
                <w:sz w:val="20"/>
                <w:szCs w:val="20"/>
                <w:color w:val="auto"/>
              </w:rPr>
            </w:pPr>
            <w:r>
              <w:rPr>
                <w:rFonts w:ascii="Arial" w:cs="Arial" w:eastAsia="Arial" w:hAnsi="Arial"/>
                <w:sz w:val="17"/>
                <w:szCs w:val="17"/>
                <w:color w:val="auto"/>
              </w:rPr>
              <w:t>Members' capital at December 31, 2017</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999,735</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(13,267)</w:t>
            </w:r>
          </w:p>
        </w:tc>
        <w:tc>
          <w:tcPr>
            <w:tcW w:w="2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986,468</w:t>
            </w: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Comprehensive income:</w:t>
            </w: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4200" w:type="dxa"/>
            <w:vAlign w:val="bottom"/>
          </w:tcPr>
          <w:p>
            <w:pPr>
              <w:ind w:left="100"/>
              <w:spacing w:after="0"/>
              <w:rPr>
                <w:sz w:val="20"/>
                <w:szCs w:val="20"/>
                <w:color w:val="auto"/>
              </w:rPr>
            </w:pPr>
            <w:r>
              <w:rPr>
                <w:rFonts w:ascii="Arial" w:cs="Arial" w:eastAsia="Arial" w:hAnsi="Arial"/>
                <w:sz w:val="17"/>
                <w:szCs w:val="17"/>
                <w:color w:val="auto"/>
              </w:rPr>
              <w:t>Net income</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45,308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45,308</w:t>
            </w:r>
          </w:p>
        </w:tc>
      </w:tr>
      <w:tr>
        <w:trPr>
          <w:trHeight w:val="203"/>
        </w:trPr>
        <w:tc>
          <w:tcPr>
            <w:tcW w:w="42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Foreign currency translation adjustments</w:t>
            </w: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1,928</w:t>
            </w:r>
          </w:p>
        </w:tc>
      </w:tr>
      <w:tr>
        <w:trPr>
          <w:trHeight w:val="203"/>
        </w:trPr>
        <w:tc>
          <w:tcPr>
            <w:tcW w:w="42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Capital distributions</w:t>
            </w:r>
          </w:p>
        </w:tc>
        <w:tc>
          <w:tcPr>
            <w:tcW w:w="13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(25,000)</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(25,000)</w:t>
            </w:r>
          </w:p>
        </w:tc>
      </w:tr>
      <w:tr>
        <w:trPr>
          <w:trHeight w:val="216"/>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Members' capital at March 31, 2018</w:t>
            </w:r>
          </w:p>
        </w:tc>
        <w:tc>
          <w:tcPr>
            <w:tcW w:w="13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1,020,043</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(11,339)</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1,008,704</w:t>
            </w:r>
          </w:p>
        </w:tc>
      </w:tr>
      <w:tr>
        <w:trPr>
          <w:trHeight w:val="188"/>
        </w:trPr>
        <w:tc>
          <w:tcPr>
            <w:tcW w:w="4200" w:type="dxa"/>
            <w:vAlign w:val="bottom"/>
          </w:tcPr>
          <w:p>
            <w:pPr>
              <w:spacing w:after="0" w:line="189" w:lineRule="exact"/>
              <w:rPr>
                <w:sz w:val="20"/>
                <w:szCs w:val="20"/>
                <w:color w:val="auto"/>
              </w:rPr>
            </w:pPr>
            <w:r>
              <w:rPr>
                <w:rFonts w:ascii="Arial" w:cs="Arial" w:eastAsia="Arial" w:hAnsi="Arial"/>
                <w:sz w:val="17"/>
                <w:szCs w:val="17"/>
                <w:color w:val="auto"/>
              </w:rPr>
              <w:t>Comprehensive income:</w:t>
            </w: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4"/>
        </w:trPr>
        <w:tc>
          <w:tcPr>
            <w:tcW w:w="42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Net income</w:t>
            </w: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38,897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38,897</w:t>
            </w:r>
          </w:p>
        </w:tc>
      </w:tr>
      <w:tr>
        <w:trPr>
          <w:trHeight w:val="203"/>
        </w:trPr>
        <w:tc>
          <w:tcPr>
            <w:tcW w:w="4200" w:type="dxa"/>
            <w:vAlign w:val="bottom"/>
          </w:tcPr>
          <w:p>
            <w:pPr>
              <w:ind w:left="100"/>
              <w:spacing w:after="0"/>
              <w:rPr>
                <w:sz w:val="20"/>
                <w:szCs w:val="20"/>
                <w:color w:val="auto"/>
              </w:rPr>
            </w:pPr>
            <w:r>
              <w:rPr>
                <w:rFonts w:ascii="Arial" w:cs="Arial" w:eastAsia="Arial" w:hAnsi="Arial"/>
                <w:sz w:val="17"/>
                <w:szCs w:val="17"/>
                <w:color w:val="auto"/>
              </w:rPr>
              <w:t>Foreign currency translation adjustments</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(3,986)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(3,986)</w:t>
            </w: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Capital distributions</w:t>
            </w:r>
          </w:p>
        </w:tc>
        <w:tc>
          <w:tcPr>
            <w:tcW w:w="1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(55,000)</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(55,000)</w:t>
            </w:r>
          </w:p>
        </w:tc>
      </w:tr>
      <w:tr>
        <w:trPr>
          <w:trHeight w:val="201"/>
        </w:trPr>
        <w:tc>
          <w:tcPr>
            <w:tcW w:w="4200" w:type="dxa"/>
            <w:vAlign w:val="bottom"/>
          </w:tcPr>
          <w:p>
            <w:pPr>
              <w:spacing w:after="0"/>
              <w:rPr>
                <w:sz w:val="20"/>
                <w:szCs w:val="20"/>
                <w:color w:val="auto"/>
              </w:rPr>
            </w:pPr>
            <w:r>
              <w:rPr>
                <w:rFonts w:ascii="Arial" w:cs="Arial" w:eastAsia="Arial" w:hAnsi="Arial"/>
                <w:sz w:val="17"/>
                <w:szCs w:val="17"/>
                <w:color w:val="auto"/>
              </w:rPr>
              <w:t>Members' capital at June 30, 2018</w:t>
            </w:r>
          </w:p>
        </w:tc>
        <w:tc>
          <w:tcPr>
            <w:tcW w:w="13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1,003,940</w:t>
            </w: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(15,325)</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988,615</w:t>
            </w:r>
          </w:p>
        </w:tc>
      </w:tr>
    </w:tbl>
    <w:p>
      <w:pPr>
        <w:spacing w:after="0" w:line="191"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1" w:name="page12"/>
    <w:bookmarkEnd w:id="1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Tradeweb Markets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jc w:val="center"/>
        <w:spacing w:after="0" w:line="238" w:lineRule="auto"/>
        <w:rPr>
          <w:sz w:val="20"/>
          <w:szCs w:val="20"/>
          <w:color w:val="auto"/>
        </w:rPr>
      </w:pPr>
      <w:r>
        <w:rPr>
          <w:rFonts w:ascii="Arial" w:cs="Arial" w:eastAsia="Arial" w:hAnsi="Arial"/>
          <w:sz w:val="20"/>
          <w:szCs w:val="20"/>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6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79"/>
              </w:rPr>
              <w:t>Successor</w:t>
            </w:r>
          </w:p>
        </w:tc>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line="20" w:lineRule="exact"/>
              <w:rPr>
                <w:sz w:val="1"/>
                <w:szCs w:val="1"/>
                <w:color w:val="auto"/>
              </w:rPr>
            </w:pPr>
          </w:p>
        </w:tc>
      </w:tr>
      <w:tr>
        <w:trPr>
          <w:trHeight w:val="140"/>
        </w:trPr>
        <w:tc>
          <w:tcPr>
            <w:tcW w:w="6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center"/>
              <w:ind w:right="53"/>
              <w:spacing w:after="0" w:line="113" w:lineRule="exact"/>
              <w:rPr>
                <w:sz w:val="20"/>
                <w:szCs w:val="20"/>
                <w:color w:val="auto"/>
              </w:rPr>
            </w:pPr>
            <w:r>
              <w:rPr>
                <w:rFonts w:ascii="Arial" w:cs="Arial" w:eastAsia="Arial" w:hAnsi="Arial"/>
                <w:sz w:val="12"/>
                <w:szCs w:val="12"/>
                <w:b w:val="1"/>
                <w:bCs w:val="1"/>
                <w:color w:val="auto"/>
              </w:rPr>
              <w:t>Six Months</w:t>
            </w:r>
          </w:p>
        </w:tc>
        <w:tc>
          <w:tcPr>
            <w:tcW w:w="12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center"/>
              <w:ind w:right="33"/>
              <w:spacing w:after="0" w:line="113" w:lineRule="exact"/>
              <w:rPr>
                <w:sz w:val="20"/>
                <w:szCs w:val="20"/>
                <w:color w:val="auto"/>
              </w:rPr>
            </w:pPr>
            <w:r>
              <w:rPr>
                <w:rFonts w:ascii="Arial" w:cs="Arial" w:eastAsia="Arial" w:hAnsi="Arial"/>
                <w:sz w:val="12"/>
                <w:szCs w:val="12"/>
                <w:b w:val="1"/>
                <w:bCs w:val="1"/>
                <w:color w:val="auto"/>
              </w:rPr>
              <w:t>Six Months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6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0" w:lineRule="exact"/>
              <w:rPr>
                <w:sz w:val="20"/>
                <w:szCs w:val="20"/>
                <w:color w:val="auto"/>
              </w:rPr>
            </w:pPr>
            <w:r>
              <w:rPr>
                <w:rFonts w:ascii="Arial" w:cs="Arial" w:eastAsia="Arial" w:hAnsi="Arial"/>
                <w:sz w:val="14"/>
                <w:szCs w:val="14"/>
                <w:b w:val="1"/>
                <w:bCs w:val="1"/>
                <w:color w:val="auto"/>
                <w:w w:val="88"/>
              </w:rPr>
              <w:t>Ended</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0"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0"/>
        </w:trPr>
        <w:tc>
          <w:tcPr>
            <w:tcW w:w="6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120"/>
              <w:spacing w:after="0" w:line="140" w:lineRule="exact"/>
              <w:rPr>
                <w:sz w:val="20"/>
                <w:szCs w:val="20"/>
                <w:color w:val="auto"/>
              </w:rPr>
            </w:pPr>
            <w:r>
              <w:rPr>
                <w:rFonts w:ascii="Arial" w:cs="Arial" w:eastAsia="Arial" w:hAnsi="Arial"/>
                <w:sz w:val="14"/>
                <w:szCs w:val="14"/>
                <w:b w:val="1"/>
                <w:bCs w:val="1"/>
                <w:color w:val="auto"/>
              </w:rPr>
              <w:t>June 30,</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140"/>
              <w:spacing w:after="0" w:line="140"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0"/>
        </w:trPr>
        <w:tc>
          <w:tcPr>
            <w:tcW w:w="620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6200" w:type="dxa"/>
            <w:vAlign w:val="bottom"/>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Cash flows from operating activities</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200" w:type="dxa"/>
            <w:vAlign w:val="bottom"/>
          </w:tcPr>
          <w:p>
            <w:pPr>
              <w:spacing w:after="0" w:line="140" w:lineRule="exact"/>
              <w:rPr>
                <w:sz w:val="20"/>
                <w:szCs w:val="20"/>
                <w:color w:val="auto"/>
              </w:rPr>
            </w:pPr>
            <w:r>
              <w:rPr>
                <w:rFonts w:ascii="Arial" w:cs="Arial" w:eastAsia="Arial" w:hAnsi="Arial"/>
                <w:sz w:val="14"/>
                <w:szCs w:val="14"/>
                <w:color w:val="auto"/>
              </w:rPr>
              <w:t>Net income</w:t>
            </w:r>
          </w:p>
        </w:tc>
        <w:tc>
          <w:tcPr>
            <w:tcW w:w="780" w:type="dxa"/>
            <w:vAlign w:val="bottom"/>
            <w:gridSpan w:val="2"/>
          </w:tcPr>
          <w:p>
            <w:pPr>
              <w:ind w:left="680"/>
              <w:spacing w:after="0" w:line="140"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0" w:lineRule="exact"/>
              <w:rPr>
                <w:sz w:val="20"/>
                <w:szCs w:val="20"/>
                <w:color w:val="auto"/>
              </w:rPr>
            </w:pPr>
            <w:r>
              <w:rPr>
                <w:rFonts w:ascii="Arial" w:cs="Arial" w:eastAsia="Arial" w:hAnsi="Arial"/>
                <w:sz w:val="14"/>
                <w:szCs w:val="14"/>
                <w:color w:val="auto"/>
              </w:rPr>
              <w:t>67,168</w:t>
            </w: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line="140"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0" w:lineRule="exact"/>
              <w:rPr>
                <w:sz w:val="20"/>
                <w:szCs w:val="20"/>
                <w:color w:val="auto"/>
              </w:rPr>
            </w:pPr>
            <w:r>
              <w:rPr>
                <w:rFonts w:ascii="Arial" w:cs="Arial" w:eastAsia="Arial" w:hAnsi="Arial"/>
                <w:sz w:val="14"/>
                <w:szCs w:val="14"/>
                <w:color w:val="auto"/>
              </w:rPr>
              <w:t>84,205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Adjustments to reconcile net income to net cash used in operating activities:</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tcPr>
          <w:p>
            <w:pPr>
              <w:ind w:left="100"/>
              <w:spacing w:after="0" w:line="140" w:lineRule="exact"/>
              <w:rPr>
                <w:sz w:val="20"/>
                <w:szCs w:val="20"/>
                <w:color w:val="auto"/>
              </w:rPr>
            </w:pPr>
            <w:r>
              <w:rPr>
                <w:rFonts w:ascii="Arial" w:cs="Arial" w:eastAsia="Arial" w:hAnsi="Arial"/>
                <w:sz w:val="14"/>
                <w:szCs w:val="14"/>
                <w:color w:val="auto"/>
              </w:rPr>
              <w:t>Depreciation and amortization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0" w:lineRule="exact"/>
              <w:rPr>
                <w:sz w:val="20"/>
                <w:szCs w:val="20"/>
                <w:color w:val="auto"/>
              </w:rPr>
            </w:pPr>
            <w:r>
              <w:rPr>
                <w:rFonts w:ascii="Arial" w:cs="Arial" w:eastAsia="Arial" w:hAnsi="Arial"/>
                <w:sz w:val="14"/>
                <w:szCs w:val="14"/>
                <w:color w:val="auto"/>
              </w:rPr>
              <w:t>67,795</w:t>
            </w: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0" w:lineRule="exact"/>
              <w:rPr>
                <w:sz w:val="20"/>
                <w:szCs w:val="20"/>
                <w:color w:val="auto"/>
              </w:rPr>
            </w:pPr>
            <w:r>
              <w:rPr>
                <w:rFonts w:ascii="Arial" w:cs="Arial" w:eastAsia="Arial" w:hAnsi="Arial"/>
                <w:sz w:val="14"/>
                <w:szCs w:val="14"/>
                <w:color w:val="auto"/>
              </w:rPr>
              <w:t>32,446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Contingent consideration</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29,367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tcPr>
          <w:p>
            <w:pPr>
              <w:ind w:left="100"/>
              <w:spacing w:after="0" w:line="140" w:lineRule="exact"/>
              <w:rPr>
                <w:sz w:val="20"/>
                <w:szCs w:val="20"/>
                <w:color w:val="auto"/>
              </w:rPr>
            </w:pPr>
            <w:r>
              <w:rPr>
                <w:rFonts w:ascii="Arial" w:cs="Arial" w:eastAsia="Arial" w:hAnsi="Arial"/>
                <w:sz w:val="14"/>
                <w:szCs w:val="14"/>
                <w:color w:val="auto"/>
              </w:rPr>
              <w:t>Stock-based compensation expense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0" w:lineRule="exact"/>
              <w:rPr>
                <w:sz w:val="20"/>
                <w:szCs w:val="20"/>
                <w:color w:val="auto"/>
              </w:rPr>
            </w:pPr>
            <w:r>
              <w:rPr>
                <w:rFonts w:ascii="Arial" w:cs="Arial" w:eastAsia="Arial" w:hAnsi="Arial"/>
                <w:sz w:val="14"/>
                <w:szCs w:val="14"/>
                <w:color w:val="auto"/>
              </w:rPr>
              <w:t>31,960</w:t>
            </w: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Deferred taxes</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4"/>
                <w:szCs w:val="14"/>
                <w:color w:val="auto"/>
              </w:rPr>
              <w:t>(3,596)</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1,409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tcPr>
          <w:p>
            <w:pPr>
              <w:ind w:left="100"/>
              <w:spacing w:after="0" w:line="140" w:lineRule="exact"/>
              <w:rPr>
                <w:sz w:val="20"/>
                <w:szCs w:val="20"/>
                <w:color w:val="auto"/>
              </w:rPr>
            </w:pPr>
            <w:r>
              <w:rPr>
                <w:rFonts w:ascii="Arial" w:cs="Arial" w:eastAsia="Arial" w:hAnsi="Arial"/>
                <w:sz w:val="14"/>
                <w:szCs w:val="14"/>
                <w:color w:val="auto"/>
              </w:rPr>
              <w:t>(Increase) decrease in operating assets: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shd w:val="clear" w:color="auto" w:fill="CCEEFF"/>
          </w:tcPr>
          <w:p>
            <w:pPr>
              <w:ind w:left="200"/>
              <w:spacing w:after="0" w:line="140" w:lineRule="exact"/>
              <w:rPr>
                <w:sz w:val="20"/>
                <w:szCs w:val="20"/>
                <w:color w:val="auto"/>
              </w:rPr>
            </w:pPr>
            <w:r>
              <w:rPr>
                <w:rFonts w:ascii="Arial" w:cs="Arial" w:eastAsia="Arial" w:hAnsi="Arial"/>
                <w:sz w:val="14"/>
                <w:szCs w:val="14"/>
                <w:color w:val="auto"/>
              </w:rPr>
              <w:t>Receivable from brokers and dealers and clearing organizations</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4"/>
                <w:szCs w:val="14"/>
                <w:color w:val="auto"/>
              </w:rPr>
              <w:t>(80,659)</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4,324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tcPr>
          <w:p>
            <w:pPr>
              <w:ind w:left="200"/>
              <w:spacing w:after="0" w:line="140" w:lineRule="exact"/>
              <w:rPr>
                <w:sz w:val="20"/>
                <w:szCs w:val="20"/>
                <w:color w:val="auto"/>
              </w:rPr>
            </w:pPr>
            <w:r>
              <w:rPr>
                <w:rFonts w:ascii="Arial" w:cs="Arial" w:eastAsia="Arial" w:hAnsi="Arial"/>
                <w:sz w:val="14"/>
                <w:szCs w:val="14"/>
                <w:color w:val="auto"/>
              </w:rPr>
              <w:t>Deposits with clearing organizations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0" w:lineRule="exact"/>
              <w:rPr>
                <w:sz w:val="20"/>
                <w:szCs w:val="20"/>
                <w:color w:val="auto"/>
              </w:rPr>
            </w:pPr>
            <w:r>
              <w:rPr>
                <w:rFonts w:ascii="Arial" w:cs="Arial" w:eastAsia="Arial" w:hAnsi="Arial"/>
                <w:sz w:val="14"/>
                <w:szCs w:val="14"/>
                <w:color w:val="auto"/>
              </w:rPr>
              <w:t>(1,965)</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0" w:lineRule="exact"/>
              <w:rPr>
                <w:sz w:val="20"/>
                <w:szCs w:val="20"/>
                <w:color w:val="auto"/>
              </w:rPr>
            </w:pPr>
            <w:r>
              <w:rPr>
                <w:rFonts w:ascii="Arial" w:cs="Arial" w:eastAsia="Arial" w:hAnsi="Arial"/>
                <w:sz w:val="14"/>
                <w:szCs w:val="14"/>
                <w:color w:val="auto"/>
              </w:rPr>
              <w:t>654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shd w:val="clear" w:color="auto" w:fill="CCEEFF"/>
          </w:tcPr>
          <w:p>
            <w:pPr>
              <w:ind w:left="200"/>
              <w:spacing w:after="0" w:line="140" w:lineRule="exact"/>
              <w:rPr>
                <w:sz w:val="20"/>
                <w:szCs w:val="20"/>
                <w:color w:val="auto"/>
              </w:rPr>
            </w:pPr>
            <w:r>
              <w:rPr>
                <w:rFonts w:ascii="Arial" w:cs="Arial" w:eastAsia="Arial" w:hAnsi="Arial"/>
                <w:sz w:val="14"/>
                <w:szCs w:val="14"/>
                <w:color w:val="auto"/>
              </w:rPr>
              <w:t>Accounts receivable</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4"/>
                <w:szCs w:val="14"/>
                <w:color w:val="auto"/>
              </w:rPr>
              <w:t>(5,756)</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(30,042)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tcPr>
          <w:p>
            <w:pPr>
              <w:ind w:left="200"/>
              <w:spacing w:after="0" w:line="140" w:lineRule="exact"/>
              <w:rPr>
                <w:sz w:val="20"/>
                <w:szCs w:val="20"/>
                <w:color w:val="auto"/>
              </w:rPr>
            </w:pPr>
            <w:r>
              <w:rPr>
                <w:rFonts w:ascii="Arial" w:cs="Arial" w:eastAsia="Arial" w:hAnsi="Arial"/>
                <w:sz w:val="14"/>
                <w:szCs w:val="14"/>
                <w:color w:val="auto"/>
              </w:rPr>
              <w:t>Receivable from affiliates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0" w:lineRule="exact"/>
              <w:rPr>
                <w:sz w:val="20"/>
                <w:szCs w:val="20"/>
                <w:color w:val="auto"/>
              </w:rPr>
            </w:pPr>
            <w:r>
              <w:rPr>
                <w:rFonts w:ascii="Arial" w:cs="Arial" w:eastAsia="Arial" w:hAnsi="Arial"/>
                <w:sz w:val="14"/>
                <w:szCs w:val="14"/>
                <w:color w:val="auto"/>
              </w:rPr>
              <w:t>394</w:t>
            </w: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0" w:lineRule="exact"/>
              <w:rPr>
                <w:sz w:val="20"/>
                <w:szCs w:val="20"/>
                <w:color w:val="auto"/>
              </w:rPr>
            </w:pPr>
            <w:r>
              <w:rPr>
                <w:rFonts w:ascii="Arial" w:cs="Arial" w:eastAsia="Arial" w:hAnsi="Arial"/>
                <w:sz w:val="14"/>
                <w:szCs w:val="14"/>
                <w:color w:val="auto"/>
              </w:rPr>
              <w:t>(243)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shd w:val="clear" w:color="auto" w:fill="CCEEFF"/>
          </w:tcPr>
          <w:p>
            <w:pPr>
              <w:ind w:left="200"/>
              <w:spacing w:after="0" w:line="140" w:lineRule="exact"/>
              <w:rPr>
                <w:sz w:val="20"/>
                <w:szCs w:val="20"/>
                <w:color w:val="auto"/>
              </w:rPr>
            </w:pPr>
            <w:r>
              <w:rPr>
                <w:rFonts w:ascii="Arial" w:cs="Arial" w:eastAsia="Arial" w:hAnsi="Arial"/>
                <w:sz w:val="14"/>
                <w:szCs w:val="14"/>
                <w:color w:val="auto"/>
              </w:rPr>
              <w:t>Other assets</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4"/>
                <w:szCs w:val="14"/>
                <w:color w:val="auto"/>
              </w:rPr>
              <w:t>(8,825)</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(4,973)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tcPr>
          <w:p>
            <w:pPr>
              <w:ind w:left="100"/>
              <w:spacing w:after="0" w:line="140" w:lineRule="exact"/>
              <w:rPr>
                <w:sz w:val="20"/>
                <w:szCs w:val="20"/>
                <w:color w:val="auto"/>
              </w:rPr>
            </w:pPr>
            <w:r>
              <w:rPr>
                <w:rFonts w:ascii="Arial" w:cs="Arial" w:eastAsia="Arial" w:hAnsi="Arial"/>
                <w:sz w:val="14"/>
                <w:szCs w:val="14"/>
                <w:color w:val="auto"/>
              </w:rPr>
              <w:t>Increase (decrease) in operating liabilities: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shd w:val="clear" w:color="auto" w:fill="CCEEFF"/>
          </w:tcPr>
          <w:p>
            <w:pPr>
              <w:ind w:left="200"/>
              <w:spacing w:after="0" w:line="140" w:lineRule="exact"/>
              <w:rPr>
                <w:sz w:val="20"/>
                <w:szCs w:val="20"/>
                <w:color w:val="auto"/>
              </w:rPr>
            </w:pPr>
            <w:r>
              <w:rPr>
                <w:rFonts w:ascii="Arial" w:cs="Arial" w:eastAsia="Arial" w:hAnsi="Arial"/>
                <w:sz w:val="14"/>
                <w:szCs w:val="14"/>
                <w:color w:val="auto"/>
              </w:rPr>
              <w:t>Payable to brokers and dealers and clearing organizations</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83,949</w:t>
            </w:r>
          </w:p>
        </w:tc>
        <w:tc>
          <w:tcPr>
            <w:tcW w:w="1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(4,322)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tcPr>
          <w:p>
            <w:pPr>
              <w:ind w:left="200"/>
              <w:spacing w:after="0" w:line="140" w:lineRule="exact"/>
              <w:rPr>
                <w:sz w:val="20"/>
                <w:szCs w:val="20"/>
                <w:color w:val="auto"/>
              </w:rPr>
            </w:pPr>
            <w:r>
              <w:rPr>
                <w:rFonts w:ascii="Arial" w:cs="Arial" w:eastAsia="Arial" w:hAnsi="Arial"/>
                <w:sz w:val="14"/>
                <w:szCs w:val="14"/>
                <w:color w:val="auto"/>
              </w:rPr>
              <w:t>Accrued compensation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0" w:lineRule="exact"/>
              <w:rPr>
                <w:sz w:val="20"/>
                <w:szCs w:val="20"/>
                <w:color w:val="auto"/>
              </w:rPr>
            </w:pPr>
            <w:r>
              <w:rPr>
                <w:rFonts w:ascii="Arial" w:cs="Arial" w:eastAsia="Arial" w:hAnsi="Arial"/>
                <w:sz w:val="14"/>
                <w:szCs w:val="14"/>
                <w:color w:val="auto"/>
              </w:rPr>
              <w:t>(51,569)</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0" w:lineRule="exact"/>
              <w:rPr>
                <w:sz w:val="20"/>
                <w:szCs w:val="20"/>
                <w:color w:val="auto"/>
              </w:rPr>
            </w:pPr>
            <w:r>
              <w:rPr>
                <w:rFonts w:ascii="Arial" w:cs="Arial" w:eastAsia="Arial" w:hAnsi="Arial"/>
                <w:sz w:val="14"/>
                <w:szCs w:val="14"/>
                <w:color w:val="auto"/>
              </w:rPr>
              <w:t>(34,135)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shd w:val="clear" w:color="auto" w:fill="CCEEFF"/>
          </w:tcPr>
          <w:p>
            <w:pPr>
              <w:ind w:left="200"/>
              <w:spacing w:after="0" w:line="140" w:lineRule="exact"/>
              <w:rPr>
                <w:sz w:val="20"/>
                <w:szCs w:val="20"/>
                <w:color w:val="auto"/>
              </w:rPr>
            </w:pPr>
            <w:r>
              <w:rPr>
                <w:rFonts w:ascii="Arial" w:cs="Arial" w:eastAsia="Arial" w:hAnsi="Arial"/>
                <w:sz w:val="14"/>
                <w:szCs w:val="14"/>
                <w:color w:val="auto"/>
              </w:rPr>
              <w:t>Deferred revenue</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4"/>
                <w:szCs w:val="14"/>
                <w:color w:val="auto"/>
              </w:rPr>
              <w:t>(2,613)</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(6,823)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tcPr>
          <w:p>
            <w:pPr>
              <w:ind w:left="200"/>
              <w:spacing w:after="0" w:line="140" w:lineRule="exact"/>
              <w:rPr>
                <w:sz w:val="20"/>
                <w:szCs w:val="20"/>
                <w:color w:val="auto"/>
              </w:rPr>
            </w:pPr>
            <w:r>
              <w:rPr>
                <w:rFonts w:ascii="Arial" w:cs="Arial" w:eastAsia="Arial" w:hAnsi="Arial"/>
                <w:sz w:val="14"/>
                <w:szCs w:val="14"/>
                <w:color w:val="auto"/>
              </w:rPr>
              <w:t>Accounts payable, accrued expenses and other liabilities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0" w:lineRule="exact"/>
              <w:rPr>
                <w:sz w:val="20"/>
                <w:szCs w:val="20"/>
                <w:color w:val="auto"/>
              </w:rPr>
            </w:pPr>
            <w:r>
              <w:rPr>
                <w:rFonts w:ascii="Arial" w:cs="Arial" w:eastAsia="Arial" w:hAnsi="Arial"/>
                <w:sz w:val="14"/>
                <w:szCs w:val="14"/>
                <w:color w:val="auto"/>
              </w:rPr>
              <w:t>(3,661)</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0" w:lineRule="exact"/>
              <w:rPr>
                <w:sz w:val="20"/>
                <w:szCs w:val="20"/>
                <w:color w:val="auto"/>
              </w:rPr>
            </w:pPr>
            <w:r>
              <w:rPr>
                <w:rFonts w:ascii="Arial" w:cs="Arial" w:eastAsia="Arial" w:hAnsi="Arial"/>
                <w:sz w:val="14"/>
                <w:szCs w:val="14"/>
                <w:color w:val="auto"/>
              </w:rPr>
              <w:t>1,129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shd w:val="clear" w:color="auto" w:fill="CCEEFF"/>
          </w:tcPr>
          <w:p>
            <w:pPr>
              <w:ind w:left="200"/>
              <w:spacing w:after="0" w:line="140" w:lineRule="exact"/>
              <w:rPr>
                <w:sz w:val="20"/>
                <w:szCs w:val="20"/>
                <w:color w:val="auto"/>
              </w:rPr>
            </w:pPr>
            <w:r>
              <w:rPr>
                <w:rFonts w:ascii="Arial" w:cs="Arial" w:eastAsia="Arial" w:hAnsi="Arial"/>
                <w:sz w:val="14"/>
                <w:szCs w:val="14"/>
                <w:color w:val="auto"/>
              </w:rPr>
              <w:t>Employee equity compensation payable</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4"/>
                <w:szCs w:val="14"/>
                <w:color w:val="auto"/>
              </w:rPr>
              <w:t>(16,732)</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(7,501)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tcBorders>
              <w:bottom w:val="single" w:sz="8" w:color="CCEEFF"/>
            </w:tcBorders>
          </w:tcPr>
          <w:p>
            <w:pPr>
              <w:ind w:left="200"/>
              <w:spacing w:after="0" w:line="140" w:lineRule="exact"/>
              <w:rPr>
                <w:sz w:val="20"/>
                <w:szCs w:val="20"/>
                <w:color w:val="auto"/>
              </w:rPr>
            </w:pPr>
            <w:r>
              <w:rPr>
                <w:rFonts w:ascii="Arial" w:cs="Arial" w:eastAsia="Arial" w:hAnsi="Arial"/>
                <w:sz w:val="14"/>
                <w:szCs w:val="14"/>
                <w:color w:val="auto"/>
              </w:rPr>
              <w:t>Payable to affiliates</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1,083</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(468)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200" w:type="dxa"/>
            <w:vAlign w:val="bottom"/>
            <w:shd w:val="clear" w:color="auto" w:fill="CCEEFF"/>
          </w:tcPr>
          <w:p>
            <w:pPr>
              <w:ind w:left="300"/>
              <w:spacing w:after="0" w:line="133" w:lineRule="exact"/>
              <w:rPr>
                <w:sz w:val="20"/>
                <w:szCs w:val="20"/>
                <w:color w:val="auto"/>
              </w:rPr>
            </w:pPr>
            <w:r>
              <w:rPr>
                <w:rFonts w:ascii="Arial" w:cs="Arial" w:eastAsia="Arial" w:hAnsi="Arial"/>
                <w:sz w:val="14"/>
                <w:szCs w:val="14"/>
                <w:color w:val="auto"/>
              </w:rPr>
              <w:t>Net cash provided by operating activities</w:t>
            </w:r>
          </w:p>
        </w:tc>
        <w:tc>
          <w:tcPr>
            <w:tcW w:w="6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76,973</w:t>
            </w:r>
          </w:p>
        </w:tc>
        <w:tc>
          <w:tcPr>
            <w:tcW w:w="12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65,027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200" w:type="dxa"/>
            <w:vAlign w:val="bottom"/>
          </w:tcPr>
          <w:p>
            <w:pPr>
              <w:spacing w:after="0" w:line="133" w:lineRule="exact"/>
              <w:rPr>
                <w:sz w:val="20"/>
                <w:szCs w:val="20"/>
                <w:color w:val="auto"/>
              </w:rPr>
            </w:pPr>
            <w:r>
              <w:rPr>
                <w:rFonts w:ascii="Arial" w:cs="Arial" w:eastAsia="Arial" w:hAnsi="Arial"/>
                <w:sz w:val="14"/>
                <w:szCs w:val="14"/>
                <w:b w:val="1"/>
                <w:bCs w:val="1"/>
                <w:color w:val="auto"/>
              </w:rPr>
              <w:t>Cash flows from investing activities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20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Purchase of furniture, equipment, software and leasehold improvements</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4"/>
                <w:szCs w:val="14"/>
                <w:color w:val="auto"/>
              </w:rPr>
              <w:t>(3,793)</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(3,125)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tcPr>
          <w:p>
            <w:pPr>
              <w:ind w:left="100"/>
              <w:spacing w:after="0" w:line="140" w:lineRule="exact"/>
              <w:rPr>
                <w:sz w:val="20"/>
                <w:szCs w:val="20"/>
                <w:color w:val="auto"/>
              </w:rPr>
            </w:pPr>
            <w:r>
              <w:rPr>
                <w:rFonts w:ascii="Arial" w:cs="Arial" w:eastAsia="Arial" w:hAnsi="Arial"/>
                <w:sz w:val="14"/>
                <w:szCs w:val="14"/>
                <w:color w:val="auto"/>
              </w:rPr>
              <w:t>Capitalized software development costs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0" w:lineRule="exact"/>
              <w:rPr>
                <w:sz w:val="20"/>
                <w:szCs w:val="20"/>
                <w:color w:val="auto"/>
              </w:rPr>
            </w:pPr>
            <w:r>
              <w:rPr>
                <w:rFonts w:ascii="Arial" w:cs="Arial" w:eastAsia="Arial" w:hAnsi="Arial"/>
                <w:sz w:val="14"/>
                <w:szCs w:val="14"/>
                <w:color w:val="auto"/>
              </w:rPr>
              <w:t>(13,914)</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0" w:lineRule="exact"/>
              <w:rPr>
                <w:sz w:val="20"/>
                <w:szCs w:val="20"/>
                <w:color w:val="auto"/>
              </w:rPr>
            </w:pPr>
            <w:r>
              <w:rPr>
                <w:rFonts w:ascii="Arial" w:cs="Arial" w:eastAsia="Arial" w:hAnsi="Arial"/>
                <w:sz w:val="14"/>
                <w:szCs w:val="14"/>
                <w:color w:val="auto"/>
              </w:rPr>
              <w:t>(12,765)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200" w:type="dxa"/>
            <w:vAlign w:val="bottom"/>
            <w:tcBorders>
              <w:top w:val="single" w:sz="8" w:color="CCEEFF"/>
            </w:tcBorders>
            <w:shd w:val="clear" w:color="auto" w:fill="CCEEFF"/>
          </w:tcPr>
          <w:p>
            <w:pPr>
              <w:ind w:left="300"/>
              <w:spacing w:after="0" w:line="133" w:lineRule="exact"/>
              <w:rPr>
                <w:sz w:val="20"/>
                <w:szCs w:val="20"/>
                <w:color w:val="auto"/>
              </w:rPr>
            </w:pPr>
            <w:r>
              <w:rPr>
                <w:rFonts w:ascii="Arial" w:cs="Arial" w:eastAsia="Arial" w:hAnsi="Arial"/>
                <w:sz w:val="14"/>
                <w:szCs w:val="14"/>
                <w:color w:val="auto"/>
              </w:rPr>
              <w:t>Net cash (used in) investing activities</w:t>
            </w:r>
          </w:p>
        </w:tc>
        <w:tc>
          <w:tcPr>
            <w:tcW w:w="6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(17,707)</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000000"/>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(15,890)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200" w:type="dxa"/>
            <w:vAlign w:val="bottom"/>
          </w:tcPr>
          <w:p>
            <w:pPr>
              <w:spacing w:after="0" w:line="133" w:lineRule="exact"/>
              <w:rPr>
                <w:sz w:val="20"/>
                <w:szCs w:val="20"/>
                <w:color w:val="auto"/>
              </w:rPr>
            </w:pPr>
            <w:r>
              <w:rPr>
                <w:rFonts w:ascii="Arial" w:cs="Arial" w:eastAsia="Arial" w:hAnsi="Arial"/>
                <w:sz w:val="14"/>
                <w:szCs w:val="14"/>
                <w:b w:val="1"/>
                <w:bCs w:val="1"/>
                <w:color w:val="auto"/>
              </w:rPr>
              <w:t>Cash flows from financing activities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20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Pre-IPO capital distributions</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4"/>
                <w:szCs w:val="14"/>
                <w:color w:val="auto"/>
              </w:rPr>
              <w:t>(120,000)</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(80,000)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tcPr>
          <w:p>
            <w:pPr>
              <w:ind w:left="100"/>
              <w:spacing w:after="0" w:line="140" w:lineRule="exact"/>
              <w:rPr>
                <w:sz w:val="20"/>
                <w:szCs w:val="20"/>
                <w:color w:val="auto"/>
              </w:rPr>
            </w:pPr>
            <w:r>
              <w:rPr>
                <w:rFonts w:ascii="Arial" w:cs="Arial" w:eastAsia="Arial" w:hAnsi="Arial"/>
                <w:sz w:val="14"/>
                <w:szCs w:val="14"/>
                <w:color w:val="auto"/>
              </w:rPr>
              <w:t>Proceeds from issuance of Class A common stock in the IPO, net of underwriting discounts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0" w:lineRule="exact"/>
              <w:rPr>
                <w:sz w:val="20"/>
                <w:szCs w:val="20"/>
                <w:color w:val="auto"/>
              </w:rPr>
            </w:pPr>
            <w:r>
              <w:rPr>
                <w:rFonts w:ascii="Arial" w:cs="Arial" w:eastAsia="Arial" w:hAnsi="Arial"/>
                <w:sz w:val="14"/>
                <w:szCs w:val="14"/>
                <w:color w:val="auto"/>
              </w:rPr>
              <w:t>1,161,270</w:t>
            </w: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Purchase of LLC Interests</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4"/>
                <w:szCs w:val="14"/>
                <w:color w:val="auto"/>
              </w:rPr>
              <w:t>(1,161,270)</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tcPr>
          <w:p>
            <w:pPr>
              <w:ind w:left="100"/>
              <w:spacing w:after="0" w:line="140" w:lineRule="exact"/>
              <w:rPr>
                <w:sz w:val="20"/>
                <w:szCs w:val="20"/>
                <w:color w:val="auto"/>
              </w:rPr>
            </w:pPr>
            <w:r>
              <w:rPr>
                <w:rFonts w:ascii="Arial" w:cs="Arial" w:eastAsia="Arial" w:hAnsi="Arial"/>
                <w:sz w:val="14"/>
                <w:szCs w:val="14"/>
                <w:color w:val="auto"/>
              </w:rPr>
              <w:t>Offering costs from issuance of Class A common stock in the IPO</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0" w:lineRule="exact"/>
              <w:rPr>
                <w:sz w:val="20"/>
                <w:szCs w:val="20"/>
                <w:color w:val="auto"/>
              </w:rPr>
            </w:pPr>
            <w:r>
              <w:rPr>
                <w:rFonts w:ascii="Arial" w:cs="Arial" w:eastAsia="Arial" w:hAnsi="Arial"/>
                <w:sz w:val="14"/>
                <w:szCs w:val="14"/>
                <w:color w:val="auto"/>
              </w:rPr>
              <w:t>(12,306)</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Dividends</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4"/>
                <w:szCs w:val="14"/>
                <w:color w:val="auto"/>
              </w:rPr>
              <w:t>(11,435)</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tcPr>
          <w:p>
            <w:pPr>
              <w:ind w:left="100"/>
              <w:spacing w:after="0" w:line="140" w:lineRule="exact"/>
              <w:rPr>
                <w:sz w:val="20"/>
                <w:szCs w:val="20"/>
                <w:color w:val="auto"/>
              </w:rPr>
            </w:pPr>
            <w:r>
              <w:rPr>
                <w:rFonts w:ascii="Arial" w:cs="Arial" w:eastAsia="Arial" w:hAnsi="Arial"/>
                <w:sz w:val="14"/>
                <w:szCs w:val="14"/>
                <w:color w:val="auto"/>
              </w:rPr>
              <w:t>Capital distributions to non-controlling interests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0" w:lineRule="exact"/>
              <w:rPr>
                <w:sz w:val="20"/>
                <w:szCs w:val="20"/>
                <w:color w:val="auto"/>
              </w:rPr>
            </w:pPr>
            <w:r>
              <w:rPr>
                <w:rFonts w:ascii="Arial" w:cs="Arial" w:eastAsia="Arial" w:hAnsi="Arial"/>
                <w:sz w:val="14"/>
                <w:szCs w:val="14"/>
                <w:color w:val="auto"/>
              </w:rPr>
              <w:t>(11,909)</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200" w:type="dxa"/>
            <w:vAlign w:val="bottom"/>
            <w:tcBorders>
              <w:top w:val="single" w:sz="8" w:color="CCEEFF"/>
            </w:tcBorders>
            <w:shd w:val="clear" w:color="auto" w:fill="CCEEFF"/>
          </w:tcPr>
          <w:p>
            <w:pPr>
              <w:ind w:left="300"/>
              <w:spacing w:after="0" w:line="133" w:lineRule="exact"/>
              <w:rPr>
                <w:sz w:val="20"/>
                <w:szCs w:val="20"/>
                <w:color w:val="auto"/>
              </w:rPr>
            </w:pPr>
            <w:r>
              <w:rPr>
                <w:rFonts w:ascii="Arial" w:cs="Arial" w:eastAsia="Arial" w:hAnsi="Arial"/>
                <w:sz w:val="14"/>
                <w:szCs w:val="14"/>
                <w:color w:val="auto"/>
              </w:rPr>
              <w:t>Net cash (used in) financing activities</w:t>
            </w:r>
          </w:p>
        </w:tc>
        <w:tc>
          <w:tcPr>
            <w:tcW w:w="6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(155,650)</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000000"/>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(80,000)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200" w:type="dxa"/>
            <w:vAlign w:val="bottom"/>
            <w:tcBorders>
              <w:bottom w:val="single" w:sz="8" w:color="CCEEFF"/>
            </w:tcBorders>
          </w:tcPr>
          <w:p>
            <w:pPr>
              <w:spacing w:after="0" w:line="133" w:lineRule="exact"/>
              <w:rPr>
                <w:sz w:val="20"/>
                <w:szCs w:val="20"/>
                <w:color w:val="auto"/>
              </w:rPr>
            </w:pPr>
            <w:r>
              <w:rPr>
                <w:rFonts w:ascii="Arial" w:cs="Arial" w:eastAsia="Arial" w:hAnsi="Arial"/>
                <w:sz w:val="14"/>
                <w:szCs w:val="14"/>
                <w:color w:val="auto"/>
              </w:rPr>
              <w:t>Effect of exchange rate changes on cash and cash equivalents</w:t>
            </w:r>
          </w:p>
        </w:tc>
        <w:tc>
          <w:tcPr>
            <w:tcW w:w="6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(138)</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(1,198)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200" w:type="dxa"/>
            <w:vAlign w:val="bottom"/>
            <w:shd w:val="clear" w:color="auto" w:fill="CCEEFF"/>
          </w:tcPr>
          <w:p>
            <w:pPr>
              <w:ind w:left="300"/>
              <w:spacing w:after="0" w:line="133" w:lineRule="exact"/>
              <w:rPr>
                <w:sz w:val="20"/>
                <w:szCs w:val="20"/>
                <w:color w:val="auto"/>
              </w:rPr>
            </w:pPr>
            <w:r>
              <w:rPr>
                <w:rFonts w:ascii="Arial" w:cs="Arial" w:eastAsia="Arial" w:hAnsi="Arial"/>
                <w:sz w:val="14"/>
                <w:szCs w:val="14"/>
                <w:color w:val="auto"/>
              </w:rPr>
              <w:t>Net decrease in cash and cash equivalents</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(96,522)</w:t>
            </w:r>
          </w:p>
        </w:tc>
        <w:tc>
          <w:tcPr>
            <w:tcW w:w="12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(32,061)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200" w:type="dxa"/>
            <w:vAlign w:val="bottom"/>
          </w:tcPr>
          <w:p>
            <w:pPr>
              <w:spacing w:after="0" w:line="140" w:lineRule="exact"/>
              <w:rPr>
                <w:sz w:val="20"/>
                <w:szCs w:val="20"/>
                <w:color w:val="auto"/>
              </w:rPr>
            </w:pPr>
            <w:r>
              <w:rPr>
                <w:rFonts w:ascii="Arial" w:cs="Arial" w:eastAsia="Arial" w:hAnsi="Arial"/>
                <w:sz w:val="14"/>
                <w:szCs w:val="14"/>
                <w:b w:val="1"/>
                <w:bCs w:val="1"/>
                <w:color w:val="auto"/>
              </w:rPr>
              <w:t>Cash and cash equivalents and restricted cash</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Beginning of period</w:t>
            </w:r>
          </w:p>
        </w:tc>
        <w:tc>
          <w:tcPr>
            <w:tcW w:w="6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411,304</w:t>
            </w:r>
          </w:p>
        </w:tc>
        <w:tc>
          <w:tcPr>
            <w:tcW w:w="1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353,798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200" w:type="dxa"/>
            <w:vAlign w:val="bottom"/>
            <w:tcBorders>
              <w:bottom w:val="single" w:sz="8" w:color="CCEEFF"/>
            </w:tcBorders>
          </w:tcPr>
          <w:p>
            <w:pPr>
              <w:spacing w:after="0" w:line="133" w:lineRule="exact"/>
              <w:rPr>
                <w:sz w:val="20"/>
                <w:szCs w:val="20"/>
                <w:color w:val="auto"/>
              </w:rPr>
            </w:pPr>
            <w:r>
              <w:rPr>
                <w:rFonts w:ascii="Arial" w:cs="Arial" w:eastAsia="Arial" w:hAnsi="Arial"/>
                <w:sz w:val="14"/>
                <w:szCs w:val="14"/>
                <w:color w:val="auto"/>
              </w:rPr>
              <w:t>End of period</w:t>
            </w:r>
          </w:p>
        </w:tc>
        <w:tc>
          <w:tcPr>
            <w:tcW w:w="6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line="133"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314,782</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line="133"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321,737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tcPr>
          <w:p>
            <w:pPr>
              <w:spacing w:after="0" w:line="140"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Interest paid</w:t>
            </w:r>
          </w:p>
        </w:tc>
        <w:tc>
          <w:tcPr>
            <w:tcW w:w="780" w:type="dxa"/>
            <w:vAlign w:val="bottom"/>
            <w:gridSpan w:val="2"/>
            <w:shd w:val="clear" w:color="auto" w:fill="CCEEFF"/>
          </w:tcPr>
          <w:p>
            <w:pPr>
              <w:ind w:left="680"/>
              <w:spacing w:after="0" w:line="14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tcPr>
          <w:p>
            <w:pPr>
              <w:spacing w:after="0" w:line="140" w:lineRule="exact"/>
              <w:rPr>
                <w:sz w:val="20"/>
                <w:szCs w:val="20"/>
                <w:color w:val="auto"/>
              </w:rPr>
            </w:pPr>
            <w:r>
              <w:rPr>
                <w:rFonts w:ascii="Arial" w:cs="Arial" w:eastAsia="Arial" w:hAnsi="Arial"/>
                <w:sz w:val="14"/>
                <w:szCs w:val="14"/>
                <w:color w:val="auto"/>
              </w:rPr>
              <w:t>Income taxes paid</w:t>
            </w:r>
          </w:p>
        </w:tc>
        <w:tc>
          <w:tcPr>
            <w:tcW w:w="780" w:type="dxa"/>
            <w:vAlign w:val="bottom"/>
            <w:gridSpan w:val="2"/>
          </w:tcPr>
          <w:p>
            <w:pPr>
              <w:ind w:left="680"/>
              <w:spacing w:after="0" w:line="140"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0" w:lineRule="exact"/>
              <w:rPr>
                <w:sz w:val="20"/>
                <w:szCs w:val="20"/>
                <w:color w:val="auto"/>
              </w:rPr>
            </w:pPr>
            <w:r>
              <w:rPr>
                <w:rFonts w:ascii="Arial" w:cs="Arial" w:eastAsia="Arial" w:hAnsi="Arial"/>
                <w:sz w:val="14"/>
                <w:szCs w:val="14"/>
                <w:color w:val="auto"/>
              </w:rPr>
              <w:t>24,989</w:t>
            </w: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line="140"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0" w:lineRule="exact"/>
              <w:rPr>
                <w:sz w:val="20"/>
                <w:szCs w:val="20"/>
                <w:color w:val="auto"/>
              </w:rPr>
            </w:pPr>
            <w:r>
              <w:rPr>
                <w:rFonts w:ascii="Arial" w:cs="Arial" w:eastAsia="Arial" w:hAnsi="Arial"/>
                <w:sz w:val="14"/>
                <w:szCs w:val="14"/>
                <w:color w:val="auto"/>
              </w:rPr>
              <w:t>3,807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tcPr>
          <w:p>
            <w:pPr>
              <w:spacing w:after="0" w:line="140" w:lineRule="exact"/>
              <w:rPr>
                <w:sz w:val="20"/>
                <w:szCs w:val="20"/>
                <w:color w:val="auto"/>
              </w:rPr>
            </w:pPr>
            <w:r>
              <w:rPr>
                <w:rFonts w:ascii="Arial" w:cs="Arial" w:eastAsia="Arial" w:hAnsi="Arial"/>
                <w:sz w:val="14"/>
                <w:szCs w:val="14"/>
                <w:b w:val="1"/>
                <w:bCs w:val="1"/>
                <w:color w:val="auto"/>
              </w:rPr>
              <w:t>Non-cash financing activities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Items arising from the reorganization transactions and IPO:</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tcPr>
          <w:p>
            <w:pPr>
              <w:ind w:left="100"/>
              <w:spacing w:after="0" w:line="140" w:lineRule="exact"/>
              <w:rPr>
                <w:sz w:val="20"/>
                <w:szCs w:val="20"/>
                <w:color w:val="auto"/>
              </w:rPr>
            </w:pPr>
            <w:r>
              <w:rPr>
                <w:rFonts w:ascii="Arial" w:cs="Arial" w:eastAsia="Arial" w:hAnsi="Arial"/>
                <w:sz w:val="14"/>
                <w:szCs w:val="14"/>
                <w:color w:val="auto"/>
              </w:rPr>
              <w:t>Establishment of liabilities under tax receivable agreement</w:t>
            </w:r>
          </w:p>
        </w:tc>
        <w:tc>
          <w:tcPr>
            <w:tcW w:w="780" w:type="dxa"/>
            <w:vAlign w:val="bottom"/>
            <w:gridSpan w:val="2"/>
          </w:tcPr>
          <w:p>
            <w:pPr>
              <w:ind w:left="680"/>
              <w:spacing w:after="0" w:line="140"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0" w:lineRule="exact"/>
              <w:rPr>
                <w:sz w:val="20"/>
                <w:szCs w:val="20"/>
                <w:color w:val="auto"/>
              </w:rPr>
            </w:pPr>
            <w:r>
              <w:rPr>
                <w:rFonts w:ascii="Arial" w:cs="Arial" w:eastAsia="Arial" w:hAnsi="Arial"/>
                <w:sz w:val="14"/>
                <w:szCs w:val="14"/>
                <w:color w:val="auto"/>
              </w:rPr>
              <w:t>171,426</w:t>
            </w: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line="140"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Deferred tax asset</w:t>
            </w:r>
          </w:p>
        </w:tc>
        <w:tc>
          <w:tcPr>
            <w:tcW w:w="780" w:type="dxa"/>
            <w:vAlign w:val="bottom"/>
            <w:gridSpan w:val="2"/>
            <w:shd w:val="clear" w:color="auto" w:fill="CCEEFF"/>
          </w:tcPr>
          <w:p>
            <w:pPr>
              <w:ind w:left="680"/>
              <w:spacing w:after="0" w:line="140"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93,194</w:t>
            </w:r>
          </w:p>
        </w:tc>
        <w:tc>
          <w:tcPr>
            <w:tcW w:w="1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91"/>
              </w:rPr>
              <w:t>June 30,</w:t>
            </w:r>
          </w:p>
        </w:tc>
        <w:tc>
          <w:tcPr>
            <w:tcW w:w="20" w:type="dxa"/>
            <w:vAlign w:val="bottom"/>
            <w:shd w:val="clear" w:color="auto" w:fill="000000"/>
          </w:tcPr>
          <w:p>
            <w:pPr>
              <w:spacing w:after="0"/>
              <w:rPr>
                <w:sz w:val="12"/>
                <w:szCs w:val="12"/>
                <w:color w:val="auto"/>
              </w:rPr>
            </w:pP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87"/>
              </w:rPr>
              <w:t>December 31,</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620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w w:val="97"/>
              </w:rPr>
              <w:t>Reconciliation of cash, cash equivalents and restricted cash as shown on the statements of financial condition:</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2"/>
                <w:szCs w:val="12"/>
                <w:b w:val="1"/>
                <w:bCs w:val="1"/>
                <w:color w:val="auto"/>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620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Cash and cash equivalents</w:t>
            </w: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313,582</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410,104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200" w:type="dxa"/>
            <w:vAlign w:val="bottom"/>
            <w:tcBorders>
              <w:bottom w:val="single" w:sz="8" w:color="CCEEFF"/>
            </w:tcBorders>
          </w:tcPr>
          <w:p>
            <w:pPr>
              <w:spacing w:after="0" w:line="128" w:lineRule="exact"/>
              <w:rPr>
                <w:sz w:val="20"/>
                <w:szCs w:val="20"/>
                <w:color w:val="auto"/>
              </w:rPr>
            </w:pPr>
            <w:r>
              <w:rPr>
                <w:rFonts w:ascii="Arial" w:cs="Arial" w:eastAsia="Arial" w:hAnsi="Arial"/>
                <w:sz w:val="12"/>
                <w:szCs w:val="12"/>
                <w:color w:val="auto"/>
              </w:rPr>
              <w:t>Restricted cash</w:t>
            </w:r>
          </w:p>
        </w:tc>
        <w:tc>
          <w:tcPr>
            <w:tcW w:w="6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1,200</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1,200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200" w:type="dxa"/>
            <w:vAlign w:val="bottom"/>
            <w:tcBorders>
              <w:bottom w:val="single" w:sz="8" w:color="CCEEFF"/>
            </w:tcBorders>
            <w:shd w:val="clear" w:color="auto" w:fill="CCEEFF"/>
          </w:tcPr>
          <w:p>
            <w:pPr>
              <w:spacing w:after="0" w:line="120" w:lineRule="exact"/>
              <w:rPr>
                <w:sz w:val="20"/>
                <w:szCs w:val="20"/>
                <w:color w:val="auto"/>
              </w:rPr>
            </w:pPr>
            <w:r>
              <w:rPr>
                <w:rFonts w:ascii="Arial" w:cs="Arial" w:eastAsia="Arial" w:hAnsi="Arial"/>
                <w:sz w:val="12"/>
                <w:szCs w:val="12"/>
                <w:color w:val="auto"/>
              </w:rPr>
              <w:t>Cash, cash equivalents and restricted cash shown in the statement of cash flows</w:t>
            </w:r>
          </w:p>
        </w:tc>
        <w:tc>
          <w:tcPr>
            <w:tcW w:w="6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20" w:lineRule="exact"/>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314,782</w:t>
            </w: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20" w:lineRule="exact"/>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411,304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2" w:name="page13"/>
    <w:bookmarkEnd w:id="1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140" w:type="dxa"/>
            <w:vAlign w:val="bottom"/>
            <w:gridSpan w:val="2"/>
          </w:tcPr>
          <w:p>
            <w:pPr>
              <w:jc w:val="center"/>
              <w:ind w:right="2420"/>
              <w:spacing w:after="0"/>
              <w:rPr>
                <w:sz w:val="20"/>
                <w:szCs w:val="20"/>
                <w:color w:val="auto"/>
              </w:rPr>
            </w:pPr>
            <w:r>
              <w:rPr>
                <w:rFonts w:ascii="Arial" w:cs="Arial" w:eastAsia="Arial" w:hAnsi="Arial"/>
                <w:sz w:val="20"/>
                <w:szCs w:val="20"/>
                <w:b w:val="1"/>
                <w:bCs w:val="1"/>
                <w:color w:val="auto"/>
                <w:w w:val="90"/>
              </w:rPr>
              <w:t>Table of Contents (Notes)</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0"/>
        </w:trPr>
        <w:tc>
          <w:tcPr>
            <w:tcW w:w="460" w:type="dxa"/>
            <w:vAlign w:val="bottom"/>
            <w:vMerge w:val="restart"/>
          </w:tcPr>
          <w:p>
            <w:pPr>
              <w:spacing w:after="0"/>
              <w:rPr>
                <w:rFonts w:ascii="Arial" w:cs="Arial" w:eastAsia="Arial" w:hAnsi="Arial"/>
                <w:sz w:val="17"/>
                <w:szCs w:val="17"/>
                <w:color w:val="0000EE"/>
                <w:w w:val="87"/>
              </w:rPr>
            </w:pPr>
            <w:hyperlink w:anchor="page14">
              <w:r>
                <w:rPr>
                  <w:rFonts w:ascii="Arial" w:cs="Arial" w:eastAsia="Arial" w:hAnsi="Arial"/>
                  <w:sz w:val="17"/>
                  <w:szCs w:val="17"/>
                  <w:color w:val="0000EE"/>
                  <w:w w:val="87"/>
                </w:rPr>
                <w:t>Note 1</w:t>
              </w:r>
            </w:hyperlink>
          </w:p>
        </w:tc>
        <w:tc>
          <w:tcPr>
            <w:tcW w:w="320" w:type="dxa"/>
            <w:vAlign w:val="bottom"/>
            <w:gridSpan w:val="2"/>
            <w:vMerge w:val="restart"/>
          </w:tcPr>
          <w:p>
            <w:pPr>
              <w:spacing w:after="0"/>
              <w:rPr>
                <w:sz w:val="24"/>
                <w:szCs w:val="24"/>
                <w:color w:val="auto"/>
              </w:rPr>
            </w:pPr>
          </w:p>
        </w:tc>
        <w:tc>
          <w:tcPr>
            <w:tcW w:w="880" w:type="dxa"/>
            <w:vAlign w:val="bottom"/>
            <w:gridSpan w:val="3"/>
            <w:vMerge w:val="restart"/>
          </w:tcPr>
          <w:p>
            <w:pPr>
              <w:spacing w:after="0"/>
              <w:rPr>
                <w:rFonts w:ascii="Arial" w:cs="Arial" w:eastAsia="Arial" w:hAnsi="Arial"/>
                <w:sz w:val="17"/>
                <w:szCs w:val="17"/>
                <w:color w:val="0000EE"/>
                <w:w w:val="89"/>
              </w:rPr>
            </w:pPr>
            <w:hyperlink w:anchor="page14">
              <w:r>
                <w:rPr>
                  <w:rFonts w:ascii="Arial" w:cs="Arial" w:eastAsia="Arial" w:hAnsi="Arial"/>
                  <w:sz w:val="17"/>
                  <w:szCs w:val="17"/>
                  <w:color w:val="0000EE"/>
                  <w:w w:val="89"/>
                </w:rPr>
                <w:t>Organization</w:t>
              </w:r>
            </w:hyperlink>
          </w:p>
        </w:tc>
        <w:tc>
          <w:tcPr>
            <w:tcW w:w="6660" w:type="dxa"/>
            <w:vAlign w:val="bottom"/>
            <w:gridSpan w:val="14"/>
            <w:vMerge w:val="restart"/>
          </w:tcPr>
          <w:p>
            <w:pPr>
              <w:spacing w:after="0"/>
              <w:rPr>
                <w:sz w:val="24"/>
                <w:szCs w:val="24"/>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460" w:type="dxa"/>
            <w:vAlign w:val="bottom"/>
            <w:tcBorders>
              <w:bottom w:val="single" w:sz="8" w:color="0000EE"/>
            </w:tcBorders>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880" w:type="dxa"/>
            <w:vAlign w:val="bottom"/>
            <w:tcBorders>
              <w:bottom w:val="single" w:sz="8" w:color="0000EE"/>
            </w:tcBorders>
            <w:gridSpan w:val="3"/>
            <w:vMerge w:val="continue"/>
          </w:tcPr>
          <w:p>
            <w:pPr>
              <w:spacing w:after="0"/>
              <w:rPr>
                <w:sz w:val="13"/>
                <w:szCs w:val="13"/>
                <w:color w:val="auto"/>
              </w:rPr>
            </w:pPr>
          </w:p>
        </w:tc>
        <w:tc>
          <w:tcPr>
            <w:tcW w:w="6660" w:type="dxa"/>
            <w:vAlign w:val="bottom"/>
            <w:gridSpan w:val="14"/>
            <w:vMerge w:val="continue"/>
          </w:tcPr>
          <w:p>
            <w:pPr>
              <w:spacing w:after="0"/>
              <w:rPr>
                <w:sz w:val="13"/>
                <w:szCs w:val="13"/>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91"/>
        </w:trPr>
        <w:tc>
          <w:tcPr>
            <w:tcW w:w="460" w:type="dxa"/>
            <w:vAlign w:val="bottom"/>
            <w:tcBorders>
              <w:bottom w:val="single" w:sz="8" w:color="0000EE"/>
            </w:tcBorders>
          </w:tcPr>
          <w:p>
            <w:pPr>
              <w:spacing w:after="0" w:line="191" w:lineRule="exact"/>
              <w:rPr>
                <w:rFonts w:ascii="Arial" w:cs="Arial" w:eastAsia="Arial" w:hAnsi="Arial"/>
                <w:sz w:val="17"/>
                <w:szCs w:val="17"/>
                <w:color w:val="0000EE"/>
                <w:w w:val="87"/>
              </w:rPr>
            </w:pPr>
            <w:hyperlink w:anchor="page16">
              <w:r>
                <w:rPr>
                  <w:rFonts w:ascii="Arial" w:cs="Arial" w:eastAsia="Arial" w:hAnsi="Arial"/>
                  <w:sz w:val="17"/>
                  <w:szCs w:val="17"/>
                  <w:color w:val="0000EE"/>
                  <w:w w:val="87"/>
                </w:rPr>
                <w:t>Note 2</w:t>
              </w:r>
            </w:hyperlink>
          </w:p>
        </w:tc>
        <w:tc>
          <w:tcPr>
            <w:tcW w:w="320" w:type="dxa"/>
            <w:vAlign w:val="bottom"/>
            <w:gridSpan w:val="2"/>
          </w:tcPr>
          <w:p>
            <w:pPr>
              <w:spacing w:after="0"/>
              <w:rPr>
                <w:sz w:val="16"/>
                <w:szCs w:val="16"/>
                <w:color w:val="auto"/>
              </w:rPr>
            </w:pPr>
          </w:p>
        </w:tc>
        <w:tc>
          <w:tcPr>
            <w:tcW w:w="2160" w:type="dxa"/>
            <w:vAlign w:val="bottom"/>
            <w:tcBorders>
              <w:bottom w:val="single" w:sz="8" w:color="0000EE"/>
            </w:tcBorders>
            <w:gridSpan w:val="13"/>
          </w:tcPr>
          <w:p>
            <w:pPr>
              <w:spacing w:after="0" w:line="191" w:lineRule="exact"/>
              <w:rPr>
                <w:rFonts w:ascii="Arial" w:cs="Arial" w:eastAsia="Arial" w:hAnsi="Arial"/>
                <w:sz w:val="17"/>
                <w:szCs w:val="17"/>
                <w:color w:val="0000EE"/>
                <w:w w:val="92"/>
              </w:rPr>
            </w:pPr>
            <w:hyperlink w:anchor="page16">
              <w:r>
                <w:rPr>
                  <w:rFonts w:ascii="Arial" w:cs="Arial" w:eastAsia="Arial" w:hAnsi="Arial"/>
                  <w:sz w:val="17"/>
                  <w:szCs w:val="17"/>
                  <w:color w:val="0000EE"/>
                  <w:w w:val="92"/>
                </w:rPr>
                <w:t>Significant Accounting Policies</w:t>
              </w:r>
            </w:hyperlink>
          </w:p>
        </w:tc>
        <w:tc>
          <w:tcPr>
            <w:tcW w:w="5380" w:type="dxa"/>
            <w:vAlign w:val="bottom"/>
            <w:gridSpan w:val="4"/>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83"/>
        </w:trPr>
        <w:tc>
          <w:tcPr>
            <w:tcW w:w="460" w:type="dxa"/>
            <w:vAlign w:val="bottom"/>
            <w:tcBorders>
              <w:bottom w:val="single" w:sz="8" w:color="0000EE"/>
            </w:tcBorders>
          </w:tcPr>
          <w:p>
            <w:pPr>
              <w:spacing w:after="0" w:line="184" w:lineRule="exact"/>
              <w:rPr>
                <w:rFonts w:ascii="Arial" w:cs="Arial" w:eastAsia="Arial" w:hAnsi="Arial"/>
                <w:sz w:val="17"/>
                <w:szCs w:val="17"/>
                <w:color w:val="0000EE"/>
                <w:w w:val="87"/>
              </w:rPr>
            </w:pPr>
            <w:hyperlink w:anchor="page22">
              <w:r>
                <w:rPr>
                  <w:rFonts w:ascii="Arial" w:cs="Arial" w:eastAsia="Arial" w:hAnsi="Arial"/>
                  <w:sz w:val="17"/>
                  <w:szCs w:val="17"/>
                  <w:color w:val="0000EE"/>
                  <w:w w:val="87"/>
                </w:rPr>
                <w:t>Note 3</w:t>
              </w:r>
            </w:hyperlink>
          </w:p>
        </w:tc>
        <w:tc>
          <w:tcPr>
            <w:tcW w:w="320" w:type="dxa"/>
            <w:vAlign w:val="bottom"/>
            <w:gridSpan w:val="2"/>
          </w:tcPr>
          <w:p>
            <w:pPr>
              <w:spacing w:after="0"/>
              <w:rPr>
                <w:sz w:val="15"/>
                <w:szCs w:val="15"/>
                <w:color w:val="auto"/>
              </w:rPr>
            </w:pPr>
          </w:p>
        </w:tc>
        <w:tc>
          <w:tcPr>
            <w:tcW w:w="1540" w:type="dxa"/>
            <w:vAlign w:val="bottom"/>
            <w:tcBorders>
              <w:bottom w:val="single" w:sz="8" w:color="0000EE"/>
            </w:tcBorders>
            <w:gridSpan w:val="8"/>
          </w:tcPr>
          <w:p>
            <w:pPr>
              <w:spacing w:after="0" w:line="184" w:lineRule="exact"/>
              <w:rPr>
                <w:rFonts w:ascii="Arial" w:cs="Arial" w:eastAsia="Arial" w:hAnsi="Arial"/>
                <w:sz w:val="17"/>
                <w:szCs w:val="17"/>
                <w:color w:val="0000EE"/>
                <w:w w:val="90"/>
              </w:rPr>
            </w:pPr>
            <w:hyperlink w:anchor="page22">
              <w:r>
                <w:rPr>
                  <w:rFonts w:ascii="Arial" w:cs="Arial" w:eastAsia="Arial" w:hAnsi="Arial"/>
                  <w:sz w:val="17"/>
                  <w:szCs w:val="17"/>
                  <w:color w:val="0000EE"/>
                  <w:w w:val="90"/>
                </w:rPr>
                <w:t>Pushdown Accounting</w:t>
              </w:r>
            </w:hyperlink>
          </w:p>
        </w:tc>
        <w:tc>
          <w:tcPr>
            <w:tcW w:w="6000" w:type="dxa"/>
            <w:vAlign w:val="bottom"/>
            <w:gridSpan w:val="9"/>
          </w:tcPr>
          <w:p>
            <w:pPr>
              <w:spacing w:after="0"/>
              <w:rPr>
                <w:sz w:val="15"/>
                <w:szCs w:val="15"/>
                <w:color w:val="auto"/>
              </w:rPr>
            </w:pPr>
          </w:p>
        </w:tc>
        <w:tc>
          <w:tcPr>
            <w:tcW w:w="740" w:type="dxa"/>
            <w:vAlign w:val="bottom"/>
          </w:tcPr>
          <w:p>
            <w:pPr>
              <w:jc w:val="right"/>
              <w:spacing w:after="0" w:line="184"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83"/>
        </w:trPr>
        <w:tc>
          <w:tcPr>
            <w:tcW w:w="460" w:type="dxa"/>
            <w:vAlign w:val="bottom"/>
            <w:tcBorders>
              <w:bottom w:val="single" w:sz="8" w:color="0000EE"/>
            </w:tcBorders>
          </w:tcPr>
          <w:p>
            <w:pPr>
              <w:spacing w:after="0" w:line="184" w:lineRule="exact"/>
              <w:rPr>
                <w:rFonts w:ascii="Arial" w:cs="Arial" w:eastAsia="Arial" w:hAnsi="Arial"/>
                <w:sz w:val="17"/>
                <w:szCs w:val="17"/>
                <w:color w:val="0000EE"/>
                <w:w w:val="87"/>
              </w:rPr>
            </w:pPr>
            <w:hyperlink w:anchor="page22">
              <w:r>
                <w:rPr>
                  <w:rFonts w:ascii="Arial" w:cs="Arial" w:eastAsia="Arial" w:hAnsi="Arial"/>
                  <w:sz w:val="17"/>
                  <w:szCs w:val="17"/>
                  <w:color w:val="0000EE"/>
                  <w:w w:val="87"/>
                </w:rPr>
                <w:t>Note 4</w:t>
              </w:r>
            </w:hyperlink>
          </w:p>
        </w:tc>
        <w:tc>
          <w:tcPr>
            <w:tcW w:w="320" w:type="dxa"/>
            <w:vAlign w:val="bottom"/>
            <w:gridSpan w:val="2"/>
          </w:tcPr>
          <w:p>
            <w:pPr>
              <w:spacing w:after="0"/>
              <w:rPr>
                <w:sz w:val="15"/>
                <w:szCs w:val="15"/>
                <w:color w:val="auto"/>
              </w:rPr>
            </w:pPr>
          </w:p>
        </w:tc>
        <w:tc>
          <w:tcPr>
            <w:tcW w:w="460" w:type="dxa"/>
            <w:vAlign w:val="bottom"/>
            <w:tcBorders>
              <w:bottom w:val="single" w:sz="8" w:color="0000EE"/>
            </w:tcBorders>
          </w:tcPr>
          <w:p>
            <w:pPr>
              <w:spacing w:after="0" w:line="184" w:lineRule="exact"/>
              <w:rPr>
                <w:rFonts w:ascii="Arial" w:cs="Arial" w:eastAsia="Arial" w:hAnsi="Arial"/>
                <w:sz w:val="17"/>
                <w:szCs w:val="17"/>
                <w:color w:val="0000EE"/>
                <w:w w:val="80"/>
              </w:rPr>
            </w:pPr>
            <w:hyperlink w:anchor="page22">
              <w:r>
                <w:rPr>
                  <w:rFonts w:ascii="Arial" w:cs="Arial" w:eastAsia="Arial" w:hAnsi="Arial"/>
                  <w:sz w:val="17"/>
                  <w:szCs w:val="17"/>
                  <w:color w:val="0000EE"/>
                  <w:w w:val="80"/>
                </w:rPr>
                <w:t>Leases</w:t>
              </w:r>
            </w:hyperlink>
          </w:p>
        </w:tc>
        <w:tc>
          <w:tcPr>
            <w:tcW w:w="7080" w:type="dxa"/>
            <w:vAlign w:val="bottom"/>
            <w:gridSpan w:val="16"/>
          </w:tcPr>
          <w:p>
            <w:pPr>
              <w:spacing w:after="0"/>
              <w:rPr>
                <w:sz w:val="15"/>
                <w:szCs w:val="15"/>
                <w:color w:val="auto"/>
              </w:rPr>
            </w:pPr>
          </w:p>
        </w:tc>
        <w:tc>
          <w:tcPr>
            <w:tcW w:w="740" w:type="dxa"/>
            <w:vAlign w:val="bottom"/>
          </w:tcPr>
          <w:p>
            <w:pPr>
              <w:jc w:val="right"/>
              <w:spacing w:after="0" w:line="184"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83"/>
        </w:trPr>
        <w:tc>
          <w:tcPr>
            <w:tcW w:w="460" w:type="dxa"/>
            <w:vAlign w:val="bottom"/>
            <w:tcBorders>
              <w:bottom w:val="single" w:sz="8" w:color="0000EE"/>
            </w:tcBorders>
          </w:tcPr>
          <w:p>
            <w:pPr>
              <w:spacing w:after="0" w:line="184" w:lineRule="exact"/>
              <w:rPr>
                <w:rFonts w:ascii="Arial" w:cs="Arial" w:eastAsia="Arial" w:hAnsi="Arial"/>
                <w:sz w:val="17"/>
                <w:szCs w:val="17"/>
                <w:color w:val="0000EE"/>
                <w:w w:val="87"/>
              </w:rPr>
            </w:pPr>
            <w:hyperlink w:anchor="page23">
              <w:r>
                <w:rPr>
                  <w:rFonts w:ascii="Arial" w:cs="Arial" w:eastAsia="Arial" w:hAnsi="Arial"/>
                  <w:sz w:val="17"/>
                  <w:szCs w:val="17"/>
                  <w:color w:val="0000EE"/>
                  <w:w w:val="87"/>
                </w:rPr>
                <w:t>Note 5</w:t>
              </w:r>
            </w:hyperlink>
          </w:p>
        </w:tc>
        <w:tc>
          <w:tcPr>
            <w:tcW w:w="320" w:type="dxa"/>
            <w:vAlign w:val="bottom"/>
            <w:gridSpan w:val="2"/>
          </w:tcPr>
          <w:p>
            <w:pPr>
              <w:spacing w:after="0"/>
              <w:rPr>
                <w:sz w:val="15"/>
                <w:szCs w:val="15"/>
                <w:color w:val="auto"/>
              </w:rPr>
            </w:pPr>
          </w:p>
        </w:tc>
        <w:tc>
          <w:tcPr>
            <w:tcW w:w="2140" w:type="dxa"/>
            <w:vAlign w:val="bottom"/>
            <w:tcBorders>
              <w:bottom w:val="single" w:sz="8" w:color="0000EE"/>
            </w:tcBorders>
            <w:gridSpan w:val="12"/>
          </w:tcPr>
          <w:p>
            <w:pPr>
              <w:spacing w:after="0" w:line="184" w:lineRule="exact"/>
              <w:rPr>
                <w:rFonts w:ascii="Arial" w:cs="Arial" w:eastAsia="Arial" w:hAnsi="Arial"/>
                <w:sz w:val="17"/>
                <w:szCs w:val="17"/>
                <w:color w:val="0000EE"/>
                <w:w w:val="91"/>
              </w:rPr>
            </w:pPr>
            <w:hyperlink w:anchor="page23">
              <w:r>
                <w:rPr>
                  <w:rFonts w:ascii="Arial" w:cs="Arial" w:eastAsia="Arial" w:hAnsi="Arial"/>
                  <w:sz w:val="17"/>
                  <w:szCs w:val="17"/>
                  <w:color w:val="0000EE"/>
                  <w:w w:val="91"/>
                </w:rPr>
                <w:t>Intangible Assets and Goodwill</w:t>
              </w:r>
            </w:hyperlink>
          </w:p>
        </w:tc>
        <w:tc>
          <w:tcPr>
            <w:tcW w:w="5400" w:type="dxa"/>
            <w:vAlign w:val="bottom"/>
            <w:gridSpan w:val="5"/>
          </w:tcPr>
          <w:p>
            <w:pPr>
              <w:spacing w:after="0"/>
              <w:rPr>
                <w:sz w:val="15"/>
                <w:szCs w:val="15"/>
                <w:color w:val="auto"/>
              </w:rPr>
            </w:pPr>
          </w:p>
        </w:tc>
        <w:tc>
          <w:tcPr>
            <w:tcW w:w="740" w:type="dxa"/>
            <w:vAlign w:val="bottom"/>
          </w:tcPr>
          <w:p>
            <w:pPr>
              <w:jc w:val="right"/>
              <w:spacing w:after="0" w:line="184" w:lineRule="exact"/>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183"/>
        </w:trPr>
        <w:tc>
          <w:tcPr>
            <w:tcW w:w="460" w:type="dxa"/>
            <w:vAlign w:val="bottom"/>
            <w:tcBorders>
              <w:bottom w:val="single" w:sz="8" w:color="0000EE"/>
            </w:tcBorders>
          </w:tcPr>
          <w:p>
            <w:pPr>
              <w:spacing w:after="0" w:line="184" w:lineRule="exact"/>
              <w:rPr>
                <w:rFonts w:ascii="Arial" w:cs="Arial" w:eastAsia="Arial" w:hAnsi="Arial"/>
                <w:sz w:val="17"/>
                <w:szCs w:val="17"/>
                <w:color w:val="0000EE"/>
                <w:w w:val="87"/>
              </w:rPr>
            </w:pPr>
            <w:hyperlink w:anchor="page24">
              <w:r>
                <w:rPr>
                  <w:rFonts w:ascii="Arial" w:cs="Arial" w:eastAsia="Arial" w:hAnsi="Arial"/>
                  <w:sz w:val="17"/>
                  <w:szCs w:val="17"/>
                  <w:color w:val="0000EE"/>
                  <w:w w:val="87"/>
                </w:rPr>
                <w:t>Note 6</w:t>
              </w:r>
            </w:hyperlink>
          </w:p>
        </w:tc>
        <w:tc>
          <w:tcPr>
            <w:tcW w:w="320" w:type="dxa"/>
            <w:vAlign w:val="bottom"/>
            <w:gridSpan w:val="2"/>
          </w:tcPr>
          <w:p>
            <w:pPr>
              <w:spacing w:after="0"/>
              <w:rPr>
                <w:sz w:val="15"/>
                <w:szCs w:val="15"/>
                <w:color w:val="auto"/>
              </w:rPr>
            </w:pPr>
          </w:p>
        </w:tc>
        <w:tc>
          <w:tcPr>
            <w:tcW w:w="1240" w:type="dxa"/>
            <w:vAlign w:val="bottom"/>
            <w:tcBorders>
              <w:bottom w:val="single" w:sz="8" w:color="0000EE"/>
            </w:tcBorders>
            <w:gridSpan w:val="5"/>
          </w:tcPr>
          <w:p>
            <w:pPr>
              <w:spacing w:after="0" w:line="184" w:lineRule="exact"/>
              <w:rPr>
                <w:rFonts w:ascii="Arial" w:cs="Arial" w:eastAsia="Arial" w:hAnsi="Arial"/>
                <w:sz w:val="17"/>
                <w:szCs w:val="17"/>
                <w:color w:val="0000EE"/>
                <w:w w:val="87"/>
              </w:rPr>
            </w:pPr>
            <w:hyperlink w:anchor="page24">
              <w:r>
                <w:rPr>
                  <w:rFonts w:ascii="Arial" w:cs="Arial" w:eastAsia="Arial" w:hAnsi="Arial"/>
                  <w:sz w:val="17"/>
                  <w:szCs w:val="17"/>
                  <w:color w:val="0000EE"/>
                  <w:w w:val="87"/>
                </w:rPr>
                <w:t>Deferred Revenue</w:t>
              </w:r>
            </w:hyperlink>
          </w:p>
        </w:tc>
        <w:tc>
          <w:tcPr>
            <w:tcW w:w="6300" w:type="dxa"/>
            <w:vAlign w:val="bottom"/>
            <w:gridSpan w:val="12"/>
          </w:tcPr>
          <w:p>
            <w:pPr>
              <w:spacing w:after="0"/>
              <w:rPr>
                <w:sz w:val="15"/>
                <w:szCs w:val="15"/>
                <w:color w:val="auto"/>
              </w:rPr>
            </w:pPr>
          </w:p>
        </w:tc>
        <w:tc>
          <w:tcPr>
            <w:tcW w:w="740" w:type="dxa"/>
            <w:vAlign w:val="bottom"/>
          </w:tcPr>
          <w:p>
            <w:pPr>
              <w:jc w:val="right"/>
              <w:spacing w:after="0" w:line="184"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183"/>
        </w:trPr>
        <w:tc>
          <w:tcPr>
            <w:tcW w:w="460" w:type="dxa"/>
            <w:vAlign w:val="bottom"/>
          </w:tcPr>
          <w:p>
            <w:pPr>
              <w:spacing w:after="0" w:line="184" w:lineRule="exact"/>
              <w:rPr>
                <w:rFonts w:ascii="Arial" w:cs="Arial" w:eastAsia="Arial" w:hAnsi="Arial"/>
                <w:sz w:val="17"/>
                <w:szCs w:val="17"/>
                <w:color w:val="0000EE"/>
                <w:w w:val="87"/>
              </w:rPr>
            </w:pPr>
            <w:hyperlink w:anchor="page24">
              <w:r>
                <w:rPr>
                  <w:rFonts w:ascii="Arial" w:cs="Arial" w:eastAsia="Arial" w:hAnsi="Arial"/>
                  <w:sz w:val="17"/>
                  <w:szCs w:val="17"/>
                  <w:color w:val="0000EE"/>
                  <w:w w:val="87"/>
                </w:rPr>
                <w:t>Note 7</w:t>
              </w:r>
            </w:hyperlink>
          </w:p>
        </w:tc>
        <w:tc>
          <w:tcPr>
            <w:tcW w:w="320" w:type="dxa"/>
            <w:vAlign w:val="bottom"/>
            <w:gridSpan w:val="2"/>
          </w:tcPr>
          <w:p>
            <w:pPr>
              <w:spacing w:after="0"/>
              <w:rPr>
                <w:sz w:val="15"/>
                <w:szCs w:val="15"/>
                <w:color w:val="auto"/>
              </w:rPr>
            </w:pPr>
          </w:p>
        </w:tc>
        <w:tc>
          <w:tcPr>
            <w:tcW w:w="7540" w:type="dxa"/>
            <w:vAlign w:val="bottom"/>
            <w:gridSpan w:val="17"/>
          </w:tcPr>
          <w:p>
            <w:pPr>
              <w:spacing w:after="0" w:line="184" w:lineRule="exact"/>
              <w:rPr>
                <w:rFonts w:ascii="Arial" w:cs="Arial" w:eastAsia="Arial" w:hAnsi="Arial"/>
                <w:sz w:val="17"/>
                <w:szCs w:val="17"/>
                <w:color w:val="0000EE"/>
              </w:rPr>
            </w:pPr>
            <w:hyperlink w:anchor="page24">
              <w:r>
                <w:rPr>
                  <w:rFonts w:ascii="Arial" w:cs="Arial" w:eastAsia="Arial" w:hAnsi="Arial"/>
                  <w:sz w:val="17"/>
                  <w:szCs w:val="17"/>
                  <w:color w:val="0000EE"/>
                </w:rPr>
                <w:t>Income Taxes</w:t>
              </w:r>
            </w:hyperlink>
          </w:p>
        </w:tc>
        <w:tc>
          <w:tcPr>
            <w:tcW w:w="740" w:type="dxa"/>
            <w:vAlign w:val="bottom"/>
          </w:tcPr>
          <w:p>
            <w:pPr>
              <w:jc w:val="right"/>
              <w:spacing w:after="0" w:line="184"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 w:type="dxa"/>
            <w:vAlign w:val="bottom"/>
            <w:tcBorders>
              <w:bottom w:val="single" w:sz="8" w:color="0000EE"/>
            </w:tcBorders>
          </w:tcPr>
          <w:p>
            <w:pPr>
              <w:spacing w:after="0" w:line="184" w:lineRule="exact"/>
              <w:rPr>
                <w:rFonts w:ascii="Arial" w:cs="Arial" w:eastAsia="Arial" w:hAnsi="Arial"/>
                <w:sz w:val="17"/>
                <w:szCs w:val="17"/>
                <w:color w:val="0000EE"/>
                <w:w w:val="87"/>
              </w:rPr>
            </w:pPr>
            <w:hyperlink w:anchor="page25">
              <w:r>
                <w:rPr>
                  <w:rFonts w:ascii="Arial" w:cs="Arial" w:eastAsia="Arial" w:hAnsi="Arial"/>
                  <w:sz w:val="17"/>
                  <w:szCs w:val="17"/>
                  <w:color w:val="0000EE"/>
                  <w:w w:val="87"/>
                </w:rPr>
                <w:t>Note 8</w:t>
              </w:r>
            </w:hyperlink>
          </w:p>
        </w:tc>
        <w:tc>
          <w:tcPr>
            <w:tcW w:w="320" w:type="dxa"/>
            <w:vAlign w:val="bottom"/>
            <w:gridSpan w:val="2"/>
          </w:tcPr>
          <w:p>
            <w:pPr>
              <w:spacing w:after="0"/>
              <w:rPr>
                <w:sz w:val="15"/>
                <w:szCs w:val="15"/>
                <w:color w:val="auto"/>
              </w:rPr>
            </w:pPr>
          </w:p>
        </w:tc>
        <w:tc>
          <w:tcPr>
            <w:tcW w:w="1840" w:type="dxa"/>
            <w:vAlign w:val="bottom"/>
            <w:tcBorders>
              <w:bottom w:val="single" w:sz="8" w:color="0000EE"/>
            </w:tcBorders>
            <w:gridSpan w:val="11"/>
          </w:tcPr>
          <w:p>
            <w:pPr>
              <w:spacing w:after="0" w:line="184" w:lineRule="exact"/>
              <w:rPr>
                <w:rFonts w:ascii="Arial" w:cs="Arial" w:eastAsia="Arial" w:hAnsi="Arial"/>
                <w:sz w:val="17"/>
                <w:szCs w:val="17"/>
                <w:color w:val="0000EE"/>
                <w:w w:val="88"/>
              </w:rPr>
            </w:pPr>
            <w:hyperlink w:anchor="page25">
              <w:r>
                <w:rPr>
                  <w:rFonts w:ascii="Arial" w:cs="Arial" w:eastAsia="Arial" w:hAnsi="Arial"/>
                  <w:sz w:val="17"/>
                  <w:szCs w:val="17"/>
                  <w:color w:val="0000EE"/>
                  <w:w w:val="88"/>
                </w:rPr>
                <w:t>Tax Receivable Agreement</w:t>
              </w:r>
            </w:hyperlink>
          </w:p>
        </w:tc>
        <w:tc>
          <w:tcPr>
            <w:tcW w:w="5700" w:type="dxa"/>
            <w:vAlign w:val="bottom"/>
            <w:gridSpan w:val="6"/>
          </w:tcPr>
          <w:p>
            <w:pPr>
              <w:spacing w:after="0"/>
              <w:rPr>
                <w:sz w:val="15"/>
                <w:szCs w:val="15"/>
                <w:color w:val="auto"/>
              </w:rPr>
            </w:pPr>
          </w:p>
        </w:tc>
        <w:tc>
          <w:tcPr>
            <w:tcW w:w="740" w:type="dxa"/>
            <w:vAlign w:val="bottom"/>
          </w:tcPr>
          <w:p>
            <w:pPr>
              <w:jc w:val="right"/>
              <w:spacing w:after="0" w:line="184"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83"/>
        </w:trPr>
        <w:tc>
          <w:tcPr>
            <w:tcW w:w="460" w:type="dxa"/>
            <w:vAlign w:val="bottom"/>
            <w:tcBorders>
              <w:bottom w:val="single" w:sz="8" w:color="0000EE"/>
            </w:tcBorders>
          </w:tcPr>
          <w:p>
            <w:pPr>
              <w:spacing w:after="0" w:line="184" w:lineRule="exact"/>
              <w:rPr>
                <w:rFonts w:ascii="Arial" w:cs="Arial" w:eastAsia="Arial" w:hAnsi="Arial"/>
                <w:sz w:val="17"/>
                <w:szCs w:val="17"/>
                <w:color w:val="0000EE"/>
                <w:w w:val="87"/>
              </w:rPr>
            </w:pPr>
            <w:hyperlink w:anchor="page25">
              <w:r>
                <w:rPr>
                  <w:rFonts w:ascii="Arial" w:cs="Arial" w:eastAsia="Arial" w:hAnsi="Arial"/>
                  <w:sz w:val="17"/>
                  <w:szCs w:val="17"/>
                  <w:color w:val="0000EE"/>
                  <w:w w:val="87"/>
                </w:rPr>
                <w:t>Note 9</w:t>
              </w:r>
            </w:hyperlink>
          </w:p>
        </w:tc>
        <w:tc>
          <w:tcPr>
            <w:tcW w:w="320" w:type="dxa"/>
            <w:vAlign w:val="bottom"/>
            <w:gridSpan w:val="2"/>
          </w:tcPr>
          <w:p>
            <w:pPr>
              <w:spacing w:after="0"/>
              <w:rPr>
                <w:sz w:val="15"/>
                <w:szCs w:val="15"/>
                <w:color w:val="auto"/>
              </w:rPr>
            </w:pPr>
          </w:p>
        </w:tc>
        <w:tc>
          <w:tcPr>
            <w:tcW w:w="1440" w:type="dxa"/>
            <w:vAlign w:val="bottom"/>
            <w:tcBorders>
              <w:bottom w:val="single" w:sz="8" w:color="0000EE"/>
            </w:tcBorders>
            <w:gridSpan w:val="7"/>
          </w:tcPr>
          <w:p>
            <w:pPr>
              <w:spacing w:after="0" w:line="184" w:lineRule="exact"/>
              <w:rPr>
                <w:rFonts w:ascii="Arial" w:cs="Arial" w:eastAsia="Arial" w:hAnsi="Arial"/>
                <w:sz w:val="17"/>
                <w:szCs w:val="17"/>
                <w:color w:val="0000EE"/>
                <w:w w:val="92"/>
              </w:rPr>
            </w:pPr>
            <w:hyperlink w:anchor="page25">
              <w:r>
                <w:rPr>
                  <w:rFonts w:ascii="Arial" w:cs="Arial" w:eastAsia="Arial" w:hAnsi="Arial"/>
                  <w:sz w:val="17"/>
                  <w:szCs w:val="17"/>
                  <w:color w:val="0000EE"/>
                  <w:w w:val="92"/>
                </w:rPr>
                <w:t>Stockholders’ Equity</w:t>
              </w:r>
            </w:hyperlink>
          </w:p>
        </w:tc>
        <w:tc>
          <w:tcPr>
            <w:tcW w:w="6100" w:type="dxa"/>
            <w:vAlign w:val="bottom"/>
            <w:gridSpan w:val="10"/>
          </w:tcPr>
          <w:p>
            <w:pPr>
              <w:spacing w:after="0"/>
              <w:rPr>
                <w:sz w:val="15"/>
                <w:szCs w:val="15"/>
                <w:color w:val="auto"/>
              </w:rPr>
            </w:pPr>
          </w:p>
        </w:tc>
        <w:tc>
          <w:tcPr>
            <w:tcW w:w="740" w:type="dxa"/>
            <w:vAlign w:val="bottom"/>
          </w:tcPr>
          <w:p>
            <w:pPr>
              <w:jc w:val="right"/>
              <w:spacing w:after="0" w:line="184"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83"/>
        </w:trPr>
        <w:tc>
          <w:tcPr>
            <w:tcW w:w="780" w:type="dxa"/>
            <w:vAlign w:val="bottom"/>
            <w:gridSpan w:val="3"/>
          </w:tcPr>
          <w:p>
            <w:pPr>
              <w:spacing w:after="0" w:line="184" w:lineRule="exact"/>
              <w:rPr>
                <w:rFonts w:ascii="Arial" w:cs="Arial" w:eastAsia="Arial" w:hAnsi="Arial"/>
                <w:sz w:val="17"/>
                <w:szCs w:val="17"/>
                <w:color w:val="0000EE"/>
              </w:rPr>
            </w:pPr>
            <w:hyperlink w:anchor="page28">
              <w:r>
                <w:rPr>
                  <w:rFonts w:ascii="Arial" w:cs="Arial" w:eastAsia="Arial" w:hAnsi="Arial"/>
                  <w:sz w:val="17"/>
                  <w:szCs w:val="17"/>
                  <w:color w:val="0000EE"/>
                </w:rPr>
                <w:t>Note 10</w:t>
              </w:r>
            </w:hyperlink>
          </w:p>
        </w:tc>
        <w:tc>
          <w:tcPr>
            <w:tcW w:w="7540" w:type="dxa"/>
            <w:vAlign w:val="bottom"/>
            <w:gridSpan w:val="17"/>
          </w:tcPr>
          <w:p>
            <w:pPr>
              <w:spacing w:after="0" w:line="184" w:lineRule="exact"/>
              <w:rPr>
                <w:rFonts w:ascii="Arial" w:cs="Arial" w:eastAsia="Arial" w:hAnsi="Arial"/>
                <w:sz w:val="17"/>
                <w:szCs w:val="17"/>
                <w:color w:val="0000EE"/>
              </w:rPr>
            </w:pPr>
            <w:hyperlink w:anchor="page28">
              <w:r>
                <w:rPr>
                  <w:rFonts w:ascii="Arial" w:cs="Arial" w:eastAsia="Arial" w:hAnsi="Arial"/>
                  <w:sz w:val="17"/>
                  <w:szCs w:val="17"/>
                  <w:color w:val="0000EE"/>
                </w:rPr>
                <w:t>Non-Controlling Interests</w:t>
              </w:r>
            </w:hyperlink>
          </w:p>
        </w:tc>
        <w:tc>
          <w:tcPr>
            <w:tcW w:w="740" w:type="dxa"/>
            <w:vAlign w:val="bottom"/>
          </w:tcPr>
          <w:p>
            <w:pPr>
              <w:jc w:val="right"/>
              <w:spacing w:after="0" w:line="184" w:lineRule="exact"/>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gridSpan w:val="2"/>
          </w:tcPr>
          <w:p>
            <w:pPr>
              <w:spacing w:after="0" w:line="184" w:lineRule="exact"/>
              <w:rPr>
                <w:rFonts w:ascii="Arial" w:cs="Arial" w:eastAsia="Arial" w:hAnsi="Arial"/>
                <w:sz w:val="17"/>
                <w:szCs w:val="17"/>
                <w:color w:val="0000EE"/>
                <w:w w:val="87"/>
              </w:rPr>
            </w:pPr>
            <w:hyperlink w:anchor="page28">
              <w:r>
                <w:rPr>
                  <w:rFonts w:ascii="Arial" w:cs="Arial" w:eastAsia="Arial" w:hAnsi="Arial"/>
                  <w:sz w:val="17"/>
                  <w:szCs w:val="17"/>
                  <w:color w:val="0000EE"/>
                  <w:w w:val="87"/>
                </w:rPr>
                <w:t>Note 11</w:t>
              </w:r>
            </w:hyperlink>
          </w:p>
        </w:tc>
        <w:tc>
          <w:tcPr>
            <w:tcW w:w="240" w:type="dxa"/>
            <w:vAlign w:val="bottom"/>
          </w:tcPr>
          <w:p>
            <w:pPr>
              <w:spacing w:after="0"/>
              <w:rPr>
                <w:sz w:val="15"/>
                <w:szCs w:val="15"/>
                <w:color w:val="auto"/>
              </w:rPr>
            </w:pPr>
          </w:p>
        </w:tc>
        <w:tc>
          <w:tcPr>
            <w:tcW w:w="7540" w:type="dxa"/>
            <w:vAlign w:val="bottom"/>
            <w:gridSpan w:val="17"/>
          </w:tcPr>
          <w:p>
            <w:pPr>
              <w:spacing w:after="0" w:line="184" w:lineRule="exact"/>
              <w:rPr>
                <w:rFonts w:ascii="Arial" w:cs="Arial" w:eastAsia="Arial" w:hAnsi="Arial"/>
                <w:sz w:val="17"/>
                <w:szCs w:val="17"/>
                <w:color w:val="0000EE"/>
              </w:rPr>
            </w:pPr>
            <w:hyperlink w:anchor="page28">
              <w:r>
                <w:rPr>
                  <w:rFonts w:ascii="Arial" w:cs="Arial" w:eastAsia="Arial" w:hAnsi="Arial"/>
                  <w:sz w:val="17"/>
                  <w:szCs w:val="17"/>
                  <w:color w:val="0000EE"/>
                </w:rPr>
                <w:t>Stock-Based Compensation Plans</w:t>
              </w:r>
            </w:hyperlink>
          </w:p>
        </w:tc>
        <w:tc>
          <w:tcPr>
            <w:tcW w:w="740" w:type="dxa"/>
            <w:vAlign w:val="bottom"/>
          </w:tcPr>
          <w:p>
            <w:pPr>
              <w:jc w:val="right"/>
              <w:spacing w:after="0" w:line="184" w:lineRule="exact"/>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3"/>
          </w:tcPr>
          <w:p>
            <w:pPr>
              <w:spacing w:after="0" w:line="184" w:lineRule="exact"/>
              <w:rPr>
                <w:rFonts w:ascii="Arial" w:cs="Arial" w:eastAsia="Arial" w:hAnsi="Arial"/>
                <w:sz w:val="17"/>
                <w:szCs w:val="17"/>
                <w:color w:val="0000EE"/>
              </w:rPr>
            </w:pPr>
            <w:hyperlink w:anchor="page30">
              <w:r>
                <w:rPr>
                  <w:rFonts w:ascii="Arial" w:cs="Arial" w:eastAsia="Arial" w:hAnsi="Arial"/>
                  <w:sz w:val="17"/>
                  <w:szCs w:val="17"/>
                  <w:color w:val="0000EE"/>
                </w:rPr>
                <w:t>Note 12</w:t>
              </w:r>
            </w:hyperlink>
          </w:p>
        </w:tc>
        <w:tc>
          <w:tcPr>
            <w:tcW w:w="7540" w:type="dxa"/>
            <w:vAlign w:val="bottom"/>
            <w:gridSpan w:val="17"/>
          </w:tcPr>
          <w:p>
            <w:pPr>
              <w:spacing w:after="0" w:line="184" w:lineRule="exact"/>
              <w:rPr>
                <w:rFonts w:ascii="Arial" w:cs="Arial" w:eastAsia="Arial" w:hAnsi="Arial"/>
                <w:sz w:val="17"/>
                <w:szCs w:val="17"/>
                <w:color w:val="0000EE"/>
              </w:rPr>
            </w:pPr>
            <w:hyperlink w:anchor="page30">
              <w:r>
                <w:rPr>
                  <w:rFonts w:ascii="Arial" w:cs="Arial" w:eastAsia="Arial" w:hAnsi="Arial"/>
                  <w:sz w:val="17"/>
                  <w:szCs w:val="17"/>
                  <w:color w:val="0000EE"/>
                </w:rPr>
                <w:t>Related Party Transactions</w:t>
              </w:r>
            </w:hyperlink>
          </w:p>
        </w:tc>
        <w:tc>
          <w:tcPr>
            <w:tcW w:w="740" w:type="dxa"/>
            <w:vAlign w:val="bottom"/>
          </w:tcPr>
          <w:p>
            <w:pPr>
              <w:jc w:val="right"/>
              <w:spacing w:after="0" w:line="184" w:lineRule="exact"/>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3"/>
          </w:tcPr>
          <w:p>
            <w:pPr>
              <w:spacing w:after="0" w:line="184" w:lineRule="exact"/>
              <w:rPr>
                <w:rFonts w:ascii="Arial" w:cs="Arial" w:eastAsia="Arial" w:hAnsi="Arial"/>
                <w:sz w:val="17"/>
                <w:szCs w:val="17"/>
                <w:color w:val="0000EE"/>
              </w:rPr>
            </w:pPr>
            <w:hyperlink w:anchor="page32">
              <w:r>
                <w:rPr>
                  <w:rFonts w:ascii="Arial" w:cs="Arial" w:eastAsia="Arial" w:hAnsi="Arial"/>
                  <w:sz w:val="17"/>
                  <w:szCs w:val="17"/>
                  <w:color w:val="0000EE"/>
                </w:rPr>
                <w:t>Note 13</w:t>
              </w:r>
            </w:hyperlink>
          </w:p>
        </w:tc>
        <w:tc>
          <w:tcPr>
            <w:tcW w:w="7540" w:type="dxa"/>
            <w:vAlign w:val="bottom"/>
            <w:gridSpan w:val="17"/>
          </w:tcPr>
          <w:p>
            <w:pPr>
              <w:spacing w:after="0" w:line="184" w:lineRule="exact"/>
              <w:rPr>
                <w:rFonts w:ascii="Arial" w:cs="Arial" w:eastAsia="Arial" w:hAnsi="Arial"/>
                <w:sz w:val="17"/>
                <w:szCs w:val="17"/>
                <w:color w:val="0000EE"/>
              </w:rPr>
            </w:pPr>
            <w:hyperlink w:anchor="page32">
              <w:r>
                <w:rPr>
                  <w:rFonts w:ascii="Arial" w:cs="Arial" w:eastAsia="Arial" w:hAnsi="Arial"/>
                  <w:sz w:val="17"/>
                  <w:szCs w:val="17"/>
                  <w:color w:val="0000EE"/>
                </w:rPr>
                <w:t>Fair Value of Financial Instruments</w:t>
              </w:r>
            </w:hyperlink>
          </w:p>
        </w:tc>
        <w:tc>
          <w:tcPr>
            <w:tcW w:w="740" w:type="dxa"/>
            <w:vAlign w:val="bottom"/>
          </w:tcPr>
          <w:p>
            <w:pPr>
              <w:jc w:val="right"/>
              <w:spacing w:after="0" w:line="184" w:lineRule="exact"/>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gridSpan w:val="4"/>
            <w:shd w:val="clear" w:color="auto" w:fill="0000EE"/>
          </w:tcPr>
          <w:p>
            <w:pPr>
              <w:spacing w:after="0" w:line="20" w:lineRule="exact"/>
              <w:rPr>
                <w:sz w:val="1"/>
                <w:szCs w:val="1"/>
                <w:color w:val="auto"/>
              </w:rPr>
            </w:pPr>
          </w:p>
        </w:tc>
        <w:tc>
          <w:tcPr>
            <w:tcW w:w="960" w:type="dxa"/>
            <w:vAlign w:val="bottom"/>
            <w:gridSpan w:val="8"/>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3"/>
          </w:tcPr>
          <w:p>
            <w:pPr>
              <w:spacing w:after="0" w:line="184" w:lineRule="exact"/>
              <w:rPr>
                <w:rFonts w:ascii="Arial" w:cs="Arial" w:eastAsia="Arial" w:hAnsi="Arial"/>
                <w:sz w:val="17"/>
                <w:szCs w:val="17"/>
                <w:color w:val="0000EE"/>
              </w:rPr>
            </w:pPr>
            <w:hyperlink w:anchor="page32">
              <w:r>
                <w:rPr>
                  <w:rFonts w:ascii="Arial" w:cs="Arial" w:eastAsia="Arial" w:hAnsi="Arial"/>
                  <w:sz w:val="17"/>
                  <w:szCs w:val="17"/>
                  <w:color w:val="0000EE"/>
                </w:rPr>
                <w:t>Note 14</w:t>
              </w:r>
            </w:hyperlink>
          </w:p>
        </w:tc>
        <w:tc>
          <w:tcPr>
            <w:tcW w:w="7540" w:type="dxa"/>
            <w:vAlign w:val="bottom"/>
            <w:gridSpan w:val="17"/>
          </w:tcPr>
          <w:p>
            <w:pPr>
              <w:spacing w:after="0" w:line="184" w:lineRule="exact"/>
              <w:rPr>
                <w:rFonts w:ascii="Arial" w:cs="Arial" w:eastAsia="Arial" w:hAnsi="Arial"/>
                <w:sz w:val="17"/>
                <w:szCs w:val="17"/>
                <w:color w:val="0000EE"/>
              </w:rPr>
            </w:pPr>
            <w:hyperlink w:anchor="page32">
              <w:r>
                <w:rPr>
                  <w:rFonts w:ascii="Arial" w:cs="Arial" w:eastAsia="Arial" w:hAnsi="Arial"/>
                  <w:sz w:val="17"/>
                  <w:szCs w:val="17"/>
                  <w:color w:val="0000EE"/>
                </w:rPr>
                <w:t>Credit Risk</w:t>
              </w:r>
            </w:hyperlink>
          </w:p>
        </w:tc>
        <w:tc>
          <w:tcPr>
            <w:tcW w:w="740" w:type="dxa"/>
            <w:vAlign w:val="bottom"/>
          </w:tcPr>
          <w:p>
            <w:pPr>
              <w:jc w:val="right"/>
              <w:spacing w:after="0" w:line="184" w:lineRule="exact"/>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3"/>
          </w:tcPr>
          <w:p>
            <w:pPr>
              <w:spacing w:after="0" w:line="184" w:lineRule="exact"/>
              <w:rPr>
                <w:rFonts w:ascii="Arial" w:cs="Arial" w:eastAsia="Arial" w:hAnsi="Arial"/>
                <w:sz w:val="17"/>
                <w:szCs w:val="17"/>
                <w:color w:val="0000EE"/>
              </w:rPr>
            </w:pPr>
            <w:hyperlink w:anchor="page32">
              <w:r>
                <w:rPr>
                  <w:rFonts w:ascii="Arial" w:cs="Arial" w:eastAsia="Arial" w:hAnsi="Arial"/>
                  <w:sz w:val="17"/>
                  <w:szCs w:val="17"/>
                  <w:color w:val="0000EE"/>
                </w:rPr>
                <w:t>Note 15</w:t>
              </w:r>
            </w:hyperlink>
          </w:p>
        </w:tc>
        <w:tc>
          <w:tcPr>
            <w:tcW w:w="7540" w:type="dxa"/>
            <w:vAlign w:val="bottom"/>
            <w:gridSpan w:val="17"/>
          </w:tcPr>
          <w:p>
            <w:pPr>
              <w:spacing w:after="0" w:line="184" w:lineRule="exact"/>
              <w:rPr>
                <w:rFonts w:ascii="Arial" w:cs="Arial" w:eastAsia="Arial" w:hAnsi="Arial"/>
                <w:sz w:val="17"/>
                <w:szCs w:val="17"/>
                <w:color w:val="0000EE"/>
              </w:rPr>
            </w:pPr>
            <w:hyperlink w:anchor="page32">
              <w:r>
                <w:rPr>
                  <w:rFonts w:ascii="Arial" w:cs="Arial" w:eastAsia="Arial" w:hAnsi="Arial"/>
                  <w:sz w:val="17"/>
                  <w:szCs w:val="17"/>
                  <w:color w:val="0000EE"/>
                </w:rPr>
                <w:t>Commitments and Contingencies</w:t>
              </w:r>
            </w:hyperlink>
          </w:p>
        </w:tc>
        <w:tc>
          <w:tcPr>
            <w:tcW w:w="740" w:type="dxa"/>
            <w:vAlign w:val="bottom"/>
          </w:tcPr>
          <w:p>
            <w:pPr>
              <w:jc w:val="right"/>
              <w:spacing w:after="0" w:line="184" w:lineRule="exact"/>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960" w:type="dxa"/>
            <w:vAlign w:val="bottom"/>
            <w:gridSpan w:val="8"/>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3"/>
          </w:tcPr>
          <w:p>
            <w:pPr>
              <w:spacing w:after="0" w:line="184" w:lineRule="exact"/>
              <w:rPr>
                <w:rFonts w:ascii="Arial" w:cs="Arial" w:eastAsia="Arial" w:hAnsi="Arial"/>
                <w:sz w:val="17"/>
                <w:szCs w:val="17"/>
                <w:color w:val="0000EE"/>
              </w:rPr>
            </w:pPr>
            <w:hyperlink w:anchor="page33">
              <w:r>
                <w:rPr>
                  <w:rFonts w:ascii="Arial" w:cs="Arial" w:eastAsia="Arial" w:hAnsi="Arial"/>
                  <w:sz w:val="17"/>
                  <w:szCs w:val="17"/>
                  <w:color w:val="0000EE"/>
                </w:rPr>
                <w:t>Note 16</w:t>
              </w:r>
            </w:hyperlink>
          </w:p>
        </w:tc>
        <w:tc>
          <w:tcPr>
            <w:tcW w:w="7540" w:type="dxa"/>
            <w:vAlign w:val="bottom"/>
            <w:gridSpan w:val="17"/>
          </w:tcPr>
          <w:p>
            <w:pPr>
              <w:spacing w:after="0" w:line="184" w:lineRule="exact"/>
              <w:rPr>
                <w:rFonts w:ascii="Arial" w:cs="Arial" w:eastAsia="Arial" w:hAnsi="Arial"/>
                <w:sz w:val="17"/>
                <w:szCs w:val="17"/>
                <w:color w:val="0000EE"/>
              </w:rPr>
            </w:pPr>
            <w:hyperlink w:anchor="page33">
              <w:r>
                <w:rPr>
                  <w:rFonts w:ascii="Arial" w:cs="Arial" w:eastAsia="Arial" w:hAnsi="Arial"/>
                  <w:sz w:val="17"/>
                  <w:szCs w:val="17"/>
                  <w:color w:val="0000EE"/>
                </w:rPr>
                <w:t>Earnings Per Share</w:t>
              </w:r>
            </w:hyperlink>
          </w:p>
        </w:tc>
        <w:tc>
          <w:tcPr>
            <w:tcW w:w="740" w:type="dxa"/>
            <w:vAlign w:val="bottom"/>
          </w:tcPr>
          <w:p>
            <w:pPr>
              <w:jc w:val="right"/>
              <w:spacing w:after="0" w:line="184"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3"/>
          </w:tcPr>
          <w:p>
            <w:pPr>
              <w:spacing w:after="0" w:line="184" w:lineRule="exact"/>
              <w:rPr>
                <w:rFonts w:ascii="Arial" w:cs="Arial" w:eastAsia="Arial" w:hAnsi="Arial"/>
                <w:sz w:val="17"/>
                <w:szCs w:val="17"/>
                <w:color w:val="0000EE"/>
              </w:rPr>
            </w:pPr>
            <w:hyperlink w:anchor="page34">
              <w:r>
                <w:rPr>
                  <w:rFonts w:ascii="Arial" w:cs="Arial" w:eastAsia="Arial" w:hAnsi="Arial"/>
                  <w:sz w:val="17"/>
                  <w:szCs w:val="17"/>
                  <w:color w:val="0000EE"/>
                </w:rPr>
                <w:t>Note 17</w:t>
              </w:r>
            </w:hyperlink>
          </w:p>
        </w:tc>
        <w:tc>
          <w:tcPr>
            <w:tcW w:w="7540" w:type="dxa"/>
            <w:vAlign w:val="bottom"/>
            <w:gridSpan w:val="17"/>
          </w:tcPr>
          <w:p>
            <w:pPr>
              <w:spacing w:after="0" w:line="184" w:lineRule="exact"/>
              <w:rPr>
                <w:rFonts w:ascii="Arial" w:cs="Arial" w:eastAsia="Arial" w:hAnsi="Arial"/>
                <w:sz w:val="17"/>
                <w:szCs w:val="17"/>
                <w:color w:val="0000EE"/>
              </w:rPr>
            </w:pPr>
            <w:hyperlink w:anchor="page34">
              <w:r>
                <w:rPr>
                  <w:rFonts w:ascii="Arial" w:cs="Arial" w:eastAsia="Arial" w:hAnsi="Arial"/>
                  <w:sz w:val="17"/>
                  <w:szCs w:val="17"/>
                  <w:color w:val="0000EE"/>
                </w:rPr>
                <w:t>Regulatory Capital Requirements</w:t>
              </w:r>
            </w:hyperlink>
          </w:p>
        </w:tc>
        <w:tc>
          <w:tcPr>
            <w:tcW w:w="740" w:type="dxa"/>
            <w:vAlign w:val="bottom"/>
          </w:tcPr>
          <w:p>
            <w:pPr>
              <w:jc w:val="right"/>
              <w:spacing w:after="0" w:line="184"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960" w:type="dxa"/>
            <w:vAlign w:val="bottom"/>
            <w:gridSpan w:val="8"/>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3"/>
          </w:tcPr>
          <w:p>
            <w:pPr>
              <w:spacing w:after="0" w:line="184" w:lineRule="exact"/>
              <w:rPr>
                <w:rFonts w:ascii="Arial" w:cs="Arial" w:eastAsia="Arial" w:hAnsi="Arial"/>
                <w:sz w:val="17"/>
                <w:szCs w:val="17"/>
                <w:color w:val="0000EE"/>
              </w:rPr>
            </w:pPr>
            <w:hyperlink w:anchor="page35">
              <w:r>
                <w:rPr>
                  <w:rFonts w:ascii="Arial" w:cs="Arial" w:eastAsia="Arial" w:hAnsi="Arial"/>
                  <w:sz w:val="17"/>
                  <w:szCs w:val="17"/>
                  <w:color w:val="0000EE"/>
                </w:rPr>
                <w:t>Note 18</w:t>
              </w:r>
            </w:hyperlink>
          </w:p>
        </w:tc>
        <w:tc>
          <w:tcPr>
            <w:tcW w:w="7540" w:type="dxa"/>
            <w:vAlign w:val="bottom"/>
            <w:gridSpan w:val="17"/>
          </w:tcPr>
          <w:p>
            <w:pPr>
              <w:spacing w:after="0" w:line="184" w:lineRule="exact"/>
              <w:rPr>
                <w:rFonts w:ascii="Arial" w:cs="Arial" w:eastAsia="Arial" w:hAnsi="Arial"/>
                <w:sz w:val="17"/>
                <w:szCs w:val="17"/>
                <w:color w:val="0000EE"/>
              </w:rPr>
            </w:pPr>
            <w:hyperlink w:anchor="page35">
              <w:r>
                <w:rPr>
                  <w:rFonts w:ascii="Arial" w:cs="Arial" w:eastAsia="Arial" w:hAnsi="Arial"/>
                  <w:sz w:val="17"/>
                  <w:szCs w:val="17"/>
                  <w:color w:val="0000EE"/>
                </w:rPr>
                <w:t>Business Segment and Geographic Information</w:t>
              </w:r>
            </w:hyperlink>
          </w:p>
        </w:tc>
        <w:tc>
          <w:tcPr>
            <w:tcW w:w="740" w:type="dxa"/>
            <w:vAlign w:val="bottom"/>
          </w:tcPr>
          <w:p>
            <w:pPr>
              <w:jc w:val="right"/>
              <w:spacing w:after="0" w:line="184" w:lineRule="exact"/>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1900" w:type="dxa"/>
            <w:vAlign w:val="bottom"/>
            <w:gridSpan w:val="10"/>
            <w:shd w:val="clear" w:color="auto" w:fill="0000EE"/>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3"/>
          </w:tcPr>
          <w:p>
            <w:pPr>
              <w:spacing w:after="0" w:line="184" w:lineRule="exact"/>
              <w:rPr>
                <w:rFonts w:ascii="Arial" w:cs="Arial" w:eastAsia="Arial" w:hAnsi="Arial"/>
                <w:sz w:val="17"/>
                <w:szCs w:val="17"/>
                <w:color w:val="0000EE"/>
              </w:rPr>
            </w:pPr>
            <w:hyperlink w:anchor="page36">
              <w:r>
                <w:rPr>
                  <w:rFonts w:ascii="Arial" w:cs="Arial" w:eastAsia="Arial" w:hAnsi="Arial"/>
                  <w:sz w:val="17"/>
                  <w:szCs w:val="17"/>
                  <w:color w:val="0000EE"/>
                </w:rPr>
                <w:t>Note 19</w:t>
              </w:r>
            </w:hyperlink>
          </w:p>
        </w:tc>
        <w:tc>
          <w:tcPr>
            <w:tcW w:w="7540" w:type="dxa"/>
            <w:vAlign w:val="bottom"/>
            <w:gridSpan w:val="17"/>
          </w:tcPr>
          <w:p>
            <w:pPr>
              <w:spacing w:after="0" w:line="184" w:lineRule="exact"/>
              <w:rPr>
                <w:rFonts w:ascii="Arial" w:cs="Arial" w:eastAsia="Arial" w:hAnsi="Arial"/>
                <w:sz w:val="17"/>
                <w:szCs w:val="17"/>
                <w:color w:val="0000EE"/>
              </w:rPr>
            </w:pPr>
            <w:hyperlink w:anchor="page36">
              <w:r>
                <w:rPr>
                  <w:rFonts w:ascii="Arial" w:cs="Arial" w:eastAsia="Arial" w:hAnsi="Arial"/>
                  <w:sz w:val="17"/>
                  <w:szCs w:val="17"/>
                  <w:color w:val="0000EE"/>
                </w:rPr>
                <w:t>Subsequent Events</w:t>
              </w:r>
            </w:hyperlink>
          </w:p>
        </w:tc>
        <w:tc>
          <w:tcPr>
            <w:tcW w:w="740" w:type="dxa"/>
            <w:vAlign w:val="bottom"/>
          </w:tcPr>
          <w:p>
            <w:pPr>
              <w:jc w:val="right"/>
              <w:spacing w:after="0" w:line="184" w:lineRule="exact"/>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843"/>
        </w:trPr>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Borders>
              <w:top w:val="single" w:sz="8" w:color="0000EE"/>
            </w:tcBorders>
            <w:gridSpan w:val="6"/>
          </w:tcPr>
          <w:p>
            <w:pPr>
              <w:spacing w:after="0"/>
              <w:rPr>
                <w:sz w:val="24"/>
                <w:szCs w:val="24"/>
                <w:color w:val="auto"/>
              </w:rPr>
            </w:pPr>
          </w:p>
        </w:tc>
        <w:tc>
          <w:tcPr>
            <w:tcW w:w="6240" w:type="dxa"/>
            <w:vAlign w:val="bottom"/>
            <w:gridSpan w:val="11"/>
          </w:tcPr>
          <w:p>
            <w:pPr>
              <w:jc w:val="right"/>
              <w:ind w:right="3700"/>
              <w:spacing w:after="0"/>
              <w:rPr>
                <w:sz w:val="20"/>
                <w:szCs w:val="20"/>
                <w:color w:val="auto"/>
              </w:rPr>
            </w:pPr>
            <w:r>
              <w:rPr>
                <w:rFonts w:ascii="Arial" w:cs="Arial" w:eastAsia="Arial" w:hAnsi="Arial"/>
                <w:sz w:val="17"/>
                <w:szCs w:val="17"/>
                <w:color w:val="auto"/>
              </w:rPr>
              <w:t>13</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7" w:right="1419" w:bottom="1440" w:gutter="0" w:footer="0" w:header="0"/>
        </w:sectPr>
      </w:pPr>
    </w:p>
    <w:bookmarkStart w:id="13" w:name="page14"/>
    <w:bookmarkEnd w:id="13"/>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03" w:lineRule="exact"/>
        <w:rPr>
          <w:sz w:val="20"/>
          <w:szCs w:val="20"/>
          <w:color w:val="auto"/>
        </w:rPr>
      </w:pPr>
    </w:p>
    <w:p>
      <w:pPr>
        <w:jc w:val="center"/>
        <w:ind w:right="-41"/>
        <w:spacing w:after="0"/>
        <w:rPr>
          <w:sz w:val="20"/>
          <w:szCs w:val="20"/>
          <w:color w:val="auto"/>
        </w:rPr>
      </w:pPr>
      <w:r>
        <w:rPr>
          <w:rFonts w:ascii="Arial" w:cs="Arial" w:eastAsia="Arial" w:hAnsi="Arial"/>
          <w:sz w:val="20"/>
          <w:szCs w:val="20"/>
          <w:b w:val="1"/>
          <w:bCs w:val="1"/>
          <w:color w:val="auto"/>
        </w:rPr>
        <w:t>Tradeweb Markets Inc. and Subsidiaries</w:t>
      </w:r>
    </w:p>
    <w:p>
      <w:pPr>
        <w:spacing w:after="0" w:line="20" w:lineRule="exact"/>
        <w:rPr>
          <w:sz w:val="20"/>
          <w:szCs w:val="20"/>
          <w:color w:val="auto"/>
        </w:rPr>
      </w:pPr>
    </w:p>
    <w:p>
      <w:pPr>
        <w:jc w:val="center"/>
        <w:ind w:right="-41"/>
        <w:spacing w:after="0"/>
        <w:rPr>
          <w:sz w:val="20"/>
          <w:szCs w:val="20"/>
          <w:color w:val="auto"/>
        </w:rPr>
      </w:pPr>
      <w:r>
        <w:rPr>
          <w:rFonts w:ascii="Arial" w:cs="Arial" w:eastAsia="Arial" w:hAnsi="Arial"/>
          <w:sz w:val="20"/>
          <w:szCs w:val="20"/>
          <w:b w:val="1"/>
          <w:bCs w:val="1"/>
          <w:color w:val="auto"/>
        </w:rPr>
        <w:t>Notes to Consolidated Financial Statements</w:t>
      </w:r>
    </w:p>
    <w:p>
      <w:pPr>
        <w:jc w:val="center"/>
        <w:ind w:right="-41"/>
        <w:spacing w:after="0"/>
        <w:rPr>
          <w:sz w:val="20"/>
          <w:szCs w:val="20"/>
          <w:color w:val="auto"/>
        </w:rPr>
      </w:pPr>
      <w:r>
        <w:rPr>
          <w:rFonts w:ascii="Arial" w:cs="Arial" w:eastAsia="Arial" w:hAnsi="Arial"/>
          <w:sz w:val="20"/>
          <w:szCs w:val="20"/>
          <w:b w:val="1"/>
          <w:bCs w:val="1"/>
          <w:color w:val="auto"/>
        </w:rPr>
        <w:t>(Unaudited)</w:t>
      </w:r>
    </w:p>
    <w:p>
      <w:pPr>
        <w:spacing w:after="0" w:line="392" w:lineRule="exact"/>
        <w:rPr>
          <w:sz w:val="20"/>
          <w:szCs w:val="20"/>
          <w:color w:val="auto"/>
        </w:rPr>
      </w:pPr>
    </w:p>
    <w:p>
      <w:pPr>
        <w:ind w:left="542" w:hanging="542"/>
        <w:spacing w:after="0"/>
        <w:tabs>
          <w:tab w:leader="none" w:pos="542"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w:t>
      </w:r>
    </w:p>
    <w:p>
      <w:pPr>
        <w:spacing w:after="0" w:line="215" w:lineRule="exact"/>
        <w:rPr>
          <w:sz w:val="20"/>
          <w:szCs w:val="20"/>
          <w:color w:val="auto"/>
        </w:rPr>
      </w:pPr>
    </w:p>
    <w:p>
      <w:pPr>
        <w:ind w:left="2" w:right="300"/>
        <w:spacing w:after="0" w:line="257" w:lineRule="auto"/>
        <w:rPr>
          <w:sz w:val="20"/>
          <w:szCs w:val="20"/>
          <w:color w:val="auto"/>
        </w:rPr>
      </w:pPr>
      <w:r>
        <w:rPr>
          <w:rFonts w:ascii="Arial" w:cs="Arial" w:eastAsia="Arial" w:hAnsi="Arial"/>
          <w:sz w:val="17"/>
          <w:szCs w:val="17"/>
          <w:color w:val="auto"/>
        </w:rPr>
        <w:t>Tradeweb Markets Inc. (the “Corporation”) was incorporated as a Delaware corporation on November 7, 2018 for the purpose of completing certain reorganization transactions in order to carry on the business of Tradeweb Markets LLC (“TWM LLC”) and conducting an initial public offering (“IPO”) as described below under “—Initial Public Offering” and “—Reorganization Transactions.”</w:t>
      </w:r>
    </w:p>
    <w:p>
      <w:pPr>
        <w:spacing w:after="0" w:line="179" w:lineRule="exact"/>
        <w:rPr>
          <w:sz w:val="20"/>
          <w:szCs w:val="20"/>
          <w:color w:val="auto"/>
        </w:rPr>
      </w:pPr>
    </w:p>
    <w:p>
      <w:pPr>
        <w:ind w:left="2" w:right="100"/>
        <w:spacing w:after="0" w:line="312" w:lineRule="auto"/>
        <w:rPr>
          <w:sz w:val="20"/>
          <w:szCs w:val="20"/>
          <w:color w:val="auto"/>
        </w:rPr>
      </w:pPr>
      <w:r>
        <w:rPr>
          <w:rFonts w:ascii="Arial" w:cs="Arial" w:eastAsia="Arial" w:hAnsi="Arial"/>
          <w:sz w:val="15"/>
          <w:szCs w:val="15"/>
          <w:color w:val="auto"/>
        </w:rPr>
        <w:t>The Corporation is a consolidating subsidiary of BCP York Holdings, (“BCP”) a company owned by certain investment funds affiliated with The Blackstone Group L.P. (“Blackstone”), through BCP’s majority ownership interest in Refinitiv Holdings Limited (“Refinitiv” or the “Parent”). As of June 30, 2019, Refinitiv owns a majority ownership interest in the Company (as defined below).</w:t>
      </w:r>
    </w:p>
    <w:p>
      <w:pPr>
        <w:spacing w:after="0" w:line="141" w:lineRule="exact"/>
        <w:rPr>
          <w:sz w:val="20"/>
          <w:szCs w:val="20"/>
          <w:color w:val="auto"/>
        </w:rPr>
      </w:pPr>
    </w:p>
    <w:p>
      <w:pPr>
        <w:ind w:left="2" w:right="20"/>
        <w:spacing w:after="0" w:line="273" w:lineRule="auto"/>
        <w:rPr>
          <w:sz w:val="20"/>
          <w:szCs w:val="20"/>
          <w:color w:val="auto"/>
        </w:rPr>
      </w:pPr>
      <w:r>
        <w:rPr>
          <w:rFonts w:ascii="Arial" w:cs="Arial" w:eastAsia="Arial" w:hAnsi="Arial"/>
          <w:sz w:val="16"/>
          <w:szCs w:val="16"/>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consolidated financial statements. As of June 30, 2019, Tradeweb Markets Inc. owns 64.3% of TWM LLC and the Continuing LLC Owners (defined below) own the remaining 35.7% of TWM LLC.</w:t>
      </w:r>
    </w:p>
    <w:p>
      <w:pPr>
        <w:spacing w:after="0" w:line="168" w:lineRule="exact"/>
        <w:rPr>
          <w:sz w:val="20"/>
          <w:szCs w:val="20"/>
          <w:color w:val="auto"/>
        </w:rPr>
      </w:pPr>
    </w:p>
    <w:p>
      <w:pPr>
        <w:ind w:left="2" w:right="20"/>
        <w:spacing w:after="0" w:line="261" w:lineRule="auto"/>
        <w:rPr>
          <w:sz w:val="20"/>
          <w:szCs w:val="20"/>
          <w:color w:val="auto"/>
        </w:rPr>
      </w:pPr>
      <w:r>
        <w:rPr>
          <w:rFonts w:ascii="Arial" w:cs="Arial" w:eastAsia="Arial" w:hAnsi="Arial"/>
          <w:sz w:val="17"/>
          <w:szCs w:val="17"/>
          <w:color w:val="auto"/>
        </w:rPr>
        <w:t>Unless the context otherwise requires, references to the “Company” refer to Tradeweb Markets Inc. and its consolidated subsidiaries, including TWM LLC, following the completion of the Reorganization Transactions (as defined below), and TWM LLC and its consolidated subsidiaries prior to the completion of the Reorganization Transactions.</w:t>
      </w:r>
    </w:p>
    <w:p>
      <w:pPr>
        <w:spacing w:after="0" w:line="176" w:lineRule="exact"/>
        <w:rPr>
          <w:sz w:val="20"/>
          <w:szCs w:val="20"/>
          <w:color w:val="auto"/>
        </w:rPr>
      </w:pPr>
    </w:p>
    <w:p>
      <w:pPr>
        <w:ind w:left="2" w:right="260"/>
        <w:spacing w:after="0" w:line="273" w:lineRule="auto"/>
        <w:rPr>
          <w:sz w:val="20"/>
          <w:szCs w:val="20"/>
          <w:color w:val="auto"/>
        </w:rPr>
      </w:pPr>
      <w:r>
        <w:rPr>
          <w:rFonts w:ascii="Arial" w:cs="Arial" w:eastAsia="Arial" w:hAnsi="Arial"/>
          <w:sz w:val="17"/>
          <w:szCs w:val="17"/>
          <w:color w:val="auto"/>
        </w:rPr>
        <w:t>The Company is a leader in building and operating electronic marketplaces for a global network of clients across the institutional, wholesale and retail client sectors. The Company’s principal subsidiaries include:</w:t>
      </w:r>
    </w:p>
    <w:p>
      <w:pPr>
        <w:spacing w:after="0" w:line="165" w:lineRule="exact"/>
        <w:rPr>
          <w:sz w:val="20"/>
          <w:szCs w:val="20"/>
          <w:color w:val="auto"/>
        </w:rPr>
      </w:pPr>
    </w:p>
    <w:p>
      <w:pPr>
        <w:ind w:left="602" w:right="100" w:hanging="297"/>
        <w:spacing w:after="0" w:line="285" w:lineRule="auto"/>
        <w:tabs>
          <w:tab w:leader="none" w:pos="602" w:val="left"/>
        </w:tabs>
        <w:numPr>
          <w:ilvl w:val="0"/>
          <w:numId w:val="6"/>
        </w:numPr>
        <w:rPr>
          <w:rFonts w:ascii="Arial" w:cs="Arial" w:eastAsia="Arial" w:hAnsi="Arial"/>
          <w:sz w:val="16"/>
          <w:szCs w:val="16"/>
          <w:color w:val="auto"/>
        </w:rPr>
      </w:pPr>
      <w:r>
        <w:rPr>
          <w:rFonts w:ascii="Arial" w:cs="Arial" w:eastAsia="Arial" w:hAnsi="Arial"/>
          <w:sz w:val="16"/>
          <w:szCs w:val="16"/>
          <w:color w:val="auto"/>
        </w:rPr>
        <w:t>Tradeweb LLC (“TWL”), a registered broker-dealer under the Securities Exchange Act of 1934, a member of the Financial Industry Regulatory Authority (“FINRA”), a registered independent introducing broker with the Commodities Future Trading Commission (“CFTC”) and a member of the National Futures Association (“NFA”).</w:t>
      </w:r>
    </w:p>
    <w:p>
      <w:pPr>
        <w:spacing w:after="0" w:line="158" w:lineRule="exact"/>
        <w:rPr>
          <w:sz w:val="20"/>
          <w:szCs w:val="20"/>
          <w:color w:val="auto"/>
        </w:rPr>
      </w:pPr>
    </w:p>
    <w:p>
      <w:pPr>
        <w:ind w:left="682" w:right="380" w:firstLine="27"/>
        <w:spacing w:after="0" w:line="341" w:lineRule="auto"/>
        <w:rPr>
          <w:sz w:val="20"/>
          <w:szCs w:val="20"/>
          <w:color w:val="auto"/>
        </w:rPr>
      </w:pPr>
      <w:r>
        <w:rPr>
          <w:rFonts w:ascii="Arial" w:cs="Arial" w:eastAsia="Arial" w:hAnsi="Arial"/>
          <w:sz w:val="15"/>
          <w:szCs w:val="15"/>
          <w:color w:val="auto"/>
        </w:rPr>
        <w:t>Tradeweb Europe Limited (“TEL”), a Multilateral Trading Facility regulated by the Financial Conduct Authority (the “FCA”) in the UK, which maintains branches in Asia which are regulated by certain Asian securities regulators.</w:t>
      </w:r>
    </w:p>
    <w:p>
      <w:pPr>
        <w:spacing w:after="0" w:line="120" w:lineRule="exact"/>
        <w:rPr>
          <w:sz w:val="20"/>
          <w:szCs w:val="20"/>
          <w:color w:val="auto"/>
        </w:rPr>
      </w:pPr>
    </w:p>
    <w:p>
      <w:pPr>
        <w:ind w:left="702"/>
        <w:spacing w:after="0"/>
        <w:rPr>
          <w:sz w:val="20"/>
          <w:szCs w:val="20"/>
          <w:color w:val="auto"/>
        </w:rPr>
      </w:pPr>
      <w:r>
        <w:rPr>
          <w:rFonts w:ascii="Arial" w:cs="Arial" w:eastAsia="Arial" w:hAnsi="Arial"/>
          <w:sz w:val="17"/>
          <w:szCs w:val="17"/>
          <w:color w:val="auto"/>
        </w:rPr>
        <w:t>TW SEF LLC (“TW SEF”), a Swap Execution Facility (“SEF”) regulated by the CFTC.</w:t>
      </w:r>
    </w:p>
    <w:p>
      <w:pPr>
        <w:spacing w:after="0" w:line="211" w:lineRule="exact"/>
        <w:rPr>
          <w:sz w:val="20"/>
          <w:szCs w:val="20"/>
          <w:color w:val="auto"/>
        </w:rPr>
      </w:pPr>
    </w:p>
    <w:p>
      <w:pPr>
        <w:ind w:left="702"/>
        <w:spacing w:after="0"/>
        <w:rPr>
          <w:sz w:val="20"/>
          <w:szCs w:val="20"/>
          <w:color w:val="auto"/>
        </w:rPr>
      </w:pPr>
      <w:r>
        <w:rPr>
          <w:rFonts w:ascii="Arial" w:cs="Arial" w:eastAsia="Arial" w:hAnsi="Arial"/>
          <w:sz w:val="17"/>
          <w:szCs w:val="17"/>
          <w:color w:val="auto"/>
        </w:rPr>
        <w:t>DW SEF LLC (“DW SEF”), a SEF regulated by the CFTC.</w:t>
      </w:r>
    </w:p>
    <w:p>
      <w:pPr>
        <w:spacing w:after="0" w:line="211" w:lineRule="exact"/>
        <w:rPr>
          <w:sz w:val="20"/>
          <w:szCs w:val="20"/>
          <w:color w:val="auto"/>
        </w:rPr>
      </w:pPr>
    </w:p>
    <w:p>
      <w:pPr>
        <w:ind w:left="682" w:right="200" w:firstLine="27"/>
        <w:spacing w:after="0" w:line="273" w:lineRule="auto"/>
        <w:rPr>
          <w:sz w:val="20"/>
          <w:szCs w:val="20"/>
          <w:color w:val="auto"/>
        </w:rPr>
      </w:pPr>
      <w:r>
        <w:rPr>
          <w:rFonts w:ascii="Arial" w:cs="Arial" w:eastAsia="Arial" w:hAnsi="Arial"/>
          <w:sz w:val="17"/>
          <w:szCs w:val="17"/>
          <w:color w:val="auto"/>
        </w:rPr>
        <w:t>Tradeweb Japan K.K. (“TWJ”), a security house regulated by the Japanese Financial Services Agency (“JFSA”) and the Japan Securities Dealers Association (“JSDA”).</w:t>
      </w:r>
    </w:p>
    <w:p>
      <w:pPr>
        <w:spacing w:after="0" w:line="165" w:lineRule="exact"/>
        <w:rPr>
          <w:sz w:val="20"/>
          <w:szCs w:val="20"/>
          <w:color w:val="auto"/>
        </w:rPr>
      </w:pPr>
    </w:p>
    <w:p>
      <w:pPr>
        <w:ind w:left="682" w:right="300" w:firstLine="27"/>
        <w:spacing w:after="0" w:line="273" w:lineRule="auto"/>
        <w:rPr>
          <w:sz w:val="20"/>
          <w:szCs w:val="20"/>
          <w:color w:val="auto"/>
        </w:rPr>
      </w:pPr>
      <w:r>
        <w:rPr>
          <w:rFonts w:ascii="Arial" w:cs="Arial" w:eastAsia="Arial" w:hAnsi="Arial"/>
          <w:sz w:val="17"/>
          <w:szCs w:val="17"/>
          <w:color w:val="auto"/>
        </w:rPr>
        <w:t>Tradeweb EU B.V. (“TWEU”), a Trading Venue and Approved Publication Arrangement regulated by the Netherlands Authority for the Financial Markets (“AFM”).</w:t>
      </w:r>
    </w:p>
    <w:p>
      <w:pPr>
        <w:spacing w:after="0" w:line="165" w:lineRule="exact"/>
        <w:rPr>
          <w:sz w:val="20"/>
          <w:szCs w:val="20"/>
          <w:color w:val="auto"/>
        </w:rPr>
      </w:pPr>
    </w:p>
    <w:p>
      <w:pPr>
        <w:ind w:left="2"/>
        <w:spacing w:after="0" w:line="273" w:lineRule="auto"/>
        <w:rPr>
          <w:sz w:val="20"/>
          <w:szCs w:val="20"/>
          <w:color w:val="auto"/>
        </w:rPr>
      </w:pPr>
      <w:r>
        <w:rPr>
          <w:rFonts w:ascii="Arial" w:cs="Arial" w:eastAsia="Arial" w:hAnsi="Arial"/>
          <w:sz w:val="17"/>
          <w:szCs w:val="17"/>
          <w:color w:val="auto"/>
        </w:rPr>
        <w:t>The Company, through its subsidiary Tradeweb IDB Markets Inc. (“TWIDB”) (formerly known as Hydrogen Holdings Corporation), owns Dealerweb Inc. (“DW”) (formerly known as Hilliard Farber &amp; Co., Inc.). DW is a registered broker-</w:t>
      </w:r>
    </w:p>
    <w:p>
      <w:pPr>
        <w:spacing w:after="0" w:line="369" w:lineRule="exact"/>
        <w:rPr>
          <w:sz w:val="20"/>
          <w:szCs w:val="20"/>
          <w:color w:val="auto"/>
        </w:rPr>
      </w:pPr>
    </w:p>
    <w:p>
      <w:pPr>
        <w:jc w:val="center"/>
        <w:ind w:right="-41"/>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335915</wp:posOffset>
            </wp:positionV>
            <wp:extent cx="5753735"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42"/>
          </w:cols>
          <w:pgMar w:left="1418" w:top="127" w:right="1439" w:bottom="1440" w:gutter="0" w:footer="0" w:header="0"/>
        </w:sectPr>
      </w:pPr>
    </w:p>
    <w:bookmarkStart w:id="14" w:name="page15"/>
    <w:bookmarkEnd w:id="1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dealer under the Securities Exchange Act of 1934 and a member of FINRA. DW is also registered as an introducing broker with the CFTC and NFA.</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On April 8, 2019, the Corporation completed its IPO of 46,000,000 shares of Class A common stock at a public offering price of</w:t>
      </w:r>
    </w:p>
    <w:p>
      <w:pPr>
        <w:spacing w:after="0" w:line="31"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$27.00, which includes 6,000,000 shares of Class A common stock issued pursuant to the underwriters’ option to purchase additional shares of Class A common stock. The Corporation received $1,161,270,000 in net proceeds, after deducting underwriting discounts and commissions but before deducting offering expenses, which were used to purchase membership interests of TWM LLC from certain existing equityholders of TWM LLC (and cancelled the corresponding shares of common stock as described below), at a purchase price per interest equal to the public offering price of $27.00, less the underwriting discounts and commissions payable thereon.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Reorganization Transactions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Prior to the closing of the IPO, a series of reorganization transactions (the “Reorganization Transactions”) was completed among the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Corporation, TWM LLC and the following parties:</w:t>
      </w:r>
    </w:p>
    <w:p>
      <w:pPr>
        <w:spacing w:after="0" w:line="200" w:lineRule="exact"/>
        <w:rPr>
          <w:sz w:val="20"/>
          <w:szCs w:val="20"/>
          <w:color w:val="auto"/>
        </w:rPr>
      </w:pPr>
    </w:p>
    <w:p>
      <w:pPr>
        <w:ind w:left="920" w:right="200" w:firstLine="102"/>
        <w:spacing w:after="0" w:line="297" w:lineRule="auto"/>
        <w:rPr>
          <w:sz w:val="20"/>
          <w:szCs w:val="20"/>
          <w:color w:val="auto"/>
        </w:rPr>
      </w:pPr>
      <w:r>
        <w:rPr>
          <w:rFonts w:ascii="Arial" w:cs="Arial" w:eastAsia="Arial" w:hAnsi="Arial"/>
          <w:sz w:val="15"/>
          <w:szCs w:val="15"/>
          <w:color w:val="auto"/>
        </w:rPr>
        <w:t>The Owners of TWM LLC prior to the Reorganization Transactions, including an indirect subsidiary (the “Refinitiv LLC Owner”) of Refinitiv, certain investment and commercial banks (collectively, the “Bank Stockholders”) and members of management, that continued to own LLC Interests (as defined below) immediately prior to the closing of the IPO and who received shares of the Corporation’s Class C common stock, shares of the Corporation’s Class D common stock or a combination of both, as the case may be (collectively, the “Continuing LLC Owners”); and</w:t>
      </w:r>
    </w:p>
    <w:p>
      <w:pPr>
        <w:spacing w:after="0" w:line="153" w:lineRule="exact"/>
        <w:rPr>
          <w:sz w:val="20"/>
          <w:szCs w:val="20"/>
          <w:color w:val="auto"/>
        </w:rPr>
      </w:pPr>
    </w:p>
    <w:p>
      <w:pPr>
        <w:ind w:left="920" w:right="440" w:firstLine="102"/>
        <w:spacing w:after="0" w:line="285" w:lineRule="auto"/>
        <w:rPr>
          <w:sz w:val="20"/>
          <w:szCs w:val="20"/>
          <w:color w:val="auto"/>
        </w:rPr>
      </w:pPr>
      <w:r>
        <w:rPr>
          <w:rFonts w:ascii="Arial" w:cs="Arial" w:eastAsia="Arial" w:hAnsi="Arial"/>
          <w:sz w:val="16"/>
          <w:szCs w:val="16"/>
          <w:color w:val="auto"/>
        </w:rPr>
        <w:t>An indirect subsidiary (the “Refinitiv Direct Owner” and, together with the Refinitiv LLC Owner, the “Refinitiv Owners”) of Refinitiv that owned interests in an entity that held membership interests of TWM LLC prior to the Reorganization Transactions and contributed such entity to the Corporation (the “Refinitiv Contribution”).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Reorganization Transactions occurred:</w:t>
      </w:r>
    </w:p>
    <w:p>
      <w:pPr>
        <w:spacing w:after="0" w:line="211" w:lineRule="exact"/>
        <w:rPr>
          <w:sz w:val="20"/>
          <w:szCs w:val="20"/>
          <w:color w:val="auto"/>
        </w:rPr>
      </w:pPr>
    </w:p>
    <w:p>
      <w:pPr>
        <w:ind w:left="920" w:firstLine="102"/>
        <w:spacing w:after="0" w:line="290" w:lineRule="auto"/>
        <w:rPr>
          <w:sz w:val="20"/>
          <w:szCs w:val="20"/>
          <w:color w:val="auto"/>
        </w:rPr>
      </w:pPr>
      <w:r>
        <w:rPr>
          <w:rFonts w:ascii="Arial" w:cs="Arial" w:eastAsia="Arial" w:hAnsi="Arial"/>
          <w:sz w:val="15"/>
          <w:szCs w:val="15"/>
          <w:color w:val="auto"/>
        </w:rPr>
        <w:t>TWM LLC’s limited liability company agreement (the “TWM LLC Agreement”) was amended and restated to, among other things, (i) provide for a new single class of common membership interests in TWM LLC (“LLC Interests”),</w:t>
      </w:r>
    </w:p>
    <w:p>
      <w:pPr>
        <w:spacing w:after="0" w:line="1" w:lineRule="exact"/>
        <w:rPr>
          <w:sz w:val="20"/>
          <w:szCs w:val="20"/>
          <w:color w:val="auto"/>
        </w:rPr>
      </w:pPr>
    </w:p>
    <w:p>
      <w:pPr>
        <w:ind w:left="1160" w:hanging="247"/>
        <w:spacing w:after="0"/>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exchange all of the existing membership interests of TWM LLC’s existing equityholders for LLC Interests and</w:t>
      </w:r>
    </w:p>
    <w:p>
      <w:pPr>
        <w:spacing w:after="0" w:line="19" w:lineRule="exact"/>
        <w:rPr>
          <w:rFonts w:ascii="Arial" w:cs="Arial" w:eastAsia="Arial" w:hAnsi="Arial"/>
          <w:sz w:val="16"/>
          <w:szCs w:val="16"/>
          <w:color w:val="auto"/>
        </w:rPr>
      </w:pPr>
    </w:p>
    <w:p>
      <w:pPr>
        <w:ind w:left="1200" w:hanging="287"/>
        <w:spacing w:after="0"/>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appoint the Corporation as the sole manager of TWM LLC. See Note 9 – Stockholders’ Equity.</w:t>
      </w:r>
    </w:p>
    <w:p>
      <w:pPr>
        <w:spacing w:after="0" w:line="200" w:lineRule="exact"/>
        <w:rPr>
          <w:sz w:val="20"/>
          <w:szCs w:val="20"/>
          <w:color w:val="auto"/>
        </w:rPr>
      </w:pPr>
    </w:p>
    <w:p>
      <w:pPr>
        <w:ind w:left="920" w:right="40" w:firstLine="102"/>
        <w:spacing w:after="0" w:line="261" w:lineRule="auto"/>
        <w:rPr>
          <w:sz w:val="20"/>
          <w:szCs w:val="20"/>
          <w:color w:val="auto"/>
        </w:rPr>
      </w:pPr>
      <w:r>
        <w:rPr>
          <w:rFonts w:ascii="Arial" w:cs="Arial" w:eastAsia="Arial" w:hAnsi="Arial"/>
          <w:sz w:val="17"/>
          <w:szCs w:val="17"/>
          <w:color w:val="auto"/>
        </w:rPr>
        <w:t>The Corporation’s certificate of incorporation was amended and restated to, among other things, provide for Class A common stock, Class B common stock, Class C common stock and Class D common stock. See Note 9 – Stockholders’ Equity.</w:t>
      </w:r>
    </w:p>
    <w:p>
      <w:pPr>
        <w:spacing w:after="0" w:line="176" w:lineRule="exact"/>
        <w:rPr>
          <w:sz w:val="20"/>
          <w:szCs w:val="20"/>
          <w:color w:val="auto"/>
        </w:rPr>
      </w:pPr>
    </w:p>
    <w:p>
      <w:pPr>
        <w:ind w:left="920" w:hanging="312"/>
        <w:spacing w:after="0" w:line="254" w:lineRule="auto"/>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Corporation issued 20,000,000 shares of Class C common stock and 105,289,005 shares of Class D common stock to the Continuing LLC Owners, on a one-to-one basis with the number of LLC Interests they owned immediately following the amendment and restatement of the TWM LLC Agreement for nominal consideration (and the Corporation canceled 9,993,731 shares of such Class C common stock and 36,006,269 shares of such Class D common stock in connection with the Corporation’s purchase of LLC Interests from certain of the Bank Stockholders using the net proceeds of the IPO).</w:t>
      </w:r>
    </w:p>
    <w:p>
      <w:pPr>
        <w:spacing w:after="0" w:line="182" w:lineRule="exact"/>
        <w:rPr>
          <w:rFonts w:ascii="Arial" w:cs="Arial" w:eastAsia="Arial" w:hAnsi="Arial"/>
          <w:sz w:val="17"/>
          <w:szCs w:val="17"/>
          <w:color w:val="auto"/>
        </w:rPr>
      </w:pPr>
    </w:p>
    <w:p>
      <w:pPr>
        <w:ind w:left="920" w:right="100" w:hanging="312"/>
        <w:spacing w:after="0" w:line="341" w:lineRule="auto"/>
        <w:tabs>
          <w:tab w:leader="none" w:pos="920" w:val="left"/>
        </w:tabs>
        <w:numPr>
          <w:ilvl w:val="0"/>
          <w:numId w:val="8"/>
        </w:numPr>
        <w:rPr>
          <w:rFonts w:ascii="Arial" w:cs="Arial" w:eastAsia="Arial" w:hAnsi="Arial"/>
          <w:sz w:val="15"/>
          <w:szCs w:val="15"/>
          <w:color w:val="auto"/>
        </w:rPr>
      </w:pPr>
      <w:r>
        <w:rPr>
          <w:rFonts w:ascii="Arial" w:cs="Arial" w:eastAsia="Arial" w:hAnsi="Arial"/>
          <w:sz w:val="15"/>
          <w:szCs w:val="15"/>
          <w:color w:val="auto"/>
        </w:rPr>
        <w:t>As a result of the Refinitiv Contribution (described above), the Corporation received 96,933,192 LLC Interests and the Refinitiv Direct Owner received 96,933,192 shares of Class B common stock. See Note 9 – Stockholders’ Equity.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5" w:name="page16"/>
    <w:bookmarkEnd w:id="15"/>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left="922" w:firstLine="102"/>
        <w:spacing w:after="0" w:line="285" w:lineRule="auto"/>
        <w:rPr>
          <w:sz w:val="20"/>
          <w:szCs w:val="20"/>
          <w:color w:val="auto"/>
        </w:rPr>
      </w:pPr>
      <w:r>
        <w:rPr>
          <w:rFonts w:ascii="Arial" w:cs="Arial" w:eastAsia="Arial" w:hAnsi="Arial"/>
          <w:sz w:val="16"/>
          <w:szCs w:val="16"/>
          <w:color w:val="auto"/>
        </w:rPr>
        <w:t>The Corporation’s board of directors adopted a new omnibus equity incentive plan, under which equity awards may be made in respect of shares of the Corporation’s Class A common stock. It also assumed sponsorship of an option plan and PRSU plan formerly sponsored by TWM LLC. See Note 11 – Stock-Based Compensation Plans.</w:t>
      </w:r>
    </w:p>
    <w:p>
      <w:pPr>
        <w:spacing w:after="0" w:line="158" w:lineRule="exact"/>
        <w:rPr>
          <w:sz w:val="20"/>
          <w:szCs w:val="20"/>
          <w:color w:val="auto"/>
        </w:rPr>
      </w:pPr>
    </w:p>
    <w:p>
      <w:pPr>
        <w:ind w:left="922" w:right="120" w:firstLine="102"/>
        <w:spacing w:after="0" w:line="273" w:lineRule="auto"/>
        <w:rPr>
          <w:sz w:val="20"/>
          <w:szCs w:val="20"/>
          <w:color w:val="auto"/>
        </w:rPr>
      </w:pPr>
      <w:r>
        <w:rPr>
          <w:rFonts w:ascii="Arial" w:cs="Arial" w:eastAsia="Arial" w:hAnsi="Arial"/>
          <w:sz w:val="17"/>
          <w:szCs w:val="17"/>
          <w:color w:val="auto"/>
        </w:rPr>
        <w:t>The Corporation entered into a tax receivable agreement (the “Tax Receivable Agreement”) with TWM LLC and the Continuing LLC Owners. See Note 8 – Tax Receivable Agreement.</w:t>
      </w:r>
    </w:p>
    <w:p>
      <w:pPr>
        <w:spacing w:after="0" w:line="165" w:lineRule="exact"/>
        <w:rPr>
          <w:sz w:val="20"/>
          <w:szCs w:val="20"/>
          <w:color w:val="auto"/>
        </w:rPr>
      </w:pPr>
    </w:p>
    <w:p>
      <w:pPr>
        <w:ind w:left="2"/>
        <w:spacing w:after="0"/>
        <w:rPr>
          <w:sz w:val="20"/>
          <w:szCs w:val="20"/>
          <w:color w:val="auto"/>
        </w:rPr>
      </w:pPr>
      <w:r>
        <w:rPr>
          <w:rFonts w:ascii="Arial" w:cs="Arial" w:eastAsia="Arial" w:hAnsi="Arial"/>
          <w:sz w:val="17"/>
          <w:szCs w:val="17"/>
          <w:b w:val="1"/>
          <w:bCs w:val="1"/>
          <w:i w:val="1"/>
          <w:iCs w:val="1"/>
          <w:color w:val="auto"/>
        </w:rPr>
        <w:t>Acquisition of Parent Company and Presentation of Financial Statements</w:t>
      </w:r>
    </w:p>
    <w:p>
      <w:pPr>
        <w:spacing w:after="0" w:line="211" w:lineRule="exact"/>
        <w:rPr>
          <w:sz w:val="20"/>
          <w:szCs w:val="20"/>
          <w:color w:val="auto"/>
        </w:rPr>
      </w:pPr>
    </w:p>
    <w:p>
      <w:pPr>
        <w:ind w:left="2" w:right="20"/>
        <w:spacing w:after="0" w:line="255" w:lineRule="auto"/>
        <w:rPr>
          <w:sz w:val="20"/>
          <w:szCs w:val="20"/>
          <w:color w:val="auto"/>
        </w:rPr>
      </w:pPr>
      <w:r>
        <w:rPr>
          <w:rFonts w:ascii="Arial" w:cs="Arial" w:eastAsia="Arial" w:hAnsi="Arial"/>
          <w:sz w:val="17"/>
          <w:szCs w:val="17"/>
          <w:color w:val="auto"/>
        </w:rPr>
        <w:t>A majority interest of Refinitiv (formerly the Thomson Reuters Financial &amp; Risk Business) was acquired by BCP on October 1, 2018 (the “Refinitiv Transaction”) from Thomson Reuters Corporation (“TR”). The accompanying consolidated financial statements are presented for two periods: predecessor and successor, which relate to the periods preceding and succeeding the Refinitiv Transaction, respectively. The Refinitiv Transaction results in a new basis of accounting beginning on October 1, 2018 and the financial reporting periods are presented as follows:</w:t>
      </w:r>
    </w:p>
    <w:p>
      <w:pPr>
        <w:spacing w:after="0" w:line="182" w:lineRule="exact"/>
        <w:rPr>
          <w:sz w:val="20"/>
          <w:szCs w:val="20"/>
          <w:color w:val="auto"/>
        </w:rPr>
      </w:pPr>
    </w:p>
    <w:p>
      <w:pPr>
        <w:ind w:left="642" w:right="60" w:hanging="299"/>
        <w:spacing w:after="0" w:line="273" w:lineRule="auto"/>
        <w:tabs>
          <w:tab w:leader="none" w:pos="642"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successor period of the Company, reflecting the Refinitiv Transaction, as of June 30, 2019 and December 31, 2018 and for the three and six months ended June 30, 2019.</w:t>
      </w:r>
    </w:p>
    <w:p>
      <w:pPr>
        <w:spacing w:after="0" w:line="165" w:lineRule="exact"/>
        <w:rPr>
          <w:rFonts w:ascii="Arial" w:cs="Arial" w:eastAsia="Arial" w:hAnsi="Arial"/>
          <w:sz w:val="17"/>
          <w:szCs w:val="17"/>
          <w:color w:val="auto"/>
        </w:rPr>
      </w:pPr>
    </w:p>
    <w:p>
      <w:pPr>
        <w:ind w:left="642" w:hanging="299"/>
        <w:spacing w:after="0"/>
        <w:tabs>
          <w:tab w:leader="none" w:pos="642"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predecessor period of the Company for the three and six months ended June 30, 2018.</w:t>
      </w:r>
    </w:p>
    <w:p>
      <w:pPr>
        <w:spacing w:after="0" w:line="211" w:lineRule="exact"/>
        <w:rPr>
          <w:sz w:val="20"/>
          <w:szCs w:val="20"/>
          <w:color w:val="auto"/>
        </w:rPr>
      </w:pPr>
    </w:p>
    <w:p>
      <w:pPr>
        <w:ind w:left="2"/>
        <w:spacing w:after="0"/>
        <w:rPr>
          <w:sz w:val="20"/>
          <w:szCs w:val="20"/>
          <w:color w:val="auto"/>
        </w:rPr>
      </w:pPr>
      <w:r>
        <w:rPr>
          <w:rFonts w:ascii="Arial" w:cs="Arial" w:eastAsia="Arial" w:hAnsi="Arial"/>
          <w:sz w:val="17"/>
          <w:szCs w:val="17"/>
          <w:color w:val="auto"/>
        </w:rPr>
        <w:t>See Note 3 – Pushdown Accounting.</w:t>
      </w:r>
    </w:p>
    <w:p>
      <w:pPr>
        <w:spacing w:after="0" w:line="220" w:lineRule="exact"/>
        <w:rPr>
          <w:sz w:val="20"/>
          <w:szCs w:val="20"/>
          <w:color w:val="auto"/>
        </w:rPr>
      </w:pPr>
    </w:p>
    <w:p>
      <w:pPr>
        <w:ind w:left="542" w:hanging="542"/>
        <w:spacing w:after="0"/>
        <w:tabs>
          <w:tab w:leader="none" w:pos="542"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w:t>
      </w:r>
    </w:p>
    <w:p>
      <w:pPr>
        <w:spacing w:after="0" w:line="215" w:lineRule="exact"/>
        <w:rPr>
          <w:sz w:val="20"/>
          <w:szCs w:val="20"/>
          <w:color w:val="auto"/>
        </w:rPr>
      </w:pPr>
    </w:p>
    <w:p>
      <w:pPr>
        <w:ind w:left="2"/>
        <w:spacing w:after="0"/>
        <w:rPr>
          <w:sz w:val="20"/>
          <w:szCs w:val="20"/>
          <w:color w:val="auto"/>
        </w:rPr>
      </w:pPr>
      <w:r>
        <w:rPr>
          <w:rFonts w:ascii="Arial" w:cs="Arial" w:eastAsia="Arial" w:hAnsi="Arial"/>
          <w:sz w:val="17"/>
          <w:szCs w:val="17"/>
          <w:color w:val="auto"/>
        </w:rPr>
        <w:t>The following is a summary of significant accounting policies:</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Basis of Accounting</w:t>
      </w:r>
    </w:p>
    <w:p>
      <w:pPr>
        <w:spacing w:after="0" w:line="215" w:lineRule="exact"/>
        <w:rPr>
          <w:sz w:val="20"/>
          <w:szCs w:val="20"/>
          <w:color w:val="auto"/>
        </w:rPr>
      </w:pPr>
    </w:p>
    <w:p>
      <w:pPr>
        <w:ind w:left="2" w:right="60"/>
        <w:spacing w:after="0" w:line="257" w:lineRule="auto"/>
        <w:rPr>
          <w:sz w:val="20"/>
          <w:szCs w:val="20"/>
          <w:color w:val="auto"/>
        </w:rPr>
      </w:pPr>
      <w:r>
        <w:rPr>
          <w:rFonts w:ascii="Arial" w:cs="Arial" w:eastAsia="Arial" w:hAnsi="Arial"/>
          <w:sz w:val="17"/>
          <w:szCs w:val="17"/>
          <w:color w:val="auto"/>
        </w:rPr>
        <w:t>The consolidated financial statements have been presented in conformity with accounting principles generally accepted in the United States of America. All adjustments, which are, in the opinion of management, necessary to a fair statement of the results for the interim periods presented, are normal and recurring in nature. Operating results for interim periods are not necessarily indicative of the results that may be expected for the full year.</w:t>
      </w:r>
    </w:p>
    <w:p>
      <w:pPr>
        <w:spacing w:after="0" w:line="175"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Use of Estimates</w:t>
      </w:r>
    </w:p>
    <w:p>
      <w:pPr>
        <w:spacing w:after="0" w:line="215" w:lineRule="exact"/>
        <w:rPr>
          <w:sz w:val="20"/>
          <w:szCs w:val="20"/>
          <w:color w:val="auto"/>
        </w:rPr>
      </w:pPr>
    </w:p>
    <w:p>
      <w:pPr>
        <w:ind w:left="2" w:right="120"/>
        <w:spacing w:after="0" w:line="255"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 and the difference may be material to the consolidated financial statements.</w:t>
      </w:r>
    </w:p>
    <w:p>
      <w:pPr>
        <w:spacing w:after="0" w:line="178"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Basis of Presentation and Consolidation</w:t>
      </w:r>
    </w:p>
    <w:p>
      <w:pPr>
        <w:spacing w:after="0" w:line="215" w:lineRule="exact"/>
        <w:rPr>
          <w:sz w:val="20"/>
          <w:szCs w:val="20"/>
          <w:color w:val="auto"/>
        </w:rPr>
      </w:pPr>
    </w:p>
    <w:p>
      <w:pPr>
        <w:ind w:left="2" w:right="200"/>
        <w:spacing w:after="0" w:line="273" w:lineRule="auto"/>
        <w:rPr>
          <w:sz w:val="20"/>
          <w:szCs w:val="20"/>
          <w:color w:val="auto"/>
        </w:rPr>
      </w:pPr>
      <w:r>
        <w:rPr>
          <w:rFonts w:ascii="Arial" w:cs="Arial" w:eastAsia="Arial" w:hAnsi="Arial"/>
          <w:sz w:val="17"/>
          <w:szCs w:val="17"/>
          <w:color w:val="auto"/>
        </w:rPr>
        <w:t>The consolidated financial statements include the accounts of the Company and its subsidiaries. All intercompany transactions and balances have been eliminated in consolidation.</w:t>
      </w:r>
    </w:p>
    <w:p>
      <w:pPr>
        <w:spacing w:after="0" w:line="165" w:lineRule="exact"/>
        <w:rPr>
          <w:sz w:val="20"/>
          <w:szCs w:val="20"/>
          <w:color w:val="auto"/>
        </w:rPr>
      </w:pPr>
    </w:p>
    <w:p>
      <w:pPr>
        <w:ind w:left="2" w:right="120"/>
        <w:spacing w:after="0" w:line="273" w:lineRule="auto"/>
        <w:rPr>
          <w:sz w:val="20"/>
          <w:szCs w:val="20"/>
          <w:color w:val="auto"/>
        </w:rPr>
      </w:pPr>
      <w:r>
        <w:rPr>
          <w:rFonts w:ascii="Arial" w:cs="Arial" w:eastAsia="Arial" w:hAnsi="Arial"/>
          <w:sz w:val="16"/>
          <w:szCs w:val="16"/>
          <w:color w:val="auto"/>
        </w:rPr>
        <w:t>As discussed in Note 1—Organization, as a result of the Reorganization Transactions, Tradeweb Markets Inc. consolidates TWM LLC and TWM LLC is considered to be the predecessor to Tradeweb Markets Inc. for financial reporting purposes. As a result, the consolidated financial statements for periods prior to the Reorganization Transactions have been adjusted to combine the previously separate entities for presentation purposes. However, Tradeweb Markets Inc. had no business transactions or activities and no substantial assets or liabilities prior to the Reorganization Transactions. As such, for periods prior to the completion of the Reorganization Transactions, the consolidated financial statements represent the historical</w:t>
      </w:r>
    </w:p>
    <w:p>
      <w:pPr>
        <w:spacing w:after="0" w:line="371"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335915</wp:posOffset>
            </wp:positionV>
            <wp:extent cx="5753735"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2"/>
          </w:cols>
          <w:pgMar w:left="1418" w:top="127" w:right="1419" w:bottom="1440" w:gutter="0" w:footer="0" w:header="0"/>
        </w:sectPr>
      </w:pPr>
    </w:p>
    <w:bookmarkStart w:id="16" w:name="page17"/>
    <w:bookmarkEnd w:id="1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financial condition and results of operations of TWM LLC and its subsidiaries. For periods after the completion of the Reorganization Transactions, the consolidated financial statements represent the financial condition and results of operations of the Company and report a non-controlling interest related to the LLC Interests held by the Continuing LLC Owners.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215" w:lineRule="exact"/>
        <w:rPr>
          <w:sz w:val="20"/>
          <w:szCs w:val="20"/>
          <w:color w:val="auto"/>
        </w:rPr>
      </w:pPr>
    </w:p>
    <w:p>
      <w:pPr>
        <w:ind w:right="520"/>
        <w:spacing w:after="0" w:line="273" w:lineRule="auto"/>
        <w:rPr>
          <w:sz w:val="20"/>
          <w:szCs w:val="20"/>
          <w:color w:val="auto"/>
        </w:rPr>
      </w:pPr>
      <w:r>
        <w:rPr>
          <w:rFonts w:ascii="Arial" w:cs="Arial" w:eastAsia="Arial" w:hAnsi="Arial"/>
          <w:sz w:val="17"/>
          <w:szCs w:val="17"/>
          <w:color w:val="auto"/>
        </w:rPr>
        <w:t>Cash and cash equivalents consists of cash and highly liquid investments (such as short-term money market instruments) with original maturities of less than three months.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Allowance for Doubtful Accounts</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Company continually monitors collections and payments from its clients and maintains an allowance for doubtful accounts. The allowance for doubtful accounts is based upon the historical collection experience and specific collection issues that have been identified. Additions, if any, to the allowance for doubtful accounts are charged to bad debt expense, which is included in general and administrative expenses on the consolidated statements of income.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Furniture, Equipment, Purchased Software and Leasehold Improvements</w:t>
      </w:r>
    </w:p>
    <w:p>
      <w:pPr>
        <w:spacing w:after="0" w:line="215"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Furniture, equipment, purchased software and leasehold improvements are carried at cost less accumulated depreciation. Depreciation for furniture, equipment and purchased software, including the allocated fair value of assets as a result of pushdown accounting (see Note 3 – Pushdown Accounting),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66" w:lineRule="exact"/>
        <w:rPr>
          <w:sz w:val="20"/>
          <w:szCs w:val="20"/>
          <w:color w:val="auto"/>
        </w:rPr>
      </w:pPr>
    </w:p>
    <w:p>
      <w:pPr>
        <w:ind w:right="360"/>
        <w:spacing w:after="0" w:line="261" w:lineRule="auto"/>
        <w:rPr>
          <w:sz w:val="20"/>
          <w:szCs w:val="20"/>
          <w:color w:val="auto"/>
        </w:rPr>
      </w:pPr>
      <w:r>
        <w:rPr>
          <w:rFonts w:ascii="Arial" w:cs="Arial" w:eastAsia="Arial" w:hAnsi="Arial"/>
          <w:sz w:val="17"/>
          <w:szCs w:val="17"/>
          <w:color w:val="auto"/>
        </w:rPr>
        <w:t>Furniture, equipment, purchased software and leasehold improvements are tested for impairment whenever events or changes in circumstances suggest that an asset’s carrying value may not be fully recoverable in accordance with Accounting Standards Codification (“ASC”) 360.</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Software Development Costs</w:t>
      </w:r>
    </w:p>
    <w:p>
      <w:pPr>
        <w:spacing w:after="0" w:line="215"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The Company capitalizes costs associated with the development of internal use software at the point at which the conceptual formulation, design and testing of possible software project alternatives have been completed, in accordance with ASC 350. The Company capitalizes employee compensation and related benefits and third party consulting costs incurred during the application development stage which directly contribute to such development. Such costs are amortized on a straight-line basis over three years. Costs capitalized as part of the pushdown accounting allocation (see Note 3 – Pushdown Accounting)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w:t>
      </w:r>
    </w:p>
    <w:p>
      <w:pPr>
        <w:spacing w:after="0" w:line="215" w:lineRule="exact"/>
        <w:rPr>
          <w:sz w:val="20"/>
          <w:szCs w:val="20"/>
          <w:color w:val="auto"/>
        </w:rPr>
      </w:pPr>
    </w:p>
    <w:p>
      <w:pPr>
        <w:ind w:right="200"/>
        <w:spacing w:after="0" w:line="297" w:lineRule="auto"/>
        <w:rPr>
          <w:sz w:val="20"/>
          <w:szCs w:val="20"/>
          <w:color w:val="auto"/>
        </w:rPr>
      </w:pPr>
      <w:r>
        <w:rPr>
          <w:rFonts w:ascii="Arial" w:cs="Arial" w:eastAsia="Arial" w:hAnsi="Arial"/>
          <w:sz w:val="15"/>
          <w:szCs w:val="15"/>
          <w:color w:val="auto"/>
        </w:rPr>
        <w:t>Intangible assets with a finite life are amortized over the estimated lives, ranging from seven to sixteen years, in accordance with ASC 350. Intangible assets subject to amortization are tested for impairment whenever events or changes in circumstances suggest that an asset's or asset group's carrying value may not be fully recoverable in accordance with ASC 360.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215" w:lineRule="exact"/>
        <w:rPr>
          <w:sz w:val="20"/>
          <w:szCs w:val="20"/>
          <w:color w:val="auto"/>
        </w:rPr>
      </w:pPr>
    </w:p>
    <w:p>
      <w:pPr>
        <w:ind w:right="200"/>
        <w:spacing w:after="0" w:line="305" w:lineRule="auto"/>
        <w:rPr>
          <w:sz w:val="20"/>
          <w:szCs w:val="20"/>
          <w:color w:val="auto"/>
        </w:rPr>
      </w:pPr>
      <w:r>
        <w:rPr>
          <w:rFonts w:ascii="Arial" w:cs="Arial" w:eastAsia="Arial" w:hAnsi="Arial"/>
          <w:sz w:val="16"/>
          <w:szCs w:val="16"/>
          <w:color w:val="auto"/>
        </w:rPr>
        <w:t>Goodwill is the excess of the fair value of the Company above the fair value accounting basis of the net assets and liabilities of the Company under pushdown accounting. Goodwill is also the cost of acquired companies in excess of the</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17" w:name="page18"/>
    <w:bookmarkEnd w:id="1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fair value of identifiable net assets at the acquisition date. Goodwill is not amortized, but in accordance with ASC 350, goodwill is tested for impairment annually and between annual tests whenever events or changes in circumstances indicate that the carrying amount may not be fully recoverable. In 2019, the Company changed the annual date on which goodwill is tested for impairment from July 1</w:t>
      </w:r>
      <w:r>
        <w:rPr>
          <w:rFonts w:ascii="Arial" w:cs="Arial" w:eastAsia="Arial" w:hAnsi="Arial"/>
          <w:sz w:val="8"/>
          <w:szCs w:val="8"/>
          <w:color w:val="auto"/>
        </w:rPr>
        <w:t>st</w:t>
      </w:r>
      <w:r>
        <w:rPr>
          <w:rFonts w:ascii="Arial" w:cs="Arial" w:eastAsia="Arial" w:hAnsi="Arial"/>
          <w:sz w:val="16"/>
          <w:szCs w:val="16"/>
          <w:color w:val="auto"/>
        </w:rPr>
        <w:t xml:space="preserve"> to October 1</w:t>
      </w:r>
      <w:r>
        <w:rPr>
          <w:rFonts w:ascii="Arial" w:cs="Arial" w:eastAsia="Arial" w:hAnsi="Arial"/>
          <w:sz w:val="8"/>
          <w:szCs w:val="8"/>
          <w:color w:val="auto"/>
        </w:rPr>
        <w:t>st</w:t>
      </w:r>
      <w:r>
        <w:rPr>
          <w:rFonts w:ascii="Arial" w:cs="Arial" w:eastAsia="Arial" w:hAnsi="Arial"/>
          <w:sz w:val="16"/>
          <w:szCs w:val="16"/>
          <w:color w:val="auto"/>
        </w:rPr>
        <w:t xml:space="preserve"> to align with the annual impairment testing date of the Company’s Parent. This change did not accelerate, delay, avoid or cause an impairment charge, nor did this change result in adjustments to any previously issued financial statements. Goodwill is tested at the reporting unit level, which is defined as an operating segment or one level below the operating segment. An impairment loss is recognized if the estimated fair value of a reporting unit is less than its net book value. Such loss is calculated as the difference between the estimated fair value of goodwill and its carrying value.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IPO Costs</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2018 the Company began incurring costs in connection with the filing of a Registration Statement on Form S-1, which are deferred in other assets in accordance with ASC 505-10-25 in the consolidated statements of financial condition. IPO costs consist of legal, accounting, and other costs directly related to the Company’s efforts to raise capital through an IPO. As of June 30, 2019, $15.9 million of deferred costs were reclassified from other assets to additional paid-in capital on the consolidated statements of financial condition. See Note 9 – Stockholders’ Equity.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Translation of Foreign Currency</w:t>
      </w:r>
    </w:p>
    <w:p>
      <w:pPr>
        <w:spacing w:after="0" w:line="215"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Revenues and expenses denominated in foreign currencies are translated at the rate of exchange prevailing at the transaction date. Assets and liabilities denominated in foreign currencies are translated at the rate prevailing at the consolidated statements of financial condition date. Foreign currency re-measurement gains or losses on transactions in nonfunctional currencies are recognized in the consolidated statements of income. Gains or losses on translation in the financial statements of a non-U.S. operation, when the functional currency is other than the U.S. dollar, are included as a component of comprehensive income.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w:t>
      </w:r>
    </w:p>
    <w:p>
      <w:pPr>
        <w:spacing w:after="0" w:line="215" w:lineRule="exact"/>
        <w:rPr>
          <w:sz w:val="20"/>
          <w:szCs w:val="20"/>
          <w:color w:val="auto"/>
        </w:rPr>
      </w:pPr>
    </w:p>
    <w:p>
      <w:pPr>
        <w:ind w:right="60"/>
        <w:spacing w:after="0" w:line="292" w:lineRule="auto"/>
        <w:rPr>
          <w:sz w:val="20"/>
          <w:szCs w:val="20"/>
          <w:color w:val="auto"/>
        </w:rPr>
      </w:pPr>
      <w:r>
        <w:rPr>
          <w:rFonts w:ascii="Arial" w:cs="Arial" w:eastAsia="Arial" w:hAnsi="Arial"/>
          <w:sz w:val="15"/>
          <w:szCs w:val="15"/>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on a pro rata basis.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5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222222"/>
        </w:rPr>
        <w:t xml:space="preserve">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Based on the weight of the positive and negative evidence considered, management believes that it is more likely than not that the Company will be able to realize its deferred tax assets in the future, </w:t>
      </w:r>
      <w:r>
        <w:rPr>
          <w:rFonts w:ascii="Arial" w:cs="Arial" w:eastAsia="Arial" w:hAnsi="Arial"/>
          <w:sz w:val="16"/>
          <w:szCs w:val="16"/>
          <w:color w:val="000000"/>
        </w:rPr>
        <w:t>therefore, no valuation allowance is necessary.</w:t>
      </w:r>
    </w:p>
    <w:p>
      <w:pPr>
        <w:spacing w:after="0" w:line="166" w:lineRule="exact"/>
        <w:rPr>
          <w:sz w:val="20"/>
          <w:szCs w:val="20"/>
          <w:color w:val="auto"/>
        </w:rPr>
      </w:pPr>
    </w:p>
    <w:p>
      <w:pPr>
        <w:ind w:right="120"/>
        <w:spacing w:after="0" w:line="302" w:lineRule="auto"/>
        <w:rPr>
          <w:sz w:val="20"/>
          <w:szCs w:val="20"/>
          <w:color w:val="auto"/>
        </w:rPr>
      </w:pPr>
      <w:r>
        <w:rPr>
          <w:rFonts w:ascii="Arial" w:cs="Arial" w:eastAsia="Arial" w:hAnsi="Arial"/>
          <w:sz w:val="15"/>
          <w:szCs w:val="15"/>
          <w:color w:val="auto"/>
        </w:rPr>
        <w:t>The Company records uncertain tax positions in accordance with ASC 740 on the basis of a two-step process whereby (1) the Company determines whether it is more likely than not that the tax positions will be sustained on the basis of the technical merits of the position and (2) for those tax positions that meet the more-likely-than-not recognition threshold, the Company recognizes the amount of tax benefit that is more than 50 percent likely to be realized upon ultimate settlement with the related tax authority.</w:t>
      </w:r>
    </w:p>
    <w:p>
      <w:pPr>
        <w:spacing w:after="0" w:line="148"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8" w:name="page19"/>
    <w:bookmarkEnd w:id="1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has elected to treat taxes due on future U.S. inclusions in taxable income under the global intangible low-taxed income (“GILTI”) provision of the Tax Cuts and Jobs Act as a current period expense when incurred.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215" w:lineRule="exact"/>
        <w:rPr>
          <w:sz w:val="20"/>
          <w:szCs w:val="20"/>
          <w:color w:val="auto"/>
        </w:rPr>
      </w:pPr>
    </w:p>
    <w:p>
      <w:pPr>
        <w:ind w:right="180"/>
        <w:spacing w:after="0" w:line="302" w:lineRule="auto"/>
        <w:rPr>
          <w:sz w:val="20"/>
          <w:szCs w:val="20"/>
          <w:color w:val="auto"/>
        </w:rPr>
      </w:pPr>
      <w:r>
        <w:rPr>
          <w:rFonts w:ascii="Arial" w:cs="Arial" w:eastAsia="Arial" w:hAnsi="Arial"/>
          <w:sz w:val="15"/>
          <w:szCs w:val="15"/>
          <w:color w:val="auto"/>
        </w:rPr>
        <w:t>The Company earns transaction fees from transactions executed on the Company’s trading platforms through various fee plans. Transaction fees are generated both on a variable and fixed price basis and vary by geographic region, product type and trade size. For variable transaction fees, the Company charges clients fees based on the mix of products traded and the volume of transactions executed. Transaction fee revenue is recorded at a point in time when the trade occurs and is generally billed monthly.</w:t>
      </w:r>
    </w:p>
    <w:p>
      <w:pPr>
        <w:spacing w:after="0" w:line="148"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The Company earns subscription fees from granting access to institutional investors to the Company's electronic marketplaces. Subscription fees are recognized into income in the period that access is provided on a monthly basis. Also included in subscription fees are viewer fees earned monthly from institutional investors accessing fixed income market data. The frequency of subscription fee billings varies from monthly to annually, depending on contract terms. Fees received by the Company which are not yet earned are included in deferred revenue on the consolidated statements of financial condition until the revenue recognition criteria has been met.</w:t>
      </w:r>
    </w:p>
    <w:p>
      <w:pPr>
        <w:spacing w:after="0" w:line="182"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Securities transactions and related commission income for brokerage transactions are recorded on a trade-date basis. This income is recognized by the Company when the transactions settle. Commission revenue is collected by the Company when the trade settles or is billed monthly.</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Company earns fees from Refinitiv, formerly TR in the predecessor periods, relating to the sale of market data to Refinitiv, which redistributes that data. Included in these fees, which are billed quarterly, are real-time market data fees which are recognized in the period that the data is provided, generally on a monthly basis and historical data sets which are recognized when the historical data set is provided to Refinitiv.</w:t>
      </w:r>
    </w:p>
    <w:p>
      <w:pPr>
        <w:spacing w:after="0" w:line="17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On January 1, 2018, the Company adopted ASU 2014-09, Revenue from Contracts with Customers, using the modified retrospective approach. The adoption of ASU 2014-09 did not have a material impact on the measurement or recognition of revenue in any prior reporting periods. However, subsequent to the adoption, the Company was required to make significant judgements for the Refinitiv market data fees. Significant judgements used in accounting for this contract include:</w:t>
      </w:r>
    </w:p>
    <w:p>
      <w:pPr>
        <w:spacing w:after="0" w:line="164" w:lineRule="exact"/>
        <w:rPr>
          <w:sz w:val="20"/>
          <w:szCs w:val="20"/>
          <w:color w:val="auto"/>
        </w:rPr>
      </w:pPr>
    </w:p>
    <w:p>
      <w:pPr>
        <w:ind w:left="600" w:hanging="297"/>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provision of real-time market data feeds and annual historical data sets are distinct performance obligations.</w:t>
      </w:r>
    </w:p>
    <w:p>
      <w:pPr>
        <w:spacing w:after="0" w:line="222" w:lineRule="exact"/>
        <w:rPr>
          <w:rFonts w:ascii="Arial" w:cs="Arial" w:eastAsia="Arial" w:hAnsi="Arial"/>
          <w:sz w:val="16"/>
          <w:szCs w:val="16"/>
          <w:color w:val="auto"/>
        </w:rPr>
      </w:pPr>
    </w:p>
    <w:p>
      <w:pPr>
        <w:ind w:left="600" w:right="100" w:hanging="297"/>
        <w:spacing w:after="0" w:line="273" w:lineRule="auto"/>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performance obligations under this contract are recognized over time from the initial delivery of the data feeds or each historical data set until the end of the contract term.</w:t>
      </w:r>
    </w:p>
    <w:p>
      <w:pPr>
        <w:spacing w:after="0" w:line="165" w:lineRule="exact"/>
        <w:rPr>
          <w:rFonts w:ascii="Arial" w:cs="Arial" w:eastAsia="Arial" w:hAnsi="Arial"/>
          <w:sz w:val="17"/>
          <w:szCs w:val="17"/>
          <w:color w:val="auto"/>
        </w:rPr>
      </w:pPr>
    </w:p>
    <w:p>
      <w:pPr>
        <w:ind w:left="600" w:right="380" w:hanging="297"/>
        <w:spacing w:after="0" w:line="261" w:lineRule="auto"/>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Determining the transaction price for the performance obligations by using a market assessment analysis. Inputs in this analysis include a consultant study which determined the overall value of the Company's market data and pricing information for historical data sets provided by other companies.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19" w:name="page20"/>
    <w:bookmarkEnd w:id="1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jc w:val="both"/>
        <w:ind w:right="140"/>
        <w:spacing w:after="0" w:line="261" w:lineRule="auto"/>
        <w:rPr>
          <w:sz w:val="20"/>
          <w:szCs w:val="20"/>
          <w:color w:val="auto"/>
        </w:rPr>
      </w:pPr>
      <w:r>
        <w:rPr>
          <w:rFonts w:ascii="Arial" w:cs="Arial" w:eastAsia="Arial" w:hAnsi="Arial"/>
          <w:sz w:val="17"/>
          <w:szCs w:val="17"/>
          <w:color w:val="auto"/>
        </w:rPr>
        <w:t>Some revenues earned by the Company have fixed fee components, such as monthly minimums or fixed monthly fees, and variable components, such as transaction based fees. The breakdown of revenues between fixed and variable revenues, in thousands, for the three and six months ended June 30, 2019 and 2018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3"/>
            <w:vMerge w:val="restart"/>
          </w:tcPr>
          <w:p>
            <w:pPr>
              <w:jc w:val="center"/>
              <w:ind w:right="28"/>
              <w:spacing w:after="0"/>
              <w:rPr>
                <w:sz w:val="20"/>
                <w:szCs w:val="20"/>
                <w:color w:val="auto"/>
              </w:rPr>
            </w:pPr>
            <w:r>
              <w:rPr>
                <w:rFonts w:ascii="Arial" w:cs="Arial" w:eastAsia="Arial" w:hAnsi="Arial"/>
                <w:sz w:val="14"/>
                <w:szCs w:val="14"/>
                <w:b w:val="1"/>
                <w:bCs w:val="1"/>
                <w:color w:val="auto"/>
                <w:w w:val="79"/>
              </w:rPr>
              <w:t>Successor</w:t>
            </w:r>
          </w:p>
        </w:tc>
        <w:tc>
          <w:tcPr>
            <w:tcW w:w="140" w:type="dxa"/>
            <w:vAlign w:val="bottom"/>
          </w:tcPr>
          <w:p>
            <w:pPr>
              <w:spacing w:after="0" w:line="20" w:lineRule="exact"/>
              <w:rPr>
                <w:sz w:val="1"/>
                <w:szCs w:val="1"/>
                <w:color w:val="auto"/>
              </w:rPr>
            </w:pPr>
          </w:p>
        </w:tc>
        <w:tc>
          <w:tcPr>
            <w:tcW w:w="166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79"/>
              </w:rPr>
              <w:t>Successor</w:t>
            </w:r>
          </w:p>
        </w:tc>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100" w:type="dxa"/>
            <w:vAlign w:val="bottom"/>
          </w:tcPr>
          <w:p>
            <w:pPr>
              <w:spacing w:after="0" w:line="20" w:lineRule="exact"/>
              <w:rPr>
                <w:sz w:val="1"/>
                <w:szCs w:val="1"/>
                <w:color w:val="auto"/>
              </w:rPr>
            </w:pPr>
          </w:p>
        </w:tc>
        <w:tc>
          <w:tcPr>
            <w:tcW w:w="15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line="20" w:lineRule="exact"/>
              <w:rPr>
                <w:sz w:val="1"/>
                <w:szCs w:val="1"/>
                <w:color w:val="auto"/>
              </w:rPr>
            </w:pPr>
          </w:p>
        </w:tc>
      </w:tr>
      <w:tr>
        <w:trPr>
          <w:trHeight w:val="140"/>
        </w:trPr>
        <w:tc>
          <w:tcPr>
            <w:tcW w:w="2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380" w:type="dxa"/>
            <w:vAlign w:val="bottom"/>
            <w:tcBorders>
              <w:top w:val="single" w:sz="8" w:color="auto"/>
            </w:tcBorders>
            <w:gridSpan w:val="3"/>
          </w:tcPr>
          <w:p>
            <w:pPr>
              <w:jc w:val="center"/>
              <w:ind w:right="28"/>
              <w:spacing w:after="0" w:line="113" w:lineRule="exact"/>
              <w:rPr>
                <w:sz w:val="20"/>
                <w:szCs w:val="20"/>
                <w:color w:val="auto"/>
              </w:rPr>
            </w:pPr>
            <w:r>
              <w:rPr>
                <w:rFonts w:ascii="Arial" w:cs="Arial" w:eastAsia="Arial" w:hAnsi="Arial"/>
                <w:sz w:val="12"/>
                <w:szCs w:val="12"/>
                <w:b w:val="1"/>
                <w:bCs w:val="1"/>
                <w:color w:val="auto"/>
              </w:rPr>
              <w:t>Three Months Ended</w:t>
            </w:r>
          </w:p>
        </w:tc>
        <w:tc>
          <w:tcPr>
            <w:tcW w:w="140" w:type="dxa"/>
            <w:vAlign w:val="bottom"/>
          </w:tcPr>
          <w:p>
            <w:pPr>
              <w:spacing w:after="0"/>
              <w:rPr>
                <w:sz w:val="9"/>
                <w:szCs w:val="9"/>
                <w:color w:val="auto"/>
              </w:rPr>
            </w:pPr>
          </w:p>
        </w:tc>
        <w:tc>
          <w:tcPr>
            <w:tcW w:w="1560" w:type="dxa"/>
            <w:vAlign w:val="bottom"/>
            <w:tcBorders>
              <w:top w:val="single" w:sz="8" w:color="auto"/>
            </w:tcBorders>
            <w:gridSpan w:val="4"/>
          </w:tcPr>
          <w:p>
            <w:pPr>
              <w:jc w:val="center"/>
              <w:spacing w:after="0" w:line="113" w:lineRule="exact"/>
              <w:rPr>
                <w:sz w:val="20"/>
                <w:szCs w:val="20"/>
                <w:color w:val="auto"/>
              </w:rPr>
            </w:pPr>
            <w:r>
              <w:rPr>
                <w:rFonts w:ascii="Arial" w:cs="Arial" w:eastAsia="Arial" w:hAnsi="Arial"/>
                <w:sz w:val="12"/>
                <w:szCs w:val="12"/>
                <w:b w:val="1"/>
                <w:bCs w:val="1"/>
                <w:color w:val="auto"/>
              </w:rPr>
              <w:t>Six Months Ended</w:t>
            </w:r>
          </w:p>
        </w:tc>
        <w:tc>
          <w:tcPr>
            <w:tcW w:w="10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Borders>
              <w:top w:val="single" w:sz="8" w:color="auto"/>
            </w:tcBorders>
            <w:gridSpan w:val="3"/>
          </w:tcPr>
          <w:p>
            <w:pPr>
              <w:jc w:val="center"/>
              <w:spacing w:after="0" w:line="113" w:lineRule="exact"/>
              <w:rPr>
                <w:sz w:val="20"/>
                <w:szCs w:val="20"/>
                <w:color w:val="auto"/>
              </w:rPr>
            </w:pPr>
            <w:r>
              <w:rPr>
                <w:rFonts w:ascii="Arial" w:cs="Arial" w:eastAsia="Arial" w:hAnsi="Arial"/>
                <w:sz w:val="12"/>
                <w:szCs w:val="12"/>
                <w:b w:val="1"/>
                <w:bCs w:val="1"/>
                <w:color w:val="auto"/>
              </w:rPr>
              <w:t>Three Months Ended</w:t>
            </w:r>
          </w:p>
        </w:tc>
        <w:tc>
          <w:tcPr>
            <w:tcW w:w="100" w:type="dxa"/>
            <w:vAlign w:val="bottom"/>
          </w:tcPr>
          <w:p>
            <w:pPr>
              <w:spacing w:after="0"/>
              <w:rPr>
                <w:sz w:val="9"/>
                <w:szCs w:val="9"/>
                <w:color w:val="auto"/>
              </w:rPr>
            </w:pPr>
          </w:p>
        </w:tc>
        <w:tc>
          <w:tcPr>
            <w:tcW w:w="1540" w:type="dxa"/>
            <w:vAlign w:val="bottom"/>
            <w:tcBorders>
              <w:top w:val="single" w:sz="8" w:color="auto"/>
            </w:tcBorders>
            <w:gridSpan w:val="4"/>
          </w:tcPr>
          <w:p>
            <w:pPr>
              <w:jc w:val="center"/>
              <w:spacing w:after="0" w:line="113" w:lineRule="exact"/>
              <w:rPr>
                <w:sz w:val="20"/>
                <w:szCs w:val="20"/>
                <w:color w:val="auto"/>
              </w:rPr>
            </w:pPr>
            <w:r>
              <w:rPr>
                <w:rFonts w:ascii="Arial" w:cs="Arial" w:eastAsia="Arial" w:hAnsi="Arial"/>
                <w:sz w:val="12"/>
                <w:szCs w:val="12"/>
                <w:b w:val="1"/>
                <w:bCs w:val="1"/>
                <w:color w:val="auto"/>
              </w:rPr>
              <w:t>Six Months Ended</w:t>
            </w:r>
          </w:p>
        </w:tc>
        <w:tc>
          <w:tcPr>
            <w:tcW w:w="0" w:type="dxa"/>
            <w:vAlign w:val="bottom"/>
          </w:tcPr>
          <w:p>
            <w:pPr>
              <w:spacing w:after="0"/>
              <w:rPr>
                <w:sz w:val="1"/>
                <w:szCs w:val="1"/>
                <w:color w:val="auto"/>
              </w:rPr>
            </w:pPr>
          </w:p>
        </w:tc>
      </w:tr>
      <w:tr>
        <w:trPr>
          <w:trHeight w:val="160"/>
        </w:trPr>
        <w:tc>
          <w:tcPr>
            <w:tcW w:w="2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w w:val="87"/>
              </w:rPr>
              <w:t>June 30, 2019</w:t>
            </w:r>
          </w:p>
        </w:tc>
        <w:tc>
          <w:tcPr>
            <w:tcW w:w="140" w:type="dxa"/>
            <w:vAlign w:val="bottom"/>
          </w:tcPr>
          <w:p>
            <w:pPr>
              <w:spacing w:after="0"/>
              <w:rPr>
                <w:sz w:val="13"/>
                <w:szCs w:val="13"/>
                <w:color w:val="auto"/>
              </w:rPr>
            </w:pPr>
          </w:p>
        </w:tc>
        <w:tc>
          <w:tcPr>
            <w:tcW w:w="16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5"/>
              </w:rPr>
              <w:t>June 30, 2019</w:t>
            </w:r>
          </w:p>
        </w:tc>
        <w:tc>
          <w:tcPr>
            <w:tcW w:w="20" w:type="dxa"/>
            <w:vAlign w:val="bottom"/>
            <w:shd w:val="clear" w:color="auto" w:fill="000000"/>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 2018</w:t>
            </w:r>
          </w:p>
        </w:tc>
        <w:tc>
          <w:tcPr>
            <w:tcW w:w="100" w:type="dxa"/>
            <w:vAlign w:val="bottom"/>
          </w:tcPr>
          <w:p>
            <w:pPr>
              <w:spacing w:after="0"/>
              <w:rPr>
                <w:sz w:val="13"/>
                <w:szCs w:val="13"/>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June 30, 2018</w:t>
            </w:r>
          </w:p>
        </w:tc>
        <w:tc>
          <w:tcPr>
            <w:tcW w:w="0" w:type="dxa"/>
            <w:vAlign w:val="bottom"/>
          </w:tcPr>
          <w:p>
            <w:pPr>
              <w:spacing w:after="0"/>
              <w:rPr>
                <w:sz w:val="1"/>
                <w:szCs w:val="1"/>
                <w:color w:val="auto"/>
              </w:rPr>
            </w:pPr>
          </w:p>
        </w:tc>
      </w:tr>
      <w:tr>
        <w:trPr>
          <w:trHeight w:val="112"/>
        </w:trPr>
        <w:tc>
          <w:tcPr>
            <w:tcW w:w="2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620" w:type="dxa"/>
            <w:vAlign w:val="bottom"/>
            <w:tcBorders>
              <w:top w:val="single" w:sz="8" w:color="auto"/>
            </w:tcBorders>
            <w:gridSpan w:val="4"/>
          </w:tcPr>
          <w:p>
            <w:pPr>
              <w:ind w:left="320"/>
              <w:spacing w:after="0" w:line="113" w:lineRule="exact"/>
              <w:rPr>
                <w:sz w:val="20"/>
                <w:szCs w:val="20"/>
                <w:color w:val="auto"/>
              </w:rPr>
            </w:pPr>
            <w:r>
              <w:rPr>
                <w:rFonts w:ascii="Arial" w:cs="Arial" w:eastAsia="Arial" w:hAnsi="Arial"/>
                <w:sz w:val="12"/>
                <w:szCs w:val="12"/>
                <w:b w:val="1"/>
                <w:bCs w:val="1"/>
                <w:color w:val="auto"/>
              </w:rPr>
              <w:t>(in thousands)</w:t>
            </w: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580" w:type="dxa"/>
            <w:vAlign w:val="bottom"/>
            <w:tcBorders>
              <w:top w:val="single" w:sz="8" w:color="auto"/>
            </w:tcBorders>
            <w:gridSpan w:val="4"/>
          </w:tcPr>
          <w:p>
            <w:pPr>
              <w:ind w:left="340"/>
              <w:spacing w:after="0" w:line="113" w:lineRule="exact"/>
              <w:rPr>
                <w:sz w:val="20"/>
                <w:szCs w:val="20"/>
                <w:color w:val="auto"/>
              </w:rPr>
            </w:pPr>
            <w:r>
              <w:rPr>
                <w:rFonts w:ascii="Arial" w:cs="Arial" w:eastAsia="Arial" w:hAnsi="Arial"/>
                <w:sz w:val="12"/>
                <w:szCs w:val="12"/>
                <w:b w:val="1"/>
                <w:bCs w:val="1"/>
                <w:color w:val="auto"/>
              </w:rPr>
              <w:t>(in thousands)</w:t>
            </w: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23"/>
              <w:spacing w:after="0"/>
              <w:rPr>
                <w:sz w:val="20"/>
                <w:szCs w:val="20"/>
                <w:color w:val="auto"/>
              </w:rPr>
            </w:pPr>
            <w:r>
              <w:rPr>
                <w:rFonts w:ascii="Arial" w:cs="Arial" w:eastAsia="Arial" w:hAnsi="Arial"/>
                <w:sz w:val="14"/>
                <w:szCs w:val="14"/>
                <w:b w:val="1"/>
                <w:bCs w:val="1"/>
                <w:color w:val="auto"/>
                <w:w w:val="88"/>
              </w:rPr>
              <w:t>Variable</w:t>
            </w:r>
          </w:p>
        </w:tc>
        <w:tc>
          <w:tcPr>
            <w:tcW w:w="160" w:type="dxa"/>
            <w:vAlign w:val="bottom"/>
          </w:tcPr>
          <w:p>
            <w:pPr>
              <w:spacing w:after="0"/>
              <w:rPr>
                <w:sz w:val="13"/>
                <w:szCs w:val="13"/>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rPr>
              <w:t>Fixed</w:t>
            </w:r>
          </w:p>
        </w:tc>
        <w:tc>
          <w:tcPr>
            <w:tcW w:w="140" w:type="dxa"/>
            <w:vAlign w:val="bottom"/>
          </w:tcPr>
          <w:p>
            <w:pPr>
              <w:spacing w:after="0"/>
              <w:rPr>
                <w:sz w:val="13"/>
                <w:szCs w:val="13"/>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Fixed</w:t>
            </w:r>
          </w:p>
        </w:tc>
        <w:tc>
          <w:tcPr>
            <w:tcW w:w="20" w:type="dxa"/>
            <w:vAlign w:val="bottom"/>
            <w:shd w:val="clear" w:color="auto" w:fill="000000"/>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Variable</w:t>
            </w:r>
          </w:p>
        </w:tc>
        <w:tc>
          <w:tcPr>
            <w:tcW w:w="640" w:type="dxa"/>
            <w:vAlign w:val="bottom"/>
          </w:tcPr>
          <w:p>
            <w:pPr>
              <w:jc w:val="right"/>
              <w:ind w:right="81"/>
              <w:spacing w:after="0"/>
              <w:rPr>
                <w:sz w:val="20"/>
                <w:szCs w:val="20"/>
                <w:color w:val="auto"/>
              </w:rPr>
            </w:pPr>
            <w:r>
              <w:rPr>
                <w:rFonts w:ascii="Arial" w:cs="Arial" w:eastAsia="Arial" w:hAnsi="Arial"/>
                <w:sz w:val="14"/>
                <w:szCs w:val="14"/>
                <w:b w:val="1"/>
                <w:bCs w:val="1"/>
                <w:color w:val="auto"/>
              </w:rPr>
              <w:t>Fixed</w:t>
            </w:r>
          </w:p>
        </w:tc>
        <w:tc>
          <w:tcPr>
            <w:tcW w:w="100" w:type="dxa"/>
            <w:vAlign w:val="bottom"/>
          </w:tcPr>
          <w:p>
            <w:pPr>
              <w:spacing w:after="0"/>
              <w:rPr>
                <w:sz w:val="13"/>
                <w:szCs w:val="13"/>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3"/>
                <w:szCs w:val="13"/>
                <w:color w:val="auto"/>
              </w:rPr>
            </w:pPr>
          </w:p>
        </w:tc>
        <w:tc>
          <w:tcPr>
            <w:tcW w:w="600" w:type="dxa"/>
            <w:vAlign w:val="bottom"/>
          </w:tcPr>
          <w:p>
            <w:pPr>
              <w:jc w:val="right"/>
              <w:ind w:right="98"/>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196"/>
        </w:trPr>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Revenues</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ind w:left="100"/>
              <w:spacing w:after="0"/>
              <w:rPr>
                <w:sz w:val="20"/>
                <w:szCs w:val="20"/>
                <w:color w:val="auto"/>
              </w:rPr>
            </w:pPr>
            <w:r>
              <w:rPr>
                <w:rFonts w:ascii="Arial" w:cs="Arial" w:eastAsia="Arial" w:hAnsi="Arial"/>
                <w:sz w:val="17"/>
                <w:szCs w:val="17"/>
                <w:color w:val="auto"/>
              </w:rPr>
              <w:t>Transaction fees</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9"/>
              </w:rPr>
              <w:t>79,577</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$ 24,375</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$158,492</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9"/>
              </w:rPr>
              <w:t>48,100</w:t>
            </w: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81"/>
              </w:rPr>
              <w:t>$ 69,557</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84"/>
              </w:rPr>
              <w:t>$ 21,473</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$139,194</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41,975</w:t>
            </w:r>
          </w:p>
        </w:tc>
        <w:tc>
          <w:tcPr>
            <w:tcW w:w="0" w:type="dxa"/>
            <w:vAlign w:val="bottom"/>
          </w:tcPr>
          <w:p>
            <w:pPr>
              <w:spacing w:after="0"/>
              <w:rPr>
                <w:sz w:val="1"/>
                <w:szCs w:val="1"/>
                <w:color w:val="auto"/>
              </w:rPr>
            </w:pPr>
          </w:p>
        </w:tc>
      </w:tr>
      <w:tr>
        <w:trPr>
          <w:trHeight w:val="191"/>
        </w:trPr>
        <w:tc>
          <w:tcPr>
            <w:tcW w:w="2300" w:type="dxa"/>
            <w:vAlign w:val="bottom"/>
            <w:shd w:val="clear" w:color="auto" w:fill="CCEEFF"/>
          </w:tcPr>
          <w:p>
            <w:pPr>
              <w:ind w:left="100"/>
              <w:spacing w:after="0" w:line="191" w:lineRule="exact"/>
              <w:rPr>
                <w:sz w:val="20"/>
                <w:szCs w:val="20"/>
                <w:color w:val="auto"/>
              </w:rPr>
            </w:pPr>
            <w:r>
              <w:rPr>
                <w:rFonts w:ascii="Arial" w:cs="Arial" w:eastAsia="Arial" w:hAnsi="Arial"/>
                <w:sz w:val="17"/>
                <w:szCs w:val="17"/>
                <w:color w:val="auto"/>
              </w:rPr>
              <w:t>Subscription Fees including</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Refinitiv market data fees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47,516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95,122</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49,303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97,391</w:t>
            </w:r>
          </w:p>
        </w:tc>
        <w:tc>
          <w:tcPr>
            <w:tcW w:w="0" w:type="dxa"/>
            <w:vAlign w:val="bottom"/>
          </w:tcPr>
          <w:p>
            <w:pPr>
              <w:spacing w:after="0"/>
              <w:rPr>
                <w:sz w:val="1"/>
                <w:szCs w:val="1"/>
                <w:color w:val="auto"/>
              </w:rPr>
            </w:pPr>
          </w:p>
        </w:tc>
      </w:tr>
      <w:tr>
        <w:trPr>
          <w:trHeight w:val="203"/>
        </w:trPr>
        <w:tc>
          <w:tcPr>
            <w:tcW w:w="2300" w:type="dxa"/>
            <w:vAlign w:val="bottom"/>
          </w:tcPr>
          <w:p>
            <w:pPr>
              <w:ind w:left="100"/>
              <w:spacing w:after="0"/>
              <w:rPr>
                <w:sz w:val="20"/>
                <w:szCs w:val="20"/>
                <w:color w:val="auto"/>
              </w:rPr>
            </w:pPr>
            <w:r>
              <w:rPr>
                <w:rFonts w:ascii="Arial" w:cs="Arial" w:eastAsia="Arial" w:hAnsi="Arial"/>
                <w:sz w:val="17"/>
                <w:szCs w:val="17"/>
                <w:color w:val="auto"/>
              </w:rPr>
              <w:t>Commissions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9"/>
              </w:rPr>
              <w:t>26,635</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9,778</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50,945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9"/>
              </w:rPr>
              <w:t>19,665</w:t>
            </w: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17,346</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10,207</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35,126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20,310</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1,867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3,458</w:t>
            </w: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5,596</w:t>
            </w:r>
          </w:p>
        </w:tc>
        <w:tc>
          <w:tcPr>
            <w:tcW w:w="0" w:type="dxa"/>
            <w:vAlign w:val="bottom"/>
          </w:tcPr>
          <w:p>
            <w:pPr>
              <w:spacing w:after="0"/>
              <w:rPr>
                <w:sz w:val="1"/>
                <w:szCs w:val="1"/>
                <w:color w:val="auto"/>
              </w:rPr>
            </w:pPr>
          </w:p>
        </w:tc>
      </w:tr>
      <w:tr>
        <w:trPr>
          <w:trHeight w:val="201"/>
        </w:trPr>
        <w:tc>
          <w:tcPr>
            <w:tcW w:w="2300" w:type="dxa"/>
            <w:vAlign w:val="bottom"/>
          </w:tcPr>
          <w:p>
            <w:pPr>
              <w:ind w:left="100"/>
              <w:spacing w:after="0"/>
              <w:rPr>
                <w:sz w:val="20"/>
                <w:szCs w:val="20"/>
                <w:color w:val="auto"/>
              </w:rPr>
            </w:pPr>
            <w:r>
              <w:rPr>
                <w:rFonts w:ascii="Arial" w:cs="Arial" w:eastAsia="Arial" w:hAnsi="Arial"/>
                <w:sz w:val="17"/>
                <w:szCs w:val="17"/>
                <w:color w:val="auto"/>
              </w:rPr>
              <w:t>Gross revenue</w:t>
            </w:r>
          </w:p>
        </w:tc>
        <w:tc>
          <w:tcPr>
            <w:tcW w:w="3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106,949</w:t>
            </w:r>
          </w:p>
        </w:tc>
        <w:tc>
          <w:tcPr>
            <w:tcW w:w="16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1"/>
              </w:rPr>
              <w:t>$</w:t>
            </w:r>
            <w:r>
              <w:rPr>
                <w:rFonts w:ascii="Arial" w:cs="Arial" w:eastAsia="Arial" w:hAnsi="Arial"/>
                <w:sz w:val="17"/>
                <w:szCs w:val="17"/>
                <w:color w:val="auto"/>
                <w:w w:val="81"/>
              </w:rPr>
              <w:t xml:space="preserve"> 83,536</w:t>
            </w: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210,932</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166,345</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1"/>
              </w:rPr>
              <w:t>$</w:t>
            </w:r>
            <w:r>
              <w:rPr>
                <w:rFonts w:ascii="Arial" w:cs="Arial" w:eastAsia="Arial" w:hAnsi="Arial"/>
                <w:sz w:val="17"/>
                <w:szCs w:val="17"/>
                <w:color w:val="auto"/>
                <w:w w:val="81"/>
              </w:rPr>
              <w:t xml:space="preserve"> 87,342</w:t>
            </w:r>
          </w:p>
        </w:tc>
        <w:tc>
          <w:tcPr>
            <w:tcW w:w="14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 xml:space="preserve"> 83,673</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175,246</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165,272</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15"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The Company accounts for stock-based compensation in accordance with ASC 718. ASC 718 focuses primarily on accounting for a transaction in which an entity obtains employee services in exchange for stock-based payments. Under ASC 718, the stock-based payments received by the employees of the Company are accounted for either as equity awards or as liability awards.</w:t>
      </w:r>
    </w:p>
    <w:p>
      <w:pPr>
        <w:spacing w:after="0" w:line="141"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As an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w:t>
      </w:r>
    </w:p>
    <w:p>
      <w:pPr>
        <w:spacing w:after="0" w:line="176"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As a liability award, the cost of employee services received in exchange for an award of equity instruments is generally measured based on the grant-date fair value of the award. The fair value of that award is remeasured subsequently at each reporting date through the settlement in accordance with ASC 505. Changes in the equity instrument's fair value during the requisite service period are recognized as compensation cost over that period.</w:t>
      </w:r>
    </w:p>
    <w:p>
      <w:pPr>
        <w:spacing w:after="0" w:line="179"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color w:val="auto"/>
        </w:rPr>
        <w:t>For periods following the Reorganization Transactions and the IPO, the fair value of new equity instrument grants is determined based on the price of the Company’s Class A common stock on the grant date.</w:t>
      </w:r>
    </w:p>
    <w:p>
      <w:pPr>
        <w:spacing w:after="0" w:line="165"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Under ASC 718, the grant-date fair value of stock-based awards that do not require future service (i.e., vested awards) are expensed immediately. The grant-date fair value of stock-based awards that require future service, and are graded-vesting awards, are amortized over the relevant service period on a straight-line basis, with each tranche separately measured. The grant-date fair value of stock-based awards that require both future service and the achievement of Company performance-based conditions, are amortized over the relevant service period for the performance-based condition. If in a reporting period it is determined that the achievement of a performance target for a performance-based tranche is not probable, then no expense is recognized for that tranche and any expenses already recognized relating to that tranche in prior reporting periods are reversed in the current reporting period.</w:t>
      </w:r>
    </w:p>
    <w:p>
      <w:pPr>
        <w:spacing w:after="0" w:line="158"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In October 2018, following the closing of the Refinitiv Transaction, the Company made a special award of options to management and other employees (the “Special Option Award”) under the Amended and Restated Tradeweb Markets Inc. Option Plan (the “Option Plan”). In accounting for the options issued under the Option Plan, compensation expense is measured and recognized for all awards based on their estimated fair values measured as of the grant date. Costs related to these options will be recognized as an expense in the consolidated statements of income over the requisite service period, with an offsetting increase to additional paid-in capital. The non-cash stock-based compensation expense associated with the Special Option Award began being expensed in the second quarter of 2019, with a charge of $20.4 million, and will continue to be expensed over the following three years.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0" w:name="page21"/>
    <w:bookmarkEnd w:id="2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jc w:val="both"/>
        <w:ind w:right="220"/>
        <w:spacing w:after="0" w:line="261" w:lineRule="auto"/>
        <w:rPr>
          <w:sz w:val="20"/>
          <w:szCs w:val="20"/>
          <w:color w:val="auto"/>
        </w:rPr>
      </w:pPr>
      <w:r>
        <w:rPr>
          <w:rFonts w:ascii="Arial" w:cs="Arial" w:eastAsia="Arial" w:hAnsi="Arial"/>
          <w:sz w:val="17"/>
          <w:szCs w:val="17"/>
          <w:color w:val="auto"/>
        </w:rPr>
        <w:t>Determining the appropriate fair value model and calculating the fair value of the stock-based awards requires the input of highly subjective assumptions, including the expected life of the stock-based awards and the stock price volatility. The Company uses the Black-Scholes pricing model to value some of its stock-based awards.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w:t>
      </w:r>
    </w:p>
    <w:p>
      <w:pPr>
        <w:spacing w:after="0" w:line="215" w:lineRule="exact"/>
        <w:rPr>
          <w:sz w:val="20"/>
          <w:szCs w:val="20"/>
          <w:color w:val="auto"/>
        </w:rPr>
      </w:pPr>
    </w:p>
    <w:p>
      <w:pPr>
        <w:ind w:right="100"/>
        <w:spacing w:after="0" w:line="297" w:lineRule="auto"/>
        <w:rPr>
          <w:sz w:val="20"/>
          <w:szCs w:val="20"/>
          <w:color w:val="auto"/>
        </w:rPr>
      </w:pPr>
      <w:r>
        <w:rPr>
          <w:rFonts w:ascii="Arial" w:cs="Arial" w:eastAsia="Arial" w:hAnsi="Arial"/>
          <w:sz w:val="15"/>
          <w:szCs w:val="15"/>
          <w:color w:val="auto"/>
        </w:rPr>
        <w:t>Basic earnings per share is computed by dividing the net income attributable to the Company's shares by the weighted-average number of the Company's shares outstanding during the period. For purposes of computing diluted earnings per share, the weighted-average number of the Company’s shares reflects the dilutive effect that could occur if securities that qualify as participating securities were converted into or exchanged or exercised for TWM LLC’s shares, in the pre-IPO period, and the Corporation’s Class A or Class B common stock, in the post-IPO period, using the treasury stock method, as applicable.</w:t>
      </w:r>
    </w:p>
    <w:p>
      <w:pPr>
        <w:spacing w:after="0" w:line="153" w:lineRule="exact"/>
        <w:rPr>
          <w:sz w:val="20"/>
          <w:szCs w:val="20"/>
          <w:color w:val="auto"/>
        </w:rPr>
      </w:pPr>
    </w:p>
    <w:p>
      <w:pPr>
        <w:ind w:right="680"/>
        <w:spacing w:after="0" w:line="273" w:lineRule="auto"/>
        <w:rPr>
          <w:sz w:val="20"/>
          <w:szCs w:val="20"/>
          <w:color w:val="auto"/>
        </w:rPr>
      </w:pPr>
      <w:r>
        <w:rPr>
          <w:rFonts w:ascii="Arial" w:cs="Arial" w:eastAsia="Arial" w:hAnsi="Arial"/>
          <w:sz w:val="17"/>
          <w:szCs w:val="17"/>
          <w:color w:val="auto"/>
        </w:rPr>
        <w:t>Shares of Class C and Class D common stock do not have economic rights in Tradeweb Markets Inc. and, therefore, are not participating securities for purposes of the computation of earnings per share.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17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fair value hierarchy under ASC 820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Fair Value Measurement</w:t>
      </w:r>
    </w:p>
    <w:p>
      <w:pPr>
        <w:spacing w:after="0" w:line="215" w:lineRule="exact"/>
        <w:rPr>
          <w:sz w:val="20"/>
          <w:szCs w:val="20"/>
          <w:color w:val="auto"/>
        </w:rPr>
      </w:pPr>
    </w:p>
    <w:p>
      <w:pPr>
        <w:ind w:left="1220" w:right="60" w:hanging="1219"/>
        <w:spacing w:after="0" w:line="273" w:lineRule="auto"/>
        <w:tabs>
          <w:tab w:leader="none" w:pos="1200" w:val="left"/>
        </w:tabs>
        <w:rPr>
          <w:sz w:val="20"/>
          <w:szCs w:val="20"/>
          <w:color w:val="auto"/>
        </w:rPr>
      </w:pPr>
      <w:r>
        <w:rPr>
          <w:rFonts w:ascii="Arial" w:cs="Arial" w:eastAsia="Arial" w:hAnsi="Arial"/>
          <w:sz w:val="17"/>
          <w:szCs w:val="17"/>
          <w:color w:val="auto"/>
        </w:rPr>
        <w:t>Level 1:</w:t>
      </w:r>
      <w:r>
        <w:rPr>
          <w:sz w:val="20"/>
          <w:szCs w:val="20"/>
          <w:color w:val="auto"/>
        </w:rPr>
        <w:tab/>
      </w:r>
      <w:r>
        <w:rPr>
          <w:rFonts w:ascii="Arial" w:cs="Arial" w:eastAsia="Arial" w:hAnsi="Arial"/>
          <w:sz w:val="17"/>
          <w:szCs w:val="17"/>
          <w:color w:val="auto"/>
        </w:rPr>
        <w:t>Unadjusted quoted prices in active markets that are accessible at the measurement date for identical, unrestricted assets or liabilities;</w:t>
      </w:r>
    </w:p>
    <w:p>
      <w:pPr>
        <w:spacing w:after="0" w:line="165" w:lineRule="exact"/>
        <w:rPr>
          <w:sz w:val="20"/>
          <w:szCs w:val="20"/>
          <w:color w:val="auto"/>
        </w:rPr>
      </w:pPr>
    </w:p>
    <w:p>
      <w:pPr>
        <w:ind w:left="1220" w:right="220" w:hanging="1219"/>
        <w:spacing w:after="0" w:line="273" w:lineRule="auto"/>
        <w:tabs>
          <w:tab w:leader="none" w:pos="1200" w:val="left"/>
        </w:tabs>
        <w:rPr>
          <w:sz w:val="20"/>
          <w:szCs w:val="20"/>
          <w:color w:val="auto"/>
        </w:rPr>
      </w:pPr>
      <w:r>
        <w:rPr>
          <w:rFonts w:ascii="Arial" w:cs="Arial" w:eastAsia="Arial" w:hAnsi="Arial"/>
          <w:sz w:val="17"/>
          <w:szCs w:val="17"/>
          <w:color w:val="auto"/>
        </w:rPr>
        <w:t>Level 2:</w:t>
      </w:r>
      <w:r>
        <w:rPr>
          <w:sz w:val="20"/>
          <w:szCs w:val="20"/>
          <w:color w:val="auto"/>
        </w:rPr>
        <w:tab/>
      </w:r>
      <w:r>
        <w:rPr>
          <w:rFonts w:ascii="Arial" w:cs="Arial" w:eastAsia="Arial" w:hAnsi="Arial"/>
          <w:sz w:val="17"/>
          <w:szCs w:val="17"/>
          <w:color w:val="auto"/>
        </w:rPr>
        <w:t>Quoted prices in markets that are not considered to be active or financial instruments for which all significant inputs are observable, either directly or indirectly;</w:t>
      </w:r>
    </w:p>
    <w:p>
      <w:pPr>
        <w:spacing w:after="0" w:line="165" w:lineRule="exact"/>
        <w:rPr>
          <w:sz w:val="20"/>
          <w:szCs w:val="20"/>
          <w:color w:val="auto"/>
        </w:rPr>
      </w:pPr>
    </w:p>
    <w:p>
      <w:pPr>
        <w:spacing w:after="0"/>
        <w:tabs>
          <w:tab w:leader="none" w:pos="1400" w:val="left"/>
        </w:tabs>
        <w:rPr>
          <w:sz w:val="20"/>
          <w:szCs w:val="20"/>
          <w:color w:val="auto"/>
        </w:rPr>
      </w:pPr>
      <w:r>
        <w:rPr>
          <w:rFonts w:ascii="Arial" w:cs="Arial" w:eastAsia="Arial" w:hAnsi="Arial"/>
          <w:sz w:val="17"/>
          <w:szCs w:val="17"/>
          <w:color w:val="auto"/>
        </w:rPr>
        <w:t>Level 3:</w:t>
      </w:r>
      <w:r>
        <w:rPr>
          <w:sz w:val="20"/>
          <w:szCs w:val="20"/>
          <w:color w:val="auto"/>
        </w:rPr>
        <w:tab/>
      </w:r>
      <w:r>
        <w:rPr>
          <w:rFonts w:ascii="Arial" w:cs="Arial" w:eastAsia="Arial" w:hAnsi="Arial"/>
          <w:sz w:val="15"/>
          <w:szCs w:val="15"/>
          <w:color w:val="auto"/>
        </w:rPr>
        <w:t>Prices or valuations that require inputs that are both significant to the fair value measurement and unobservable.</w:t>
      </w:r>
    </w:p>
    <w:p>
      <w:pPr>
        <w:spacing w:after="0" w:line="211"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A financial instrument's level within the fair value hierarchy is based on the lowest level of any input that is significant to the fair value measurement.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 – Not Yet Adopted</w:t>
      </w:r>
    </w:p>
    <w:p>
      <w:pPr>
        <w:spacing w:after="0" w:line="215" w:lineRule="exact"/>
        <w:rPr>
          <w:sz w:val="20"/>
          <w:szCs w:val="20"/>
          <w:color w:val="auto"/>
        </w:rPr>
      </w:pPr>
    </w:p>
    <w:p>
      <w:pPr>
        <w:ind w:right="20"/>
        <w:spacing w:after="0" w:line="207" w:lineRule="exact"/>
        <w:rPr>
          <w:sz w:val="20"/>
          <w:szCs w:val="20"/>
          <w:color w:val="auto"/>
        </w:rPr>
      </w:pPr>
      <w:r>
        <w:rPr>
          <w:rFonts w:ascii="Arial" w:cs="Arial" w:eastAsia="Arial" w:hAnsi="Arial"/>
          <w:sz w:val="17"/>
          <w:szCs w:val="17"/>
          <w:color w:val="auto"/>
        </w:rPr>
        <w:t>In June 2016, the FASB issued ASU 2016</w:t>
      </w:r>
      <w:r>
        <w:rPr>
          <w:rFonts w:ascii="MS PGothic" w:cs="MS PGothic" w:eastAsia="MS PGothic" w:hAnsi="MS PGothic"/>
          <w:sz w:val="17"/>
          <w:szCs w:val="17"/>
          <w:color w:val="auto"/>
        </w:rPr>
        <w:t>‑</w:t>
      </w:r>
      <w:r>
        <w:rPr>
          <w:rFonts w:ascii="Arial" w:cs="Arial" w:eastAsia="Arial" w:hAnsi="Arial"/>
          <w:sz w:val="17"/>
          <w:szCs w:val="17"/>
          <w:color w:val="auto"/>
        </w:rPr>
        <w:t>13, Financial Instruments – Credit Losses. The ASU provides new guidance for estimating credit losses on certain types of financial instruments by introducing an approach based on expected losses. This ASU is applicable for the Company in the fiscal year beginning January 1, 2020. The Company is currently evaluating the impact of this ASU on the Company's consolidated financial statements.</w:t>
      </w:r>
    </w:p>
    <w:p>
      <w:pPr>
        <w:spacing w:after="0" w:line="192" w:lineRule="exact"/>
        <w:rPr>
          <w:sz w:val="20"/>
          <w:szCs w:val="20"/>
          <w:color w:val="auto"/>
        </w:rPr>
      </w:pPr>
    </w:p>
    <w:p>
      <w:pPr>
        <w:ind w:right="20"/>
        <w:spacing w:after="0" w:line="206" w:lineRule="exact"/>
        <w:rPr>
          <w:sz w:val="20"/>
          <w:szCs w:val="20"/>
          <w:color w:val="auto"/>
        </w:rPr>
      </w:pPr>
      <w:r>
        <w:rPr>
          <w:rFonts w:ascii="Arial" w:cs="Arial" w:eastAsia="Arial" w:hAnsi="Arial"/>
          <w:sz w:val="17"/>
          <w:szCs w:val="17"/>
          <w:color w:val="auto"/>
        </w:rPr>
        <w:t>In January 2017, the FASB issued ASU 2017</w:t>
      </w:r>
      <w:r>
        <w:rPr>
          <w:rFonts w:ascii="MS PGothic" w:cs="MS PGothic" w:eastAsia="MS PGothic" w:hAnsi="MS PGothic"/>
          <w:sz w:val="17"/>
          <w:szCs w:val="17"/>
          <w:color w:val="auto"/>
        </w:rPr>
        <w:t>‑</w:t>
      </w:r>
      <w:r>
        <w:rPr>
          <w:rFonts w:ascii="Arial" w:cs="Arial" w:eastAsia="Arial" w:hAnsi="Arial"/>
          <w:sz w:val="17"/>
          <w:szCs w:val="17"/>
          <w:color w:val="auto"/>
        </w:rPr>
        <w:t>04, Intangibles – Goodwill and Other. The ASU simplifies the quantitative goodwill impairment test by eliminating the second step of the test. Under this ASU, impairment will be measured by comparing the estimated fair value of the reporting unit with its carrying value. The ASU is applicable for the Company in the fiscal year beginning January 1, 2021. The Company does not anticipate the adoption of this ASU to have a material impact on the Company's consolidated financial statements.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1" w:name="page22"/>
    <w:bookmarkEnd w:id="21"/>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5" w:lineRule="exact"/>
        <w:rPr>
          <w:sz w:val="20"/>
          <w:szCs w:val="20"/>
          <w:color w:val="auto"/>
        </w:rPr>
      </w:pPr>
    </w:p>
    <w:p>
      <w:pPr>
        <w:ind w:left="542" w:hanging="542"/>
        <w:spacing w:after="0"/>
        <w:tabs>
          <w:tab w:leader="none" w:pos="542"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Pushdown Accounting</w:t>
      </w:r>
    </w:p>
    <w:p>
      <w:pPr>
        <w:spacing w:after="0" w:line="215" w:lineRule="exact"/>
        <w:rPr>
          <w:sz w:val="20"/>
          <w:szCs w:val="20"/>
          <w:color w:val="auto"/>
        </w:rPr>
      </w:pPr>
    </w:p>
    <w:p>
      <w:pPr>
        <w:ind w:left="2" w:right="20"/>
        <w:spacing w:after="0" w:line="294" w:lineRule="auto"/>
        <w:rPr>
          <w:sz w:val="20"/>
          <w:szCs w:val="20"/>
          <w:color w:val="auto"/>
        </w:rPr>
      </w:pPr>
      <w:r>
        <w:rPr>
          <w:rFonts w:ascii="Arial" w:cs="Arial" w:eastAsia="Arial" w:hAnsi="Arial"/>
          <w:sz w:val="15"/>
          <w:szCs w:val="15"/>
          <w:color w:val="auto"/>
        </w:rPr>
        <w:t>The Refinitiv Transaction was accounted for by Refinitiv in accordance with the acquisition method of accounting pursuant to ASC 805, and pushdown accounting was applied to Refinitiv to record the fair value of the assets and liabilities of Refinitiv on the date of the Refinitiv Transaction. The Company, as a consolidating subsidiary of Refinitiv, also accounted for the Refinitiv Transaction using pushdown accounting. Under pushdown accounting, the excess of the fair value of the Company above the fair value accounting basis of the net assets and liabilities of the Company was recorded as goodwill. At June 30, 2019 and December 31, 2018, goodwill amounted to $2,695,000. The Company has one year from the date of the Refinitiv Transaction to finalize these amounts.</w:t>
      </w:r>
    </w:p>
    <w:p>
      <w:pPr>
        <w:spacing w:after="0" w:line="156" w:lineRule="exact"/>
        <w:rPr>
          <w:sz w:val="20"/>
          <w:szCs w:val="20"/>
          <w:color w:val="auto"/>
        </w:rPr>
      </w:pPr>
    </w:p>
    <w:p>
      <w:pPr>
        <w:jc w:val="both"/>
        <w:ind w:left="2" w:right="180"/>
        <w:spacing w:after="0" w:line="261" w:lineRule="auto"/>
        <w:rPr>
          <w:sz w:val="20"/>
          <w:szCs w:val="20"/>
          <w:color w:val="auto"/>
        </w:rPr>
      </w:pPr>
      <w:r>
        <w:rPr>
          <w:rFonts w:ascii="Arial" w:cs="Arial" w:eastAsia="Arial" w:hAnsi="Arial"/>
          <w:sz w:val="17"/>
          <w:szCs w:val="17"/>
          <w:color w:val="auto"/>
        </w:rPr>
        <w:t>The adjusted valuations resulted in an increase in depreciation and amortization expense, due to the increased carrying value of the Company’s assets and the related increase in depreciation of tangible assets and amortization of intangible assets, and a decrease in occupancy expense as a result of the recognition of a leasehold interest liability.</w:t>
      </w:r>
    </w:p>
    <w:p>
      <w:pPr>
        <w:spacing w:after="0" w:line="184" w:lineRule="exact"/>
        <w:rPr>
          <w:sz w:val="20"/>
          <w:szCs w:val="20"/>
          <w:color w:val="auto"/>
        </w:rPr>
      </w:pPr>
    </w:p>
    <w:p>
      <w:pPr>
        <w:ind w:left="542" w:hanging="542"/>
        <w:spacing w:after="0"/>
        <w:tabs>
          <w:tab w:leader="none" w:pos="542"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215" w:lineRule="exact"/>
        <w:rPr>
          <w:sz w:val="20"/>
          <w:szCs w:val="20"/>
          <w:color w:val="auto"/>
        </w:rPr>
      </w:pPr>
    </w:p>
    <w:p>
      <w:pPr>
        <w:ind w:left="2" w:right="60"/>
        <w:spacing w:after="0" w:line="270" w:lineRule="auto"/>
        <w:rPr>
          <w:sz w:val="20"/>
          <w:szCs w:val="20"/>
          <w:color w:val="auto"/>
        </w:rPr>
      </w:pPr>
      <w:r>
        <w:rPr>
          <w:rFonts w:ascii="Arial" w:cs="Arial" w:eastAsia="Arial" w:hAnsi="Arial"/>
          <w:sz w:val="16"/>
          <w:szCs w:val="16"/>
          <w:color w:val="auto"/>
        </w:rPr>
        <w:t>Effective January 1, 2019, the Company adopted ASC 842. This standard requires the Company to recognize a right-of-use asset and a lease liability for all leases with an initial term in excess of twelve months. The Company accounts for an option to extend a lease when the option is reasonably certain to be exercised. The asset reflects the present value of unpaid lease payments coupled with initial direct costs, prepaid lease payments and lease incentives. The amount of the lease liability is calculated as the present value of unpaid lease payments. The Company adopted ASC 842 using a modified retrospective approach and did not restate comparative periods. The Company elected to take the package of practical expedients allowing the Company to not reassess (i) whether any expired or existing contracts are or contain leases, (ii) the lease classification for any expired or existing leases and (iii) initial direct costs for any existing leases. The Company has elected to account for nonlease components in a contract as part of the single lease component to which they are related.</w:t>
      </w:r>
    </w:p>
    <w:p>
      <w:pPr>
        <w:spacing w:after="0" w:line="170" w:lineRule="exact"/>
        <w:rPr>
          <w:sz w:val="20"/>
          <w:szCs w:val="20"/>
          <w:color w:val="auto"/>
        </w:rPr>
      </w:pPr>
    </w:p>
    <w:p>
      <w:pPr>
        <w:ind w:left="2" w:right="400"/>
        <w:spacing w:after="0" w:line="273" w:lineRule="auto"/>
        <w:rPr>
          <w:sz w:val="20"/>
          <w:szCs w:val="20"/>
          <w:color w:val="auto"/>
        </w:rPr>
      </w:pPr>
      <w:r>
        <w:rPr>
          <w:rFonts w:ascii="Arial" w:cs="Arial" w:eastAsia="Arial" w:hAnsi="Arial"/>
          <w:sz w:val="17"/>
          <w:szCs w:val="17"/>
          <w:color w:val="auto"/>
        </w:rPr>
        <w:t>Significant assumptions and judgements in calculating the right-of-use assets and lease liability include the determination of the applicable borrowing rate for each lease.</w:t>
      </w:r>
    </w:p>
    <w:p>
      <w:pPr>
        <w:spacing w:after="0" w:line="165" w:lineRule="exact"/>
        <w:rPr>
          <w:sz w:val="20"/>
          <w:szCs w:val="20"/>
          <w:color w:val="auto"/>
        </w:rPr>
      </w:pPr>
    </w:p>
    <w:p>
      <w:pPr>
        <w:jc w:val="both"/>
        <w:ind w:left="2"/>
        <w:spacing w:after="0" w:line="261" w:lineRule="auto"/>
        <w:rPr>
          <w:sz w:val="20"/>
          <w:szCs w:val="20"/>
          <w:color w:val="auto"/>
        </w:rPr>
      </w:pPr>
      <w:r>
        <w:rPr>
          <w:rFonts w:ascii="Arial" w:cs="Arial" w:eastAsia="Arial" w:hAnsi="Arial"/>
          <w:sz w:val="17"/>
          <w:szCs w:val="17"/>
          <w:color w:val="auto"/>
        </w:rPr>
        <w:t>On January 1, 2019, upon the adoption of ASC 842, the Company recorded, for office space and data center leases in the US and UK, right-of-use assets of $34,760,000, lease liabilities of $39,635,000 and eliminated deferred rent of $4,875,000. The leases have initial lease terms ranging from 3 to 11 years.</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7"/>
          <w:szCs w:val="17"/>
          <w:color w:val="auto"/>
        </w:rPr>
        <w:t>Activity related to the Company's leases for the three and six months ended June 30, 2019 is as follows (in thousands):</w:t>
      </w:r>
    </w:p>
    <w:p>
      <w:pPr>
        <w:spacing w:after="0" w:line="280" w:lineRule="exact"/>
        <w:rPr>
          <w:sz w:val="20"/>
          <w:szCs w:val="20"/>
          <w:color w:val="auto"/>
        </w:rPr>
      </w:pPr>
    </w:p>
    <w:tbl>
      <w:tblPr>
        <w:tblLayout w:type="fixed"/>
        <w:tblInd w:w="902" w:type="dxa"/>
        <w:tblCellMar>
          <w:top w:w="0" w:type="dxa"/>
          <w:left w:w="0" w:type="dxa"/>
          <w:bottom w:w="0" w:type="dxa"/>
          <w:right w:w="0" w:type="dxa"/>
        </w:tblCellMar>
      </w:tblPr>
      <w:tr>
        <w:trPr>
          <w:trHeight w:val="175"/>
        </w:trPr>
        <w:tc>
          <w:tcPr>
            <w:tcW w:w="5300" w:type="dxa"/>
            <w:vAlign w:val="bottom"/>
          </w:tcPr>
          <w:p>
            <w:pPr>
              <w:spacing w:after="0"/>
              <w:rPr>
                <w:sz w:val="15"/>
                <w:szCs w:val="15"/>
                <w:color w:val="auto"/>
              </w:rPr>
            </w:pPr>
          </w:p>
        </w:tc>
        <w:tc>
          <w:tcPr>
            <w:tcW w:w="1020" w:type="dxa"/>
            <w:vAlign w:val="bottom"/>
          </w:tcPr>
          <w:p>
            <w:pPr>
              <w:jc w:val="center"/>
              <w:ind w:left="6"/>
              <w:spacing w:after="0"/>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5"/>
                <w:szCs w:val="15"/>
                <w:color w:val="auto"/>
              </w:rPr>
            </w:pPr>
          </w:p>
        </w:tc>
        <w:tc>
          <w:tcPr>
            <w:tcW w:w="780" w:type="dxa"/>
            <w:vAlign w:val="bottom"/>
          </w:tcPr>
          <w:p>
            <w:pPr>
              <w:jc w:val="center"/>
              <w:ind w:right="6"/>
              <w:spacing w:after="0"/>
              <w:rPr>
                <w:sz w:val="20"/>
                <w:szCs w:val="20"/>
                <w:color w:val="auto"/>
              </w:rPr>
            </w:pPr>
            <w:r>
              <w:rPr>
                <w:rFonts w:ascii="Arial" w:cs="Arial" w:eastAsia="Arial" w:hAnsi="Arial"/>
                <w:sz w:val="14"/>
                <w:szCs w:val="14"/>
                <w:b w:val="1"/>
                <w:bCs w:val="1"/>
                <w:color w:val="auto"/>
                <w:w w:val="88"/>
              </w:rPr>
              <w:t>Six Months</w:t>
            </w:r>
          </w:p>
        </w:tc>
      </w:tr>
      <w:tr>
        <w:trPr>
          <w:trHeight w:val="203"/>
        </w:trPr>
        <w:tc>
          <w:tcPr>
            <w:tcW w:w="5300" w:type="dxa"/>
            <w:vAlign w:val="bottom"/>
          </w:tcPr>
          <w:p>
            <w:pPr>
              <w:spacing w:after="0"/>
              <w:rPr>
                <w:sz w:val="17"/>
                <w:szCs w:val="17"/>
                <w:color w:val="auto"/>
              </w:rPr>
            </w:pPr>
          </w:p>
        </w:tc>
        <w:tc>
          <w:tcPr>
            <w:tcW w:w="1020" w:type="dxa"/>
            <w:vAlign w:val="bottom"/>
          </w:tcPr>
          <w:p>
            <w:pPr>
              <w:jc w:val="center"/>
              <w:ind w:left="6"/>
              <w:spacing w:after="0"/>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7"/>
                <w:szCs w:val="17"/>
                <w:color w:val="auto"/>
              </w:rPr>
            </w:pPr>
          </w:p>
        </w:tc>
        <w:tc>
          <w:tcPr>
            <w:tcW w:w="780" w:type="dxa"/>
            <w:vAlign w:val="bottom"/>
          </w:tcPr>
          <w:p>
            <w:pPr>
              <w:jc w:val="center"/>
              <w:ind w:right="6"/>
              <w:spacing w:after="0"/>
              <w:rPr>
                <w:sz w:val="20"/>
                <w:szCs w:val="20"/>
                <w:color w:val="auto"/>
              </w:rPr>
            </w:pPr>
            <w:r>
              <w:rPr>
                <w:rFonts w:ascii="Arial" w:cs="Arial" w:eastAsia="Arial" w:hAnsi="Arial"/>
                <w:sz w:val="14"/>
                <w:szCs w:val="14"/>
                <w:b w:val="1"/>
                <w:bCs w:val="1"/>
                <w:color w:val="auto"/>
                <w:w w:val="88"/>
              </w:rPr>
              <w:t>Ended</w:t>
            </w:r>
          </w:p>
        </w:tc>
      </w:tr>
      <w:tr>
        <w:trPr>
          <w:trHeight w:val="203"/>
        </w:trPr>
        <w:tc>
          <w:tcPr>
            <w:tcW w:w="53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7"/>
                <w:szCs w:val="17"/>
                <w:color w:val="auto"/>
              </w:rPr>
            </w:pPr>
          </w:p>
        </w:tc>
        <w:tc>
          <w:tcPr>
            <w:tcW w:w="780" w:type="dxa"/>
            <w:vAlign w:val="bottom"/>
          </w:tcPr>
          <w:p>
            <w:pPr>
              <w:jc w:val="center"/>
              <w:ind w:right="66"/>
              <w:spacing w:after="0"/>
              <w:rPr>
                <w:sz w:val="20"/>
                <w:szCs w:val="20"/>
                <w:color w:val="auto"/>
              </w:rPr>
            </w:pPr>
            <w:r>
              <w:rPr>
                <w:rFonts w:ascii="Arial" w:cs="Arial" w:eastAsia="Arial" w:hAnsi="Arial"/>
                <w:sz w:val="14"/>
                <w:szCs w:val="14"/>
                <w:b w:val="1"/>
                <w:bCs w:val="1"/>
                <w:color w:val="auto"/>
                <w:w w:val="85"/>
              </w:rPr>
              <w:t>June 30,</w:t>
            </w:r>
          </w:p>
        </w:tc>
      </w:tr>
      <w:tr>
        <w:trPr>
          <w:trHeight w:val="189"/>
        </w:trPr>
        <w:tc>
          <w:tcPr>
            <w:tcW w:w="53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9"/>
              </w:rPr>
              <w:t>2019</w:t>
            </w:r>
          </w:p>
        </w:tc>
      </w:tr>
      <w:tr>
        <w:trPr>
          <w:trHeight w:val="196"/>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expense</w:t>
            </w:r>
          </w:p>
        </w:tc>
        <w:tc>
          <w:tcPr>
            <w:tcW w:w="1020" w:type="dxa"/>
            <w:vAlign w:val="bottom"/>
            <w:shd w:val="clear" w:color="auto" w:fill="CCEEFF"/>
          </w:tcPr>
          <w:p>
            <w:pPr>
              <w:jc w:val="right"/>
              <w:ind w:right="466"/>
              <w:spacing w:after="0"/>
              <w:rPr>
                <w:sz w:val="20"/>
                <w:szCs w:val="20"/>
                <w:color w:val="auto"/>
              </w:rPr>
            </w:pPr>
            <w:r>
              <w:rPr>
                <w:rFonts w:ascii="Arial" w:cs="Arial" w:eastAsia="Arial" w:hAnsi="Arial"/>
                <w:sz w:val="17"/>
                <w:szCs w:val="17"/>
                <w:color w:val="auto"/>
              </w:rPr>
              <w:t>2,558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5,147</w:t>
            </w:r>
          </w:p>
        </w:tc>
      </w:tr>
      <w:tr>
        <w:trPr>
          <w:trHeight w:val="203"/>
        </w:trPr>
        <w:tc>
          <w:tcPr>
            <w:tcW w:w="5300" w:type="dxa"/>
            <w:vAlign w:val="bottom"/>
          </w:tcPr>
          <w:p>
            <w:pPr>
              <w:spacing w:after="0"/>
              <w:rPr>
                <w:sz w:val="20"/>
                <w:szCs w:val="20"/>
                <w:color w:val="auto"/>
              </w:rPr>
            </w:pPr>
            <w:r>
              <w:rPr>
                <w:rFonts w:ascii="Arial" w:cs="Arial" w:eastAsia="Arial" w:hAnsi="Arial"/>
                <w:sz w:val="17"/>
                <w:szCs w:val="17"/>
                <w:color w:val="auto"/>
              </w:rPr>
              <w:t>Cash for amounts included in the measurement of operating liability</w:t>
            </w:r>
          </w:p>
        </w:tc>
        <w:tc>
          <w:tcPr>
            <w:tcW w:w="1020" w:type="dxa"/>
            <w:vAlign w:val="bottom"/>
          </w:tcPr>
          <w:p>
            <w:pPr>
              <w:jc w:val="right"/>
              <w:ind w:right="466"/>
              <w:spacing w:after="0"/>
              <w:rPr>
                <w:sz w:val="20"/>
                <w:szCs w:val="20"/>
                <w:color w:val="auto"/>
              </w:rPr>
            </w:pPr>
            <w:r>
              <w:rPr>
                <w:rFonts w:ascii="Arial" w:cs="Arial" w:eastAsia="Arial" w:hAnsi="Arial"/>
                <w:sz w:val="17"/>
                <w:szCs w:val="17"/>
                <w:color w:val="auto"/>
              </w:rPr>
              <w:t>2,803</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5,637</w:t>
            </w:r>
          </w:p>
        </w:tc>
      </w:tr>
      <w:tr>
        <w:trPr>
          <w:trHeight w:val="203"/>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Right-of-use assets obtained in exchange for operating liabilities</w:t>
            </w:r>
          </w:p>
        </w:tc>
        <w:tc>
          <w:tcPr>
            <w:tcW w:w="102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bl>
    <w:p>
      <w:pPr>
        <w:spacing w:after="0" w:line="191" w:lineRule="exact"/>
        <w:rPr>
          <w:sz w:val="20"/>
          <w:szCs w:val="20"/>
          <w:color w:val="auto"/>
        </w:rPr>
      </w:pPr>
    </w:p>
    <w:p>
      <w:pPr>
        <w:ind w:left="2"/>
        <w:spacing w:after="0"/>
        <w:rPr>
          <w:sz w:val="20"/>
          <w:szCs w:val="20"/>
          <w:color w:val="auto"/>
        </w:rPr>
      </w:pPr>
      <w:r>
        <w:rPr>
          <w:rFonts w:ascii="Arial" w:cs="Arial" w:eastAsia="Arial" w:hAnsi="Arial"/>
          <w:sz w:val="17"/>
          <w:szCs w:val="17"/>
          <w:color w:val="auto"/>
        </w:rPr>
        <w:t>At June 30, 2019, the weighted average borrowing rate and weighted average lease term are as follows:</w:t>
      </w:r>
    </w:p>
    <w:p>
      <w:pPr>
        <w:spacing w:after="0" w:line="236" w:lineRule="exact"/>
        <w:rPr>
          <w:sz w:val="20"/>
          <w:szCs w:val="20"/>
          <w:color w:val="auto"/>
        </w:rPr>
      </w:pPr>
    </w:p>
    <w:tbl>
      <w:tblPr>
        <w:tblLayout w:type="fixed"/>
        <w:tblInd w:w="2" w:type="dxa"/>
        <w:tblCellMar>
          <w:top w:w="0" w:type="dxa"/>
          <w:left w:w="0" w:type="dxa"/>
          <w:bottom w:w="0" w:type="dxa"/>
          <w:right w:w="0" w:type="dxa"/>
        </w:tblCellMar>
      </w:tblPr>
      <w:tr>
        <w:trPr>
          <w:trHeight w:val="203"/>
        </w:trPr>
        <w:tc>
          <w:tcPr>
            <w:tcW w:w="900" w:type="dxa"/>
            <w:vAlign w:val="bottom"/>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borrowing rate</w:t>
            </w:r>
          </w:p>
        </w:tc>
        <w:tc>
          <w:tcPr>
            <w:tcW w:w="3880" w:type="dxa"/>
            <w:vAlign w:val="bottom"/>
            <w:shd w:val="clear" w:color="auto" w:fill="CCEEFF"/>
          </w:tcPr>
          <w:p>
            <w:pPr>
              <w:ind w:left="3460"/>
              <w:spacing w:after="0"/>
              <w:rPr>
                <w:sz w:val="20"/>
                <w:szCs w:val="20"/>
                <w:color w:val="auto"/>
              </w:rPr>
            </w:pPr>
            <w:r>
              <w:rPr>
                <w:rFonts w:ascii="Arial" w:cs="Arial" w:eastAsia="Arial" w:hAnsi="Arial"/>
                <w:sz w:val="17"/>
                <w:szCs w:val="17"/>
                <w:color w:val="auto"/>
                <w:w w:val="91"/>
              </w:rPr>
              <w:t>2.9 %</w:t>
            </w:r>
          </w:p>
        </w:tc>
        <w:tc>
          <w:tcPr>
            <w:tcW w:w="900" w:type="dxa"/>
            <w:vAlign w:val="bottom"/>
          </w:tcPr>
          <w:p>
            <w:pPr>
              <w:spacing w:after="0"/>
              <w:rPr>
                <w:sz w:val="17"/>
                <w:szCs w:val="17"/>
                <w:color w:val="auto"/>
              </w:rPr>
            </w:pPr>
          </w:p>
        </w:tc>
      </w:tr>
      <w:tr>
        <w:trPr>
          <w:trHeight w:val="215"/>
        </w:trPr>
        <w:tc>
          <w:tcPr>
            <w:tcW w:w="9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7"/>
                <w:szCs w:val="17"/>
                <w:color w:val="auto"/>
                <w:w w:val="93"/>
              </w:rPr>
              <w:t>Weighted average remaining lease term (years)</w:t>
            </w:r>
          </w:p>
        </w:tc>
        <w:tc>
          <w:tcPr>
            <w:tcW w:w="3880" w:type="dxa"/>
            <w:vAlign w:val="bottom"/>
          </w:tcPr>
          <w:p>
            <w:pPr>
              <w:ind w:left="3460"/>
              <w:spacing w:after="0"/>
              <w:rPr>
                <w:sz w:val="20"/>
                <w:szCs w:val="20"/>
                <w:color w:val="auto"/>
              </w:rPr>
            </w:pPr>
            <w:r>
              <w:rPr>
                <w:rFonts w:ascii="Arial" w:cs="Arial" w:eastAsia="Arial" w:hAnsi="Arial"/>
                <w:sz w:val="17"/>
                <w:szCs w:val="17"/>
                <w:color w:val="auto"/>
              </w:rPr>
              <w:t>6.0</w:t>
            </w:r>
          </w:p>
        </w:tc>
        <w:tc>
          <w:tcPr>
            <w:tcW w:w="900" w:type="dxa"/>
            <w:vAlign w:val="bottom"/>
          </w:tcPr>
          <w:p>
            <w:pPr>
              <w:spacing w:after="0"/>
              <w:rPr>
                <w:sz w:val="18"/>
                <w:szCs w:val="18"/>
                <w:color w:val="auto"/>
              </w:rPr>
            </w:pPr>
          </w:p>
        </w:tc>
      </w:tr>
      <w:tr>
        <w:trPr>
          <w:trHeight w:val="801"/>
        </w:trPr>
        <w:tc>
          <w:tcPr>
            <w:tcW w:w="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880" w:type="dxa"/>
            <w:vAlign w:val="bottom"/>
          </w:tcPr>
          <w:p>
            <w:pPr>
              <w:jc w:val="right"/>
              <w:ind w:right="3455"/>
              <w:spacing w:after="0"/>
              <w:rPr>
                <w:sz w:val="20"/>
                <w:szCs w:val="20"/>
                <w:color w:val="auto"/>
              </w:rPr>
            </w:pPr>
            <w:r>
              <w:rPr>
                <w:rFonts w:ascii="Arial" w:cs="Arial" w:eastAsia="Arial" w:hAnsi="Arial"/>
                <w:sz w:val="17"/>
                <w:szCs w:val="17"/>
                <w:color w:val="auto"/>
              </w:rPr>
              <w:t>22</w:t>
            </w:r>
          </w:p>
        </w:tc>
        <w:tc>
          <w:tcPr>
            <w:tcW w:w="900" w:type="dxa"/>
            <w:vAlign w:val="bottom"/>
          </w:tcPr>
          <w:p>
            <w:pPr>
              <w:spacing w:after="0"/>
              <w:rPr>
                <w:sz w:val="24"/>
                <w:szCs w:val="24"/>
                <w:color w:val="auto"/>
              </w:rPr>
            </w:pPr>
          </w:p>
        </w:tc>
      </w:tr>
      <w:tr>
        <w:trPr>
          <w:trHeight w:val="527"/>
        </w:trPr>
        <w:tc>
          <w:tcPr>
            <w:tcW w:w="9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2"/>
          </w:cols>
          <w:pgMar w:left="1418" w:top="127" w:right="1419" w:bottom="1440" w:gutter="0" w:footer="0" w:header="0"/>
        </w:sectPr>
      </w:pPr>
    </w:p>
    <w:bookmarkStart w:id="22" w:name="page23"/>
    <w:bookmarkEnd w:id="22"/>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1200" w:type="dxa"/>
            <w:vAlign w:val="bottom"/>
            <w:tcBorders>
              <w:bottom w:val="single" w:sz="8" w:color="0563C1"/>
            </w:tcBorders>
            <w:gridSpan w:val="2"/>
          </w:tcPr>
          <w:p>
            <w:pPr>
              <w:spacing w:after="0"/>
              <w:rPr>
                <w:rFonts w:ascii="Arial" w:cs="Arial" w:eastAsia="Arial" w:hAnsi="Arial"/>
                <w:sz w:val="17"/>
                <w:szCs w:val="17"/>
                <w:color w:val="0563C1"/>
                <w:w w:val="87"/>
              </w:rPr>
            </w:pPr>
            <w:hyperlink w:anchor="page2">
              <w:r>
                <w:rPr>
                  <w:rFonts w:ascii="Arial" w:cs="Arial" w:eastAsia="Arial" w:hAnsi="Arial"/>
                  <w:sz w:val="17"/>
                  <w:szCs w:val="17"/>
                  <w:color w:val="0563C1"/>
                  <w:w w:val="87"/>
                </w:rPr>
                <w:t>Table of Contents</w:t>
              </w:r>
            </w:hyperlink>
          </w:p>
        </w:tc>
        <w:tc>
          <w:tcPr>
            <w:tcW w:w="5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9"/>
        </w:trPr>
        <w:tc>
          <w:tcPr>
            <w:tcW w:w="6900" w:type="dxa"/>
            <w:vAlign w:val="bottom"/>
            <w:gridSpan w:val="3"/>
          </w:tcPr>
          <w:p>
            <w:pPr>
              <w:spacing w:after="0"/>
              <w:rPr>
                <w:sz w:val="20"/>
                <w:szCs w:val="20"/>
                <w:color w:val="auto"/>
              </w:rPr>
            </w:pPr>
            <w:r>
              <w:rPr>
                <w:rFonts w:ascii="Arial" w:cs="Arial" w:eastAsia="Arial" w:hAnsi="Arial"/>
                <w:sz w:val="17"/>
                <w:szCs w:val="17"/>
                <w:color w:val="auto"/>
                <w:w w:val="96"/>
              </w:rPr>
              <w:t>The following table presents the maturity of lease liabilities as of June 30, 2019 (in thousands):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0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0" w:type="dxa"/>
            <w:vAlign w:val="bottom"/>
            <w:vMerge w:val="continue"/>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Remainder of 2019</w:t>
            </w:r>
          </w:p>
        </w:tc>
        <w:tc>
          <w:tcPr>
            <w:tcW w:w="660" w:type="dxa"/>
            <w:vAlign w:val="bottom"/>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5,640</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000" w:type="dxa"/>
            <w:vAlign w:val="bottom"/>
            <w:gridSpan w:val="2"/>
          </w:tcPr>
          <w:p>
            <w:pPr>
              <w:spacing w:after="0"/>
              <w:rPr>
                <w:sz w:val="20"/>
                <w:szCs w:val="20"/>
                <w:color w:val="auto"/>
              </w:rPr>
            </w:pPr>
            <w:r>
              <w:rPr>
                <w:rFonts w:ascii="Arial" w:cs="Arial" w:eastAsia="Arial" w:hAnsi="Arial"/>
                <w:sz w:val="17"/>
                <w:szCs w:val="17"/>
                <w:color w:val="auto"/>
              </w:rPr>
              <w:t>2020</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7,684</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2021</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5,349</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000" w:type="dxa"/>
            <w:vAlign w:val="bottom"/>
            <w:gridSpan w:val="2"/>
          </w:tcPr>
          <w:p>
            <w:pPr>
              <w:spacing w:after="0"/>
              <w:rPr>
                <w:sz w:val="20"/>
                <w:szCs w:val="20"/>
                <w:color w:val="auto"/>
              </w:rPr>
            </w:pPr>
            <w:r>
              <w:rPr>
                <w:rFonts w:ascii="Arial" w:cs="Arial" w:eastAsia="Arial" w:hAnsi="Arial"/>
                <w:sz w:val="17"/>
                <w:szCs w:val="17"/>
                <w:color w:val="auto"/>
              </w:rPr>
              <w:t>2022</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4,050</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2023</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3,876</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0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Thereafter</w:t>
            </w:r>
          </w:p>
        </w:tc>
        <w:tc>
          <w:tcPr>
            <w:tcW w:w="4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11,151</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future minimum lease payments</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37,750</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0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Less imputed interest</w:t>
            </w:r>
          </w:p>
        </w:tc>
        <w:tc>
          <w:tcPr>
            <w:tcW w:w="4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(3,222)</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Lease liability</w:t>
            </w:r>
          </w:p>
        </w:tc>
        <w:tc>
          <w:tcPr>
            <w:tcW w:w="4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34,528</w:t>
            </w:r>
          </w:p>
        </w:tc>
        <w:tc>
          <w:tcPr>
            <w:tcW w:w="0" w:type="dxa"/>
            <w:vAlign w:val="bottom"/>
          </w:tcPr>
          <w:p>
            <w:pPr>
              <w:spacing w:after="0"/>
              <w:rPr>
                <w:sz w:val="1"/>
                <w:szCs w:val="1"/>
                <w:color w:val="auto"/>
              </w:rPr>
            </w:pPr>
          </w:p>
        </w:tc>
      </w:tr>
      <w:tr>
        <w:trPr>
          <w:trHeight w:val="391"/>
        </w:trPr>
        <w:tc>
          <w:tcPr>
            <w:tcW w:w="6900" w:type="dxa"/>
            <w:vAlign w:val="bottom"/>
            <w:gridSpan w:val="3"/>
          </w:tcPr>
          <w:p>
            <w:pPr>
              <w:spacing w:after="0"/>
              <w:rPr>
                <w:sz w:val="20"/>
                <w:szCs w:val="20"/>
                <w:color w:val="auto"/>
              </w:rPr>
            </w:pPr>
            <w:r>
              <w:rPr>
                <w:rFonts w:ascii="Arial" w:cs="Arial" w:eastAsia="Arial" w:hAnsi="Arial"/>
                <w:sz w:val="17"/>
                <w:szCs w:val="17"/>
                <w:color w:val="auto"/>
              </w:rPr>
              <w:t>At June 30, 2019, the future minimum lease payments are as follows (in thousands):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0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0" w:type="dxa"/>
            <w:vAlign w:val="bottom"/>
            <w:vMerge w:val="continue"/>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Remainder of 2019</w:t>
            </w:r>
          </w:p>
        </w:tc>
        <w:tc>
          <w:tcPr>
            <w:tcW w:w="660" w:type="dxa"/>
            <w:vAlign w:val="bottom"/>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5,640</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000" w:type="dxa"/>
            <w:vAlign w:val="bottom"/>
            <w:gridSpan w:val="2"/>
          </w:tcPr>
          <w:p>
            <w:pPr>
              <w:spacing w:after="0"/>
              <w:rPr>
                <w:sz w:val="20"/>
                <w:szCs w:val="20"/>
                <w:color w:val="auto"/>
              </w:rPr>
            </w:pPr>
            <w:r>
              <w:rPr>
                <w:rFonts w:ascii="Arial" w:cs="Arial" w:eastAsia="Arial" w:hAnsi="Arial"/>
                <w:sz w:val="17"/>
                <w:szCs w:val="17"/>
                <w:color w:val="auto"/>
              </w:rPr>
              <w:t>2020</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7,684</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2021</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5,349</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000" w:type="dxa"/>
            <w:vAlign w:val="bottom"/>
            <w:gridSpan w:val="2"/>
          </w:tcPr>
          <w:p>
            <w:pPr>
              <w:spacing w:after="0"/>
              <w:rPr>
                <w:sz w:val="20"/>
                <w:szCs w:val="20"/>
                <w:color w:val="auto"/>
              </w:rPr>
            </w:pPr>
            <w:r>
              <w:rPr>
                <w:rFonts w:ascii="Arial" w:cs="Arial" w:eastAsia="Arial" w:hAnsi="Arial"/>
                <w:sz w:val="17"/>
                <w:szCs w:val="17"/>
                <w:color w:val="auto"/>
              </w:rPr>
              <w:t>2022</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4,050</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2023</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3,876</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0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Thereafter</w:t>
            </w:r>
          </w:p>
        </w:tc>
        <w:tc>
          <w:tcPr>
            <w:tcW w:w="4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11,151</w:t>
            </w: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7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37,750</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2"/>
        <w:spacing w:after="0"/>
        <w:rPr>
          <w:sz w:val="20"/>
          <w:szCs w:val="20"/>
          <w:color w:val="auto"/>
        </w:rPr>
      </w:pPr>
      <w:r>
        <w:rPr>
          <w:rFonts w:ascii="Arial" w:cs="Arial" w:eastAsia="Arial" w:hAnsi="Arial"/>
          <w:sz w:val="17"/>
          <w:szCs w:val="17"/>
          <w:color w:val="auto"/>
        </w:rPr>
        <w:t>One US lease is secured by a letter of credit in the amount of $1,200,000, which is guaranteed by Refinitiv.</w:t>
      </w:r>
    </w:p>
    <w:p>
      <w:pPr>
        <w:spacing w:after="0" w:line="220" w:lineRule="exact"/>
        <w:rPr>
          <w:sz w:val="20"/>
          <w:szCs w:val="20"/>
          <w:color w:val="auto"/>
        </w:rPr>
      </w:pPr>
    </w:p>
    <w:p>
      <w:pPr>
        <w:ind w:left="542" w:hanging="542"/>
        <w:spacing w:after="0"/>
        <w:tabs>
          <w:tab w:leader="none" w:pos="542"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Intangible Assets and Goodwill</w:t>
      </w:r>
    </w:p>
    <w:p>
      <w:pPr>
        <w:spacing w:after="0" w:line="215" w:lineRule="exact"/>
        <w:rPr>
          <w:sz w:val="20"/>
          <w:szCs w:val="20"/>
          <w:color w:val="auto"/>
        </w:rPr>
      </w:pPr>
    </w:p>
    <w:p>
      <w:pPr>
        <w:ind w:left="2" w:right="500"/>
        <w:spacing w:after="0" w:line="273" w:lineRule="auto"/>
        <w:rPr>
          <w:sz w:val="20"/>
          <w:szCs w:val="20"/>
          <w:color w:val="auto"/>
        </w:rPr>
      </w:pPr>
      <w:r>
        <w:rPr>
          <w:rFonts w:ascii="Arial" w:cs="Arial" w:eastAsia="Arial" w:hAnsi="Arial"/>
          <w:sz w:val="17"/>
          <w:szCs w:val="17"/>
          <w:color w:val="auto"/>
        </w:rPr>
        <w:t>Intangible assets and goodwill relate to the allocation of purchase price associated with the Refinitiv Transaction (see Note 3 – Pushdown Accounting).</w:t>
      </w:r>
    </w:p>
    <w:p>
      <w:pPr>
        <w:spacing w:after="0" w:line="165" w:lineRule="exact"/>
        <w:rPr>
          <w:sz w:val="20"/>
          <w:szCs w:val="20"/>
          <w:color w:val="auto"/>
        </w:rPr>
      </w:pPr>
    </w:p>
    <w:p>
      <w:pPr>
        <w:ind w:left="2" w:right="220"/>
        <w:spacing w:after="0" w:line="273" w:lineRule="auto"/>
        <w:rPr>
          <w:sz w:val="20"/>
          <w:szCs w:val="20"/>
          <w:color w:val="auto"/>
        </w:rPr>
      </w:pPr>
      <w:r>
        <w:rPr>
          <w:rFonts w:ascii="Arial" w:cs="Arial" w:eastAsia="Arial" w:hAnsi="Arial"/>
          <w:sz w:val="17"/>
          <w:szCs w:val="17"/>
          <w:color w:val="auto"/>
        </w:rPr>
        <w:t>The following is a summary of intangible assets which have an indefinite useful life at both June 30, 2019 and December 31, 2018 (in thousands):</w:t>
      </w:r>
    </w:p>
    <w:p>
      <w:pPr>
        <w:spacing w:after="0" w:line="394" w:lineRule="exact"/>
        <w:rPr>
          <w:sz w:val="20"/>
          <w:szCs w:val="20"/>
          <w:color w:val="auto"/>
        </w:rPr>
      </w:pPr>
    </w:p>
    <w:tbl>
      <w:tblPr>
        <w:tblLayout w:type="fixed"/>
        <w:tblInd w:w="902" w:type="dxa"/>
        <w:tblCellMar>
          <w:top w:w="0" w:type="dxa"/>
          <w:left w:w="0" w:type="dxa"/>
          <w:bottom w:w="0" w:type="dxa"/>
          <w:right w:w="0" w:type="dxa"/>
        </w:tblCellMar>
      </w:tblPr>
      <w:tr>
        <w:trPr>
          <w:trHeight w:val="203"/>
        </w:trPr>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Licenses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168,800</w:t>
            </w:r>
          </w:p>
        </w:tc>
      </w:tr>
      <w:tr>
        <w:trPr>
          <w:trHeight w:val="203"/>
        </w:trPr>
        <w:tc>
          <w:tcPr>
            <w:tcW w:w="36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Tradename</w:t>
            </w:r>
          </w:p>
        </w:tc>
        <w:tc>
          <w:tcPr>
            <w:tcW w:w="28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154,300</w:t>
            </w:r>
          </w:p>
        </w:tc>
      </w:tr>
      <w:tr>
        <w:trPr>
          <w:trHeight w:val="201"/>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8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323,100</w:t>
            </w:r>
          </w:p>
        </w:tc>
      </w:tr>
    </w:tbl>
    <w:p>
      <w:pPr>
        <w:spacing w:after="0" w:line="191" w:lineRule="exact"/>
        <w:rPr>
          <w:sz w:val="20"/>
          <w:szCs w:val="20"/>
          <w:color w:val="auto"/>
        </w:rPr>
      </w:pPr>
    </w:p>
    <w:p>
      <w:pPr>
        <w:ind w:left="2" w:right="520"/>
        <w:spacing w:after="0" w:line="273" w:lineRule="auto"/>
        <w:rPr>
          <w:sz w:val="20"/>
          <w:szCs w:val="20"/>
          <w:color w:val="auto"/>
        </w:rPr>
      </w:pPr>
      <w:r>
        <w:rPr>
          <w:rFonts w:ascii="Arial" w:cs="Arial" w:eastAsia="Arial" w:hAnsi="Arial"/>
          <w:sz w:val="17"/>
          <w:szCs w:val="17"/>
          <w:color w:val="auto"/>
        </w:rPr>
        <w:t>Intangible assets that are subject to amortization, including the related accumulated amortization, are comprised as follows (in thousands):</w:t>
      </w:r>
    </w:p>
    <w:p>
      <w:pPr>
        <w:spacing w:after="0" w:line="169"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79"/>
              </w:rPr>
              <w:t>Successor</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340" w:type="dxa"/>
            <w:vAlign w:val="bottom"/>
          </w:tcPr>
          <w:p>
            <w:pPr>
              <w:spacing w:after="0"/>
              <w:rPr>
                <w:sz w:val="11"/>
                <w:szCs w:val="11"/>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Amortization</w:t>
            </w: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center"/>
              <w:ind w:right="60"/>
              <w:spacing w:after="0" w:line="133" w:lineRule="exact"/>
              <w:rPr>
                <w:sz w:val="20"/>
                <w:szCs w:val="20"/>
                <w:color w:val="auto"/>
              </w:rPr>
            </w:pPr>
            <w:r>
              <w:rPr>
                <w:rFonts w:ascii="Arial" w:cs="Arial" w:eastAsia="Arial" w:hAnsi="Arial"/>
                <w:sz w:val="14"/>
                <w:szCs w:val="14"/>
                <w:b w:val="1"/>
                <w:bCs w:val="1"/>
                <w:color w:val="auto"/>
                <w:w w:val="87"/>
              </w:rPr>
              <w:t>June 30, 2019</w:t>
            </w: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6"/>
          </w:tcPr>
          <w:p>
            <w:pPr>
              <w:jc w:val="right"/>
              <w:ind w:right="35"/>
              <w:spacing w:after="0" w:line="133" w:lineRule="exact"/>
              <w:rPr>
                <w:sz w:val="20"/>
                <w:szCs w:val="20"/>
                <w:color w:val="auto"/>
              </w:rPr>
            </w:pPr>
            <w:r>
              <w:rPr>
                <w:rFonts w:ascii="Arial" w:cs="Arial" w:eastAsia="Arial" w:hAnsi="Arial"/>
                <w:sz w:val="14"/>
                <w:szCs w:val="14"/>
                <w:b w:val="1"/>
                <w:bCs w:val="1"/>
                <w:color w:val="auto"/>
                <w:w w:val="91"/>
              </w:rPr>
              <w:t>December 31, 2018</w:t>
            </w: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3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3"/>
          </w:tcPr>
          <w:p>
            <w:pPr>
              <w:ind w:left="60"/>
              <w:spacing w:after="0" w:line="113" w:lineRule="exact"/>
              <w:rPr>
                <w:sz w:val="20"/>
                <w:szCs w:val="20"/>
                <w:color w:val="auto"/>
              </w:rPr>
            </w:pPr>
            <w:r>
              <w:rPr>
                <w:rFonts w:ascii="Arial" w:cs="Arial" w:eastAsia="Arial" w:hAnsi="Arial"/>
                <w:sz w:val="12"/>
                <w:szCs w:val="12"/>
                <w:b w:val="1"/>
                <w:bCs w:val="1"/>
                <w:color w:val="auto"/>
              </w:rPr>
              <w:t>Accumulated</w:t>
            </w:r>
          </w:p>
        </w:tc>
        <w:tc>
          <w:tcPr>
            <w:tcW w:w="60" w:type="dxa"/>
            <w:vAlign w:val="bottom"/>
          </w:tcPr>
          <w:p>
            <w:pPr>
              <w:spacing w:after="0"/>
              <w:rPr>
                <w:sz w:val="9"/>
                <w:szCs w:val="9"/>
                <w:color w:val="auto"/>
              </w:rPr>
            </w:pPr>
          </w:p>
        </w:tc>
        <w:tc>
          <w:tcPr>
            <w:tcW w:w="860" w:type="dxa"/>
            <w:vAlign w:val="bottom"/>
            <w:gridSpan w:val="2"/>
          </w:tcPr>
          <w:p>
            <w:pPr>
              <w:jc w:val="right"/>
              <w:spacing w:after="0" w:line="113" w:lineRule="exact"/>
              <w:rPr>
                <w:sz w:val="20"/>
                <w:szCs w:val="20"/>
                <w:color w:val="auto"/>
              </w:rPr>
            </w:pPr>
            <w:r>
              <w:rPr>
                <w:rFonts w:ascii="Arial" w:cs="Arial" w:eastAsia="Arial" w:hAnsi="Arial"/>
                <w:sz w:val="12"/>
                <w:szCs w:val="12"/>
                <w:b w:val="1"/>
                <w:bCs w:val="1"/>
                <w:color w:val="auto"/>
              </w:rPr>
              <w:t>Net Carrying</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3"/>
          </w:tcPr>
          <w:p>
            <w:pPr>
              <w:jc w:val="right"/>
              <w:ind w:right="120"/>
              <w:spacing w:after="0" w:line="113" w:lineRule="exact"/>
              <w:rPr>
                <w:sz w:val="20"/>
                <w:szCs w:val="20"/>
                <w:color w:val="auto"/>
              </w:rPr>
            </w:pPr>
            <w:r>
              <w:rPr>
                <w:rFonts w:ascii="Arial" w:cs="Arial" w:eastAsia="Arial" w:hAnsi="Arial"/>
                <w:sz w:val="12"/>
                <w:szCs w:val="12"/>
                <w:b w:val="1"/>
                <w:bCs w:val="1"/>
                <w:color w:val="auto"/>
              </w:rPr>
              <w:t>Accumulated</w:t>
            </w:r>
          </w:p>
        </w:tc>
        <w:tc>
          <w:tcPr>
            <w:tcW w:w="60" w:type="dxa"/>
            <w:vAlign w:val="bottom"/>
          </w:tcPr>
          <w:p>
            <w:pPr>
              <w:spacing w:after="0"/>
              <w:rPr>
                <w:sz w:val="9"/>
                <w:szCs w:val="9"/>
                <w:color w:val="auto"/>
              </w:rPr>
            </w:pPr>
          </w:p>
        </w:tc>
        <w:tc>
          <w:tcPr>
            <w:tcW w:w="880" w:type="dxa"/>
            <w:vAlign w:val="bottom"/>
            <w:gridSpan w:val="2"/>
          </w:tcPr>
          <w:p>
            <w:pPr>
              <w:jc w:val="right"/>
              <w:spacing w:after="0" w:line="113" w:lineRule="exact"/>
              <w:rPr>
                <w:sz w:val="20"/>
                <w:szCs w:val="20"/>
                <w:color w:val="auto"/>
              </w:rPr>
            </w:pPr>
            <w:r>
              <w:rPr>
                <w:rFonts w:ascii="Arial" w:cs="Arial" w:eastAsia="Arial" w:hAnsi="Arial"/>
                <w:sz w:val="12"/>
                <w:szCs w:val="12"/>
                <w:b w:val="1"/>
                <w:bCs w:val="1"/>
                <w:color w:val="auto"/>
              </w:rPr>
              <w:t>Net Carrying</w:t>
            </w:r>
          </w:p>
        </w:tc>
        <w:tc>
          <w:tcPr>
            <w:tcW w:w="0" w:type="dxa"/>
            <w:vAlign w:val="bottom"/>
          </w:tcPr>
          <w:p>
            <w:pPr>
              <w:spacing w:after="0"/>
              <w:rPr>
                <w:sz w:val="1"/>
                <w:szCs w:val="1"/>
                <w:color w:val="auto"/>
              </w:rPr>
            </w:pPr>
          </w:p>
        </w:tc>
      </w:tr>
      <w:tr>
        <w:trPr>
          <w:trHeight w:val="160"/>
        </w:trPr>
        <w:tc>
          <w:tcPr>
            <w:tcW w:w="234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Period</w:t>
            </w:r>
          </w:p>
        </w:tc>
        <w:tc>
          <w:tcPr>
            <w:tcW w:w="120" w:type="dxa"/>
            <w:vAlign w:val="bottom"/>
          </w:tcPr>
          <w:p>
            <w:pPr>
              <w:spacing w:after="0"/>
              <w:rPr>
                <w:sz w:val="13"/>
                <w:szCs w:val="13"/>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3"/>
                <w:szCs w:val="13"/>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3"/>
                <w:szCs w:val="13"/>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Amortization</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01"/>
        </w:trPr>
        <w:tc>
          <w:tcPr>
            <w:tcW w:w="2340" w:type="dxa"/>
            <w:vAlign w:val="bottom"/>
            <w:tcBorders>
              <w:top w:val="single" w:sz="8" w:color="CCEEFF"/>
            </w:tcBorders>
            <w:shd w:val="clear" w:color="auto" w:fill="CCEEFF"/>
          </w:tcPr>
          <w:p>
            <w:pPr>
              <w:spacing w:after="0" w:line="102" w:lineRule="exact"/>
              <w:rPr>
                <w:sz w:val="20"/>
                <w:szCs w:val="20"/>
                <w:color w:val="auto"/>
              </w:rPr>
            </w:pPr>
            <w:r>
              <w:rPr>
                <w:rFonts w:ascii="Arial" w:cs="Arial" w:eastAsia="Arial" w:hAnsi="Arial"/>
                <w:sz w:val="11"/>
                <w:szCs w:val="11"/>
                <w:color w:val="auto"/>
              </w:rPr>
              <w:t>Customer relationships - Refinitiv</w:t>
            </w:r>
          </w:p>
        </w:tc>
        <w:tc>
          <w:tcPr>
            <w:tcW w:w="8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340" w:type="dxa"/>
            <w:vAlign w:val="bottom"/>
            <w:shd w:val="clear" w:color="auto" w:fill="CCEEFF"/>
          </w:tcPr>
          <w:p>
            <w:pPr>
              <w:ind w:left="120"/>
              <w:spacing w:after="0" w:line="158" w:lineRule="exact"/>
              <w:rPr>
                <w:sz w:val="20"/>
                <w:szCs w:val="20"/>
                <w:color w:val="auto"/>
              </w:rPr>
            </w:pPr>
            <w:r>
              <w:rPr>
                <w:rFonts w:ascii="Arial" w:cs="Arial" w:eastAsia="Arial" w:hAnsi="Arial"/>
                <w:sz w:val="14"/>
                <w:szCs w:val="14"/>
                <w:color w:val="auto"/>
              </w:rPr>
              <w:t>Transaction</w:t>
            </w:r>
          </w:p>
        </w:tc>
        <w:tc>
          <w:tcPr>
            <w:tcW w:w="1000" w:type="dxa"/>
            <w:vAlign w:val="bottom"/>
            <w:gridSpan w:val="2"/>
            <w:shd w:val="clear" w:color="auto" w:fill="CCEEFF"/>
          </w:tcPr>
          <w:p>
            <w:pPr>
              <w:jc w:val="center"/>
              <w:ind w:right="140"/>
              <w:spacing w:after="0" w:line="158" w:lineRule="exact"/>
              <w:rPr>
                <w:sz w:val="20"/>
                <w:szCs w:val="20"/>
                <w:color w:val="auto"/>
              </w:rPr>
            </w:pPr>
            <w:r>
              <w:rPr>
                <w:rFonts w:ascii="Arial" w:cs="Arial" w:eastAsia="Arial" w:hAnsi="Arial"/>
                <w:sz w:val="14"/>
                <w:szCs w:val="14"/>
                <w:color w:val="auto"/>
                <w:w w:val="82"/>
              </w:rPr>
              <w:t>12 Years</w:t>
            </w:r>
          </w:p>
        </w:tc>
        <w:tc>
          <w:tcPr>
            <w:tcW w:w="1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928,200</w:t>
            </w:r>
          </w:p>
        </w:tc>
        <w:tc>
          <w:tcPr>
            <w:tcW w:w="2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(58,012)</w:t>
            </w:r>
          </w:p>
        </w:tc>
        <w:tc>
          <w:tcPr>
            <w:tcW w:w="180" w:type="dxa"/>
            <w:vAlign w:val="bottom"/>
            <w:gridSpan w:val="2"/>
            <w:shd w:val="clear" w:color="auto" w:fill="CCEEFF"/>
          </w:tcPr>
          <w:p>
            <w:pPr>
              <w:jc w:val="right"/>
              <w:ind w:right="4"/>
              <w:spacing w:after="0" w:line="158"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870,188</w:t>
            </w:r>
          </w:p>
        </w:tc>
        <w:tc>
          <w:tcPr>
            <w:tcW w:w="2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928,200</w:t>
            </w:r>
          </w:p>
        </w:tc>
        <w:tc>
          <w:tcPr>
            <w:tcW w:w="2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(19,338)</w:t>
            </w:r>
          </w:p>
        </w:tc>
        <w:tc>
          <w:tcPr>
            <w:tcW w:w="2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908,862</w:t>
            </w:r>
          </w:p>
        </w:tc>
        <w:tc>
          <w:tcPr>
            <w:tcW w:w="0" w:type="dxa"/>
            <w:vAlign w:val="bottom"/>
          </w:tcPr>
          <w:p>
            <w:pPr>
              <w:spacing w:after="0"/>
              <w:rPr>
                <w:sz w:val="1"/>
                <w:szCs w:val="1"/>
                <w:color w:val="auto"/>
              </w:rPr>
            </w:pPr>
          </w:p>
        </w:tc>
      </w:tr>
      <w:tr>
        <w:trPr>
          <w:trHeight w:val="140"/>
        </w:trPr>
        <w:tc>
          <w:tcPr>
            <w:tcW w:w="2340" w:type="dxa"/>
            <w:vAlign w:val="bottom"/>
          </w:tcPr>
          <w:p>
            <w:pPr>
              <w:spacing w:after="0" w:line="140" w:lineRule="exact"/>
              <w:rPr>
                <w:sz w:val="20"/>
                <w:szCs w:val="20"/>
                <w:color w:val="auto"/>
              </w:rPr>
            </w:pPr>
            <w:r>
              <w:rPr>
                <w:rFonts w:ascii="Arial" w:cs="Arial" w:eastAsia="Arial" w:hAnsi="Arial"/>
                <w:sz w:val="14"/>
                <w:szCs w:val="14"/>
                <w:color w:val="auto"/>
              </w:rPr>
              <w:t>Content and data</w:t>
            </w:r>
          </w:p>
        </w:tc>
        <w:tc>
          <w:tcPr>
            <w:tcW w:w="1000" w:type="dxa"/>
            <w:vAlign w:val="bottom"/>
            <w:gridSpan w:val="2"/>
          </w:tcPr>
          <w:p>
            <w:pPr>
              <w:jc w:val="center"/>
              <w:ind w:right="120"/>
              <w:spacing w:after="0" w:line="140" w:lineRule="exact"/>
              <w:rPr>
                <w:sz w:val="20"/>
                <w:szCs w:val="20"/>
                <w:color w:val="auto"/>
              </w:rPr>
            </w:pPr>
            <w:r>
              <w:rPr>
                <w:rFonts w:ascii="Arial" w:cs="Arial" w:eastAsia="Arial" w:hAnsi="Arial"/>
                <w:sz w:val="14"/>
                <w:szCs w:val="14"/>
                <w:color w:val="auto"/>
                <w:w w:val="82"/>
              </w:rPr>
              <w:t>7 Years</w:t>
            </w:r>
          </w:p>
        </w:tc>
        <w:tc>
          <w:tcPr>
            <w:tcW w:w="120" w:type="dxa"/>
            <w:vAlign w:val="bottom"/>
          </w:tcPr>
          <w:p>
            <w:pPr>
              <w:spacing w:after="0"/>
              <w:rPr>
                <w:sz w:val="12"/>
                <w:szCs w:val="12"/>
                <w:color w:val="auto"/>
              </w:rPr>
            </w:pPr>
          </w:p>
        </w:tc>
        <w:tc>
          <w:tcPr>
            <w:tcW w:w="640" w:type="dxa"/>
            <w:vAlign w:val="bottom"/>
          </w:tcPr>
          <w:p>
            <w:pPr>
              <w:jc w:val="right"/>
              <w:spacing w:after="0" w:line="140" w:lineRule="exact"/>
              <w:rPr>
                <w:sz w:val="20"/>
                <w:szCs w:val="20"/>
                <w:color w:val="auto"/>
              </w:rPr>
            </w:pPr>
            <w:r>
              <w:rPr>
                <w:rFonts w:ascii="Arial" w:cs="Arial" w:eastAsia="Arial" w:hAnsi="Arial"/>
                <w:sz w:val="14"/>
                <w:szCs w:val="14"/>
                <w:color w:val="auto"/>
              </w:rPr>
              <w:t>154,400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80"/>
              <w:spacing w:after="0" w:line="140" w:lineRule="exact"/>
              <w:rPr>
                <w:sz w:val="20"/>
                <w:szCs w:val="20"/>
                <w:color w:val="auto"/>
              </w:rPr>
            </w:pPr>
            <w:r>
              <w:rPr>
                <w:rFonts w:ascii="Arial" w:cs="Arial" w:eastAsia="Arial" w:hAnsi="Arial"/>
                <w:sz w:val="14"/>
                <w:szCs w:val="14"/>
                <w:color w:val="auto"/>
              </w:rPr>
              <w:t>(16,543)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0" w:lineRule="exact"/>
              <w:rPr>
                <w:sz w:val="20"/>
                <w:szCs w:val="20"/>
                <w:color w:val="auto"/>
              </w:rPr>
            </w:pPr>
            <w:r>
              <w:rPr>
                <w:rFonts w:ascii="Arial" w:cs="Arial" w:eastAsia="Arial" w:hAnsi="Arial"/>
                <w:sz w:val="14"/>
                <w:szCs w:val="14"/>
                <w:color w:val="auto"/>
              </w:rPr>
              <w:t>137,857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0" w:lineRule="exact"/>
              <w:rPr>
                <w:sz w:val="20"/>
                <w:szCs w:val="20"/>
                <w:color w:val="auto"/>
              </w:rPr>
            </w:pPr>
            <w:r>
              <w:rPr>
                <w:rFonts w:ascii="Arial" w:cs="Arial" w:eastAsia="Arial" w:hAnsi="Arial"/>
                <w:sz w:val="14"/>
                <w:szCs w:val="14"/>
                <w:color w:val="auto"/>
              </w:rPr>
              <w:t>154,400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0" w:lineRule="exact"/>
              <w:rPr>
                <w:sz w:val="20"/>
                <w:szCs w:val="20"/>
                <w:color w:val="auto"/>
              </w:rPr>
            </w:pPr>
            <w:r>
              <w:rPr>
                <w:rFonts w:ascii="Arial" w:cs="Arial" w:eastAsia="Arial" w:hAnsi="Arial"/>
                <w:sz w:val="14"/>
                <w:szCs w:val="14"/>
                <w:color w:val="auto"/>
              </w:rPr>
              <w:t>(5,514)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0" w:lineRule="exact"/>
              <w:rPr>
                <w:sz w:val="20"/>
                <w:szCs w:val="20"/>
                <w:color w:val="auto"/>
              </w:rPr>
            </w:pPr>
            <w:r>
              <w:rPr>
                <w:rFonts w:ascii="Arial" w:cs="Arial" w:eastAsia="Arial" w:hAnsi="Arial"/>
                <w:sz w:val="14"/>
                <w:szCs w:val="14"/>
                <w:color w:val="auto"/>
              </w:rPr>
              <w:t>148,886</w:t>
            </w:r>
          </w:p>
        </w:tc>
        <w:tc>
          <w:tcPr>
            <w:tcW w:w="0" w:type="dxa"/>
            <w:vAlign w:val="bottom"/>
          </w:tcPr>
          <w:p>
            <w:pPr>
              <w:spacing w:after="0"/>
              <w:rPr>
                <w:sz w:val="1"/>
                <w:szCs w:val="1"/>
                <w:color w:val="auto"/>
              </w:rPr>
            </w:pPr>
          </w:p>
        </w:tc>
      </w:tr>
      <w:tr>
        <w:trPr>
          <w:trHeight w:val="138"/>
        </w:trPr>
        <w:tc>
          <w:tcPr>
            <w:tcW w:w="234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w w:val="93"/>
              </w:rPr>
              <w:t>1,082,600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(74,555)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1,008,045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w w:val="93"/>
              </w:rPr>
              <w:t>1,082,600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(24,852)</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1,057,748</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left="2"/>
        <w:spacing w:after="0" w:line="305" w:lineRule="auto"/>
        <w:rPr>
          <w:sz w:val="20"/>
          <w:szCs w:val="20"/>
          <w:color w:val="auto"/>
        </w:rPr>
      </w:pPr>
      <w:r>
        <w:rPr>
          <w:rFonts w:ascii="Arial" w:cs="Arial" w:eastAsia="Arial" w:hAnsi="Arial"/>
          <w:sz w:val="16"/>
          <w:szCs w:val="16"/>
          <w:color w:val="auto"/>
        </w:rPr>
        <w:t>Amortization expense relating to intangible assets was $24,852,000 and $49,704,000, respectively, for the three and six months ended June 30, 2019, and $6,557,000 and $13,063,000, respectively, for the three and six months ended June 30, 2018.</w:t>
      </w:r>
    </w:p>
    <w:p>
      <w:pPr>
        <w:spacing w:after="0" w:line="346"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335915</wp:posOffset>
            </wp:positionV>
            <wp:extent cx="5753735"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2"/>
          </w:cols>
          <w:pgMar w:left="1418" w:top="109" w:right="1419" w:bottom="1440" w:gutter="0" w:footer="0" w:header="0"/>
        </w:sectPr>
      </w:pPr>
    </w:p>
    <w:bookmarkStart w:id="23" w:name="page24"/>
    <w:bookmarkEnd w:id="23"/>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left="2"/>
        <w:spacing w:after="0"/>
        <w:rPr>
          <w:sz w:val="20"/>
          <w:szCs w:val="20"/>
          <w:color w:val="auto"/>
        </w:rPr>
      </w:pPr>
      <w:r>
        <w:rPr>
          <w:rFonts w:ascii="Arial" w:cs="Arial" w:eastAsia="Arial" w:hAnsi="Arial"/>
          <w:sz w:val="15"/>
          <w:szCs w:val="15"/>
          <w:color w:val="auto"/>
        </w:rPr>
        <w:t>The estimated annual future amortization for existing intangibles assets through December 31, 2023 is as follows (in thousands):</w:t>
      </w:r>
    </w:p>
    <w:p>
      <w:pPr>
        <w:spacing w:after="0" w:line="259" w:lineRule="exact"/>
        <w:rPr>
          <w:sz w:val="20"/>
          <w:szCs w:val="20"/>
          <w:color w:val="auto"/>
        </w:rPr>
      </w:pPr>
    </w:p>
    <w:tbl>
      <w:tblPr>
        <w:tblLayout w:type="fixed"/>
        <w:tblInd w:w="902" w:type="dxa"/>
        <w:tblCellMar>
          <w:top w:w="0" w:type="dxa"/>
          <w:left w:w="0" w:type="dxa"/>
          <w:bottom w:w="0" w:type="dxa"/>
          <w:right w:w="0" w:type="dxa"/>
        </w:tblCellMar>
      </w:tblP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2019</w:t>
            </w:r>
          </w:p>
        </w:tc>
        <w:tc>
          <w:tcPr>
            <w:tcW w:w="276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49,704</w:t>
            </w:r>
          </w:p>
        </w:tc>
      </w:tr>
      <w:tr>
        <w:trPr>
          <w:trHeight w:val="203"/>
        </w:trPr>
        <w:tc>
          <w:tcPr>
            <w:tcW w:w="3560" w:type="dxa"/>
            <w:vAlign w:val="bottom"/>
          </w:tcPr>
          <w:p>
            <w:pPr>
              <w:spacing w:after="0"/>
              <w:rPr>
                <w:sz w:val="20"/>
                <w:szCs w:val="20"/>
                <w:color w:val="auto"/>
              </w:rPr>
            </w:pPr>
            <w:r>
              <w:rPr>
                <w:rFonts w:ascii="Arial" w:cs="Arial" w:eastAsia="Arial" w:hAnsi="Arial"/>
                <w:sz w:val="17"/>
                <w:szCs w:val="17"/>
                <w:color w:val="auto"/>
              </w:rPr>
              <w:t>2020</w:t>
            </w:r>
          </w:p>
        </w:tc>
        <w:tc>
          <w:tcPr>
            <w:tcW w:w="27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99,408</w:t>
            </w: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27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99,408</w:t>
            </w:r>
          </w:p>
        </w:tc>
      </w:tr>
      <w:tr>
        <w:trPr>
          <w:trHeight w:val="203"/>
        </w:trPr>
        <w:tc>
          <w:tcPr>
            <w:tcW w:w="3560" w:type="dxa"/>
            <w:vAlign w:val="bottom"/>
          </w:tcPr>
          <w:p>
            <w:pPr>
              <w:spacing w:after="0"/>
              <w:rPr>
                <w:sz w:val="20"/>
                <w:szCs w:val="20"/>
                <w:color w:val="auto"/>
              </w:rPr>
            </w:pPr>
            <w:r>
              <w:rPr>
                <w:rFonts w:ascii="Arial" w:cs="Arial" w:eastAsia="Arial" w:hAnsi="Arial"/>
                <w:sz w:val="17"/>
                <w:szCs w:val="17"/>
                <w:color w:val="auto"/>
              </w:rPr>
              <w:t>2022</w:t>
            </w:r>
          </w:p>
        </w:tc>
        <w:tc>
          <w:tcPr>
            <w:tcW w:w="27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99,408</w:t>
            </w: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27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99,408</w:t>
            </w:r>
          </w:p>
        </w:tc>
      </w:tr>
    </w:tbl>
    <w:p>
      <w:pPr>
        <w:spacing w:after="0" w:line="212" w:lineRule="exact"/>
        <w:rPr>
          <w:sz w:val="20"/>
          <w:szCs w:val="20"/>
          <w:color w:val="auto"/>
        </w:rPr>
      </w:pPr>
    </w:p>
    <w:p>
      <w:pPr>
        <w:ind w:left="542" w:hanging="542"/>
        <w:spacing w:after="0"/>
        <w:tabs>
          <w:tab w:leader="none" w:pos="542"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Deferred Revenue</w:t>
      </w:r>
    </w:p>
    <w:p>
      <w:pPr>
        <w:spacing w:after="0" w:line="215" w:lineRule="exact"/>
        <w:rPr>
          <w:sz w:val="20"/>
          <w:szCs w:val="20"/>
          <w:color w:val="auto"/>
        </w:rPr>
      </w:pPr>
    </w:p>
    <w:p>
      <w:pPr>
        <w:ind w:left="2" w:right="580"/>
        <w:spacing w:after="0" w:line="273" w:lineRule="auto"/>
        <w:rPr>
          <w:sz w:val="20"/>
          <w:szCs w:val="20"/>
          <w:color w:val="auto"/>
        </w:rPr>
      </w:pPr>
      <w:r>
        <w:rPr>
          <w:rFonts w:ascii="Arial" w:cs="Arial" w:eastAsia="Arial" w:hAnsi="Arial"/>
          <w:sz w:val="17"/>
          <w:szCs w:val="17"/>
          <w:color w:val="auto"/>
        </w:rPr>
        <w:t>The Company records deferred revenue when cash payments are received or due in advance of services to be performed. The recognized revenue and remaining balance is shown below (in thousands):</w:t>
      </w:r>
    </w:p>
    <w:p>
      <w:pPr>
        <w:spacing w:after="0" w:line="190" w:lineRule="exact"/>
        <w:rPr>
          <w:sz w:val="20"/>
          <w:szCs w:val="20"/>
          <w:color w:val="auto"/>
        </w:rPr>
      </w:pPr>
    </w:p>
    <w:tbl>
      <w:tblPr>
        <w:tblLayout w:type="fixed"/>
        <w:tblInd w:w="902" w:type="dxa"/>
        <w:tblCellMar>
          <w:top w:w="0" w:type="dxa"/>
          <w:left w:w="0" w:type="dxa"/>
          <w:bottom w:w="0" w:type="dxa"/>
          <w:right w:w="0" w:type="dxa"/>
        </w:tblCellMar>
      </w:tblPr>
      <w:tr>
        <w:trPr>
          <w:trHeight w:val="203"/>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balance -December 31, 2018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27,883</w:t>
            </w:r>
          </w:p>
        </w:tc>
      </w:tr>
      <w:tr>
        <w:trPr>
          <w:trHeight w:val="203"/>
        </w:trPr>
        <w:tc>
          <w:tcPr>
            <w:tcW w:w="6360" w:type="dxa"/>
            <w:vAlign w:val="bottom"/>
          </w:tcPr>
          <w:p>
            <w:pPr>
              <w:spacing w:after="0"/>
              <w:rPr>
                <w:sz w:val="20"/>
                <w:szCs w:val="20"/>
                <w:color w:val="auto"/>
              </w:rPr>
            </w:pPr>
            <w:r>
              <w:rPr>
                <w:rFonts w:ascii="Arial" w:cs="Arial" w:eastAsia="Arial" w:hAnsi="Arial"/>
                <w:sz w:val="17"/>
                <w:szCs w:val="17"/>
                <w:color w:val="auto"/>
              </w:rPr>
              <w:t>New billings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54,735</w:t>
            </w:r>
          </w:p>
        </w:tc>
      </w:tr>
      <w:tr>
        <w:trPr>
          <w:trHeight w:val="203"/>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Revenue recognized</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(57,348)</w:t>
            </w:r>
          </w:p>
        </w:tc>
      </w:tr>
      <w:tr>
        <w:trPr>
          <w:trHeight w:val="201"/>
        </w:trPr>
        <w:tc>
          <w:tcPr>
            <w:tcW w:w="6360" w:type="dxa"/>
            <w:vAlign w:val="bottom"/>
          </w:tcPr>
          <w:p>
            <w:pPr>
              <w:spacing w:after="0"/>
              <w:rPr>
                <w:sz w:val="20"/>
                <w:szCs w:val="20"/>
                <w:color w:val="auto"/>
              </w:rPr>
            </w:pPr>
            <w:r>
              <w:rPr>
                <w:rFonts w:ascii="Arial" w:cs="Arial" w:eastAsia="Arial" w:hAnsi="Arial"/>
                <w:sz w:val="17"/>
                <w:szCs w:val="17"/>
                <w:color w:val="auto"/>
              </w:rPr>
              <w:t>Deferred revenue balance - June 30, 2019</w:t>
            </w: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25,270</w:t>
            </w:r>
          </w:p>
        </w:tc>
      </w:tr>
    </w:tbl>
    <w:p>
      <w:pPr>
        <w:spacing w:after="0" w:line="200" w:lineRule="exact"/>
        <w:rPr>
          <w:sz w:val="20"/>
          <w:szCs w:val="20"/>
          <w:color w:val="auto"/>
        </w:rPr>
      </w:pPr>
    </w:p>
    <w:p>
      <w:pPr>
        <w:ind w:left="542" w:hanging="542"/>
        <w:spacing w:after="0"/>
        <w:tabs>
          <w:tab w:leader="none" w:pos="542"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15" w:lineRule="exact"/>
        <w:rPr>
          <w:sz w:val="20"/>
          <w:szCs w:val="20"/>
          <w:color w:val="auto"/>
        </w:rPr>
      </w:pPr>
    </w:p>
    <w:p>
      <w:pPr>
        <w:ind w:left="2" w:right="20"/>
        <w:spacing w:after="0" w:line="269" w:lineRule="auto"/>
        <w:rPr>
          <w:sz w:val="20"/>
          <w:szCs w:val="20"/>
          <w:color w:val="auto"/>
        </w:rPr>
      </w:pPr>
      <w:r>
        <w:rPr>
          <w:rFonts w:ascii="Arial" w:cs="Arial" w:eastAsia="Arial" w:hAnsi="Arial"/>
          <w:sz w:val="16"/>
          <w:szCs w:val="16"/>
          <w:color w:val="auto"/>
        </w:rPr>
        <w:t>The Company's effective tax rate was 20.3% and 4.5% for the three months ended June 30, 2019 and 2018, respectively, and 14.2% and 4.9% for the six months ended June 30, 2019 and 2018, respectively. The significant increase in the effective tax rate for the three months and six months ended June 30, 2019 was primarily due to the Reorganization Transactions. Prior to the Reorganization Transactions, incomes taxes consisted only of business taxes incurred by TWM LLC and certain subsidiaries for business conducted in certain state, local and foreign jurisdictions as well as federal, state and local taxes for certain subsidiaries that are taxed as corporations for U.S. tax purposes. As a result of the Reorganization Transactions, 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may increase over time if the Continuing LLC Owners redeem or exchange their LLC Interests for shares of Class A common stock or Class B common stock, as applicable.</w:t>
      </w:r>
    </w:p>
    <w:p>
      <w:pPr>
        <w:spacing w:after="0" w:line="174" w:lineRule="exact"/>
        <w:rPr>
          <w:sz w:val="20"/>
          <w:szCs w:val="20"/>
          <w:color w:val="auto"/>
        </w:rPr>
      </w:pPr>
    </w:p>
    <w:p>
      <w:pPr>
        <w:ind w:left="2" w:right="540"/>
        <w:spacing w:after="0" w:line="341" w:lineRule="auto"/>
        <w:rPr>
          <w:sz w:val="20"/>
          <w:szCs w:val="20"/>
          <w:color w:val="auto"/>
        </w:rPr>
      </w:pPr>
      <w:r>
        <w:rPr>
          <w:rFonts w:ascii="Arial" w:cs="Arial" w:eastAsia="Arial" w:hAnsi="Arial"/>
          <w:sz w:val="15"/>
          <w:szCs w:val="15"/>
          <w:color w:val="auto"/>
        </w:rPr>
        <w:t>The Company's consolidated effective tax rate will vary from period to period depending on redemptions or exchanges by the Continuing LLC Owners, changes in the geographic mix of its earnings and changes in tax legislation and tax rates.</w:t>
      </w:r>
    </w:p>
    <w:p>
      <w:pPr>
        <w:spacing w:after="0" w:line="120" w:lineRule="exact"/>
        <w:rPr>
          <w:sz w:val="20"/>
          <w:szCs w:val="20"/>
          <w:color w:val="auto"/>
        </w:rPr>
      </w:pPr>
    </w:p>
    <w:p>
      <w:pPr>
        <w:jc w:val="both"/>
        <w:ind w:left="2" w:right="60"/>
        <w:spacing w:after="0" w:line="288" w:lineRule="auto"/>
        <w:rPr>
          <w:sz w:val="20"/>
          <w:szCs w:val="20"/>
          <w:color w:val="auto"/>
        </w:rPr>
      </w:pPr>
      <w:r>
        <w:rPr>
          <w:rFonts w:ascii="Arial" w:cs="Arial" w:eastAsia="Arial" w:hAnsi="Arial"/>
          <w:sz w:val="15"/>
          <w:szCs w:val="15"/>
          <w:color w:val="auto"/>
        </w:rPr>
        <w:t>The Company expects to obtain an increase in its share of the tax basis of the assets of TWM LLC when LLC Interests are redeemed or exchanged by the Continuing LLC Owners and in connection with certain other qualifying transactions. This increase in tax basis may have the effect of reducing the amounts that the Corporation would otherwise pay in the future to various tax authorities.</w:t>
      </w:r>
    </w:p>
    <w:p>
      <w:pPr>
        <w:spacing w:after="0" w:line="1" w:lineRule="exact"/>
        <w:rPr>
          <w:sz w:val="20"/>
          <w:szCs w:val="20"/>
          <w:color w:val="auto"/>
        </w:rPr>
      </w:pPr>
    </w:p>
    <w:p>
      <w:pPr>
        <w:ind w:left="2"/>
        <w:spacing w:after="0" w:line="251" w:lineRule="auto"/>
        <w:rPr>
          <w:sz w:val="20"/>
          <w:szCs w:val="20"/>
          <w:color w:val="auto"/>
        </w:rPr>
      </w:pPr>
      <w:r>
        <w:rPr>
          <w:rFonts w:ascii="Arial" w:cs="Arial" w:eastAsia="Arial" w:hAnsi="Arial"/>
          <w:sz w:val="17"/>
          <w:szCs w:val="17"/>
          <w:color w:val="auto"/>
        </w:rPr>
        <w:t>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we may become entitled. The Corporation expects to benefit from the remaining 50% of tax benefits, if any, that the Corporation may actually realize. See Note 8 – Tax Receivable Agreement. As a result of the IPO, the Company assumed a tax benefit of $93,194,000, due to an increase in amortizable tax basis that will be amortized primarily over 15 years pursuant to Section 197 of the Internal Revenue Code of 1986, as amended, offset by other factors. The tax benefit has been recognized in deferred tax asset on the June 30, 2019 consolidated statement of financial condition.</w:t>
      </w:r>
    </w:p>
    <w:p>
      <w:pPr>
        <w:spacing w:after="0" w:line="183" w:lineRule="exact"/>
        <w:rPr>
          <w:sz w:val="20"/>
          <w:szCs w:val="20"/>
          <w:color w:val="auto"/>
        </w:rPr>
      </w:pPr>
    </w:p>
    <w:p>
      <w:pPr>
        <w:ind w:left="2" w:right="160"/>
        <w:spacing w:after="0" w:line="261" w:lineRule="auto"/>
        <w:rPr>
          <w:sz w:val="20"/>
          <w:szCs w:val="20"/>
          <w:color w:val="auto"/>
        </w:rPr>
      </w:pPr>
      <w:r>
        <w:rPr>
          <w:rFonts w:ascii="Arial" w:cs="Arial" w:eastAsia="Arial" w:hAnsi="Arial"/>
          <w:sz w:val="17"/>
          <w:szCs w:val="17"/>
          <w:color w:val="auto"/>
        </w:rPr>
        <w:t>As a result of the Refinitiv Contribution, the Company assumed the tax liabilities of the contributed entity. The contributed entity is under audit by the State of New Jersey for the tax years 2012-2015 and is appealing a tax assessment from an audit by the State of New Jersey for the tax years 2008-2011. The Company recognized a tax</w:t>
      </w:r>
    </w:p>
    <w:p>
      <w:pPr>
        <w:spacing w:after="0" w:line="379"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335915</wp:posOffset>
            </wp:positionV>
            <wp:extent cx="5753735"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2"/>
          </w:cols>
          <w:pgMar w:left="1418" w:top="127" w:right="1419" w:bottom="1440" w:gutter="0" w:footer="0" w:header="0"/>
        </w:sectPr>
      </w:pPr>
    </w:p>
    <w:bookmarkStart w:id="24" w:name="page25"/>
    <w:bookmarkEnd w:id="24"/>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left="2" w:right="300"/>
        <w:spacing w:after="0" w:line="312" w:lineRule="auto"/>
        <w:rPr>
          <w:sz w:val="20"/>
          <w:szCs w:val="20"/>
          <w:color w:val="auto"/>
        </w:rPr>
      </w:pPr>
      <w:r>
        <w:rPr>
          <w:rFonts w:ascii="Arial" w:cs="Arial" w:eastAsia="Arial" w:hAnsi="Arial"/>
          <w:sz w:val="15"/>
          <w:szCs w:val="15"/>
          <w:color w:val="auto"/>
        </w:rPr>
        <w:t>liability of $2,722,000 as a result of the Refinitiv Contribution which is included in accounts payable, accrued expenses and other liabilities on the June 30, 2019 consolidated statement of financial condition. The Company is indemnified by Refinitiv for tax liabilities that were assumed by the Company as a result of the Refinitiv Contribution. See Note 12 – Related Party Transactions.</w:t>
      </w:r>
    </w:p>
    <w:p>
      <w:pPr>
        <w:spacing w:after="0" w:line="137" w:lineRule="exact"/>
        <w:rPr>
          <w:sz w:val="20"/>
          <w:szCs w:val="20"/>
          <w:color w:val="auto"/>
        </w:rPr>
      </w:pPr>
    </w:p>
    <w:p>
      <w:pPr>
        <w:ind w:left="542" w:hanging="542"/>
        <w:spacing w:after="0"/>
        <w:tabs>
          <w:tab w:leader="none" w:pos="542"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Tax Receivable Agreement</w:t>
      </w:r>
    </w:p>
    <w:p>
      <w:pPr>
        <w:spacing w:after="0" w:line="215" w:lineRule="exact"/>
        <w:rPr>
          <w:sz w:val="20"/>
          <w:szCs w:val="20"/>
          <w:color w:val="auto"/>
        </w:rPr>
      </w:pPr>
    </w:p>
    <w:p>
      <w:pPr>
        <w:ind w:left="2" w:right="160"/>
        <w:spacing w:after="0" w:line="270" w:lineRule="auto"/>
        <w:rPr>
          <w:sz w:val="20"/>
          <w:szCs w:val="20"/>
          <w:color w:val="auto"/>
        </w:rPr>
      </w:pPr>
      <w:r>
        <w:rPr>
          <w:rFonts w:ascii="Arial" w:cs="Arial" w:eastAsia="Arial" w:hAnsi="Arial"/>
          <w:sz w:val="16"/>
          <w:szCs w:val="16"/>
          <w:color w:val="auto"/>
        </w:rPr>
        <w:t>In connection with the Reorganization Transactions, the Corporation entered into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using the net proceeds of the IPO or any future offering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made annually based on the actual tax savings realized by the Corporation in its previous tax year.</w:t>
      </w:r>
    </w:p>
    <w:p>
      <w:pPr>
        <w:spacing w:after="0" w:line="170" w:lineRule="exact"/>
        <w:rPr>
          <w:sz w:val="20"/>
          <w:szCs w:val="20"/>
          <w:color w:val="auto"/>
        </w:rPr>
      </w:pPr>
    </w:p>
    <w:p>
      <w:pPr>
        <w:ind w:left="2" w:right="220"/>
        <w:spacing w:after="0" w:line="305" w:lineRule="auto"/>
        <w:rPr>
          <w:sz w:val="20"/>
          <w:szCs w:val="20"/>
          <w:color w:val="auto"/>
        </w:rPr>
      </w:pPr>
      <w:r>
        <w:rPr>
          <w:rFonts w:ascii="Arial" w:cs="Arial" w:eastAsia="Arial" w:hAnsi="Arial"/>
          <w:sz w:val="16"/>
          <w:szCs w:val="16"/>
          <w:color w:val="auto"/>
        </w:rPr>
        <w:t>In connection with the IPO, the Company recorded an initial liability of $171,426,000 related to its projected obligations under the Tax Receivable Agreement for LLC Interests that were purchased by the Corporation using the net proceeds of the IPO.</w:t>
      </w:r>
    </w:p>
    <w:p>
      <w:pPr>
        <w:spacing w:after="0" w:line="142" w:lineRule="exact"/>
        <w:rPr>
          <w:sz w:val="20"/>
          <w:szCs w:val="20"/>
          <w:color w:val="auto"/>
        </w:rPr>
      </w:pPr>
    </w:p>
    <w:p>
      <w:pPr>
        <w:ind w:left="2" w:right="60"/>
        <w:spacing w:after="0" w:line="254" w:lineRule="auto"/>
        <w:rPr>
          <w:sz w:val="20"/>
          <w:szCs w:val="20"/>
          <w:color w:val="auto"/>
        </w:rPr>
      </w:pPr>
      <w:r>
        <w:rPr>
          <w:rFonts w:ascii="Arial" w:cs="Arial" w:eastAsia="Arial" w:hAnsi="Arial"/>
          <w:sz w:val="17"/>
          <w:szCs w:val="17"/>
          <w:color w:val="auto"/>
        </w:rPr>
        <w:t>The Corporation accounts for the income tax effects resulting from taxable redemptions or exchanges of LLC Interests by the Continuing LLC Owners for shares of Class A common stock or Class B common stock or cash, as the case may be, by recognizing an increase in deferred tax assets, based on enacted tax rates at the date of each redemption or exchange,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182" w:lineRule="exact"/>
        <w:rPr>
          <w:sz w:val="20"/>
          <w:szCs w:val="20"/>
          <w:color w:val="auto"/>
        </w:rPr>
      </w:pPr>
    </w:p>
    <w:p>
      <w:pPr>
        <w:jc w:val="both"/>
        <w:ind w:left="2" w:right="20"/>
        <w:spacing w:after="0" w:line="312" w:lineRule="auto"/>
        <w:rPr>
          <w:sz w:val="20"/>
          <w:szCs w:val="20"/>
          <w:color w:val="auto"/>
        </w:rPr>
      </w:pPr>
      <w:r>
        <w:rPr>
          <w:rFonts w:ascii="Arial" w:cs="Arial" w:eastAsia="Arial" w:hAnsi="Arial"/>
          <w:sz w:val="15"/>
          <w:szCs w:val="15"/>
          <w:color w:val="auto"/>
        </w:rPr>
        <w:t>The impact of any changes in the projected obligations under the Tax Receivable Agreement as a result of changes in the geographic mix of the Company’s earnings, changes in tax legislation and tax rates or other factors that may impact the Corporation’s tax savings will be reflected in income before taxes on the consolidated statement of income in the period in which the change occurs.</w:t>
      </w:r>
    </w:p>
    <w:p>
      <w:pPr>
        <w:spacing w:after="0" w:line="149" w:lineRule="exact"/>
        <w:rPr>
          <w:sz w:val="20"/>
          <w:szCs w:val="20"/>
          <w:color w:val="auto"/>
        </w:rPr>
      </w:pPr>
    </w:p>
    <w:p>
      <w:pPr>
        <w:ind w:left="542" w:hanging="542"/>
        <w:spacing w:after="0"/>
        <w:tabs>
          <w:tab w:leader="none" w:pos="542"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w:t>
      </w:r>
    </w:p>
    <w:p>
      <w:pPr>
        <w:spacing w:after="0" w:line="215" w:lineRule="exact"/>
        <w:rPr>
          <w:sz w:val="20"/>
          <w:szCs w:val="20"/>
          <w:color w:val="auto"/>
        </w:rPr>
      </w:pPr>
    </w:p>
    <w:p>
      <w:pPr>
        <w:ind w:left="2"/>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211" w:lineRule="exact"/>
        <w:rPr>
          <w:sz w:val="20"/>
          <w:szCs w:val="20"/>
          <w:color w:val="auto"/>
        </w:rPr>
      </w:pPr>
    </w:p>
    <w:p>
      <w:pPr>
        <w:jc w:val="both"/>
        <w:ind w:left="2" w:right="20"/>
        <w:spacing w:after="0" w:line="253" w:lineRule="auto"/>
        <w:rPr>
          <w:sz w:val="20"/>
          <w:szCs w:val="20"/>
          <w:color w:val="auto"/>
        </w:rPr>
      </w:pPr>
      <w:r>
        <w:rPr>
          <w:rFonts w:ascii="Arial" w:cs="Arial" w:eastAsia="Arial" w:hAnsi="Arial"/>
          <w:sz w:val="17"/>
          <w:szCs w:val="17"/>
          <w:color w:val="auto"/>
        </w:rPr>
        <w:t>As described in Note 1 – Organization, in April 2019 Tradeweb Markets Inc. completed its IPO of 46,000,000 shares of Class A common stock at a public offering price of $27.00, which includes 6,000,000 shares of Class A common stock issued pursuant to the underwriters’ option to purchase additional shares of Class A common stock. The Corporation received $1,161,270,000 in net proceeds, after deducting underwriting discounts and commissions but before deducting offering expenses, which were used to purchase LLC Interests from certain of the Bank Stockholders (and cancelled the corresponding shares of common stock as described below), at a purchase price per interest equal to the public offering price of $27.00, less the underwriting discounts and commissions payable thereon.</w:t>
      </w:r>
    </w:p>
    <w:p>
      <w:pPr>
        <w:spacing w:after="0" w:line="180"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Reorganization Transactions</w:t>
      </w:r>
    </w:p>
    <w:p>
      <w:pPr>
        <w:spacing w:after="0" w:line="215" w:lineRule="exact"/>
        <w:rPr>
          <w:sz w:val="20"/>
          <w:szCs w:val="20"/>
          <w:color w:val="auto"/>
        </w:rPr>
      </w:pPr>
    </w:p>
    <w:p>
      <w:pPr>
        <w:ind w:left="2"/>
        <w:spacing w:after="0"/>
        <w:rPr>
          <w:sz w:val="20"/>
          <w:szCs w:val="20"/>
          <w:color w:val="auto"/>
        </w:rPr>
      </w:pPr>
      <w:r>
        <w:rPr>
          <w:rFonts w:ascii="Arial" w:cs="Arial" w:eastAsia="Arial" w:hAnsi="Arial"/>
          <w:sz w:val="17"/>
          <w:szCs w:val="17"/>
          <w:color w:val="auto"/>
        </w:rPr>
        <w:t>In connection with the IPO, the Reorganization Transactions described below were completed.</w:t>
      </w:r>
    </w:p>
    <w:p>
      <w:pPr>
        <w:spacing w:after="0" w:line="211" w:lineRule="exact"/>
        <w:rPr>
          <w:sz w:val="20"/>
          <w:szCs w:val="20"/>
          <w:color w:val="auto"/>
        </w:rPr>
      </w:pPr>
    </w:p>
    <w:p>
      <w:pPr>
        <w:ind w:left="2"/>
        <w:spacing w:after="0"/>
        <w:rPr>
          <w:sz w:val="20"/>
          <w:szCs w:val="20"/>
          <w:color w:val="auto"/>
        </w:rPr>
      </w:pPr>
      <w:r>
        <w:rPr>
          <w:rFonts w:ascii="Arial" w:cs="Arial" w:eastAsia="Arial" w:hAnsi="Arial"/>
          <w:sz w:val="17"/>
          <w:szCs w:val="17"/>
          <w:b w:val="1"/>
          <w:bCs w:val="1"/>
          <w:i w:val="1"/>
          <w:iCs w:val="1"/>
          <w:color w:val="auto"/>
        </w:rPr>
        <w:t>Amendment and Restatement of Certificate of Incorporation</w:t>
      </w:r>
    </w:p>
    <w:p>
      <w:pPr>
        <w:spacing w:after="0" w:line="211" w:lineRule="exact"/>
        <w:rPr>
          <w:sz w:val="20"/>
          <w:szCs w:val="20"/>
          <w:color w:val="auto"/>
        </w:rPr>
      </w:pPr>
    </w:p>
    <w:p>
      <w:pPr>
        <w:jc w:val="both"/>
        <w:ind w:left="2"/>
        <w:spacing w:after="0" w:line="273" w:lineRule="auto"/>
        <w:rPr>
          <w:sz w:val="20"/>
          <w:szCs w:val="20"/>
          <w:color w:val="auto"/>
        </w:rPr>
      </w:pPr>
      <w:r>
        <w:rPr>
          <w:rFonts w:ascii="Arial" w:cs="Arial" w:eastAsia="Arial" w:hAnsi="Arial"/>
          <w:sz w:val="17"/>
          <w:szCs w:val="17"/>
          <w:color w:val="auto"/>
        </w:rPr>
        <w:t>On April 3, 2019, the certificate of incorporation of Tradeweb Markets Inc. was amended and restated to, among other things, provide for the authorization of (i) 250,000,000 shares of preferred stock with a par value of $0.00001 per share</w:t>
      </w:r>
    </w:p>
    <w:p>
      <w:pPr>
        <w:spacing w:after="0" w:line="369"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335915</wp:posOffset>
            </wp:positionV>
            <wp:extent cx="5753735"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82"/>
          </w:cols>
          <w:pgMar w:left="1418" w:top="127" w:right="1399" w:bottom="1440" w:gutter="0" w:footer="0" w:header="0"/>
        </w:sectPr>
      </w:pPr>
    </w:p>
    <w:bookmarkStart w:id="25" w:name="page26"/>
    <w:bookmarkEnd w:id="25"/>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jc w:val="both"/>
        <w:ind w:left="2" w:hanging="2"/>
        <w:spacing w:after="0" w:line="285" w:lineRule="auto"/>
        <w:tabs>
          <w:tab w:leader="none" w:pos="275" w:val="left"/>
        </w:tabs>
        <w:numPr>
          <w:ilvl w:val="0"/>
          <w:numId w:val="19"/>
        </w:numPr>
        <w:rPr>
          <w:rFonts w:ascii="Arial" w:cs="Arial" w:eastAsia="Arial" w:hAnsi="Arial"/>
          <w:sz w:val="16"/>
          <w:szCs w:val="16"/>
          <w:color w:val="auto"/>
        </w:rPr>
      </w:pPr>
      <w:r>
        <w:rPr>
          <w:rFonts w:ascii="Arial" w:cs="Arial" w:eastAsia="Arial" w:hAnsi="Arial"/>
          <w:sz w:val="16"/>
          <w:szCs w:val="16"/>
          <w:color w:val="auto"/>
        </w:rPr>
        <w:t>1,000,000,000 shares of Class A common stock with a par value of $0.00001 per share; (iii) 450,000,000 shares of Class B common stock with a par value of $0.00001 per share; (iv) 350,000,000 shares of Class C common stock with a par value of $0.00001 per share; and (v) 300,000,000 shares of Class D common stock with a par value of $0.00001 per share.</w:t>
      </w:r>
    </w:p>
    <w:p>
      <w:pPr>
        <w:spacing w:after="0" w:line="158" w:lineRule="exact"/>
        <w:rPr>
          <w:sz w:val="20"/>
          <w:szCs w:val="20"/>
          <w:color w:val="auto"/>
        </w:rPr>
      </w:pPr>
    </w:p>
    <w:p>
      <w:pPr>
        <w:ind w:left="2" w:right="40"/>
        <w:spacing w:after="0" w:line="297" w:lineRule="auto"/>
        <w:rPr>
          <w:sz w:val="20"/>
          <w:szCs w:val="20"/>
          <w:color w:val="auto"/>
        </w:rPr>
      </w:pPr>
      <w:r>
        <w:rPr>
          <w:rFonts w:ascii="Arial" w:cs="Arial" w:eastAsia="Arial" w:hAnsi="Arial"/>
          <w:sz w:val="15"/>
          <w:szCs w:val="15"/>
          <w:color w:val="auto"/>
        </w:rPr>
        <w:t>Each share of Class A common stock and Class C common stock entitles its holder to one vote on all matters presented to the Corporation’s stockholders generally. Each share of Class B common stock and Class D common stock entitles its holder to ten votes on all matters presented to the Corporation’s stockholders generally. The holders of Class C common stock and Class D common stock have no economic interests in the Corporation (where “economic interests” means the right to receive any dividends or distributions, whether cash or stock, in connection with common stock). These attributes are summarized in the following table:</w:t>
      </w:r>
    </w:p>
    <w:p>
      <w:pPr>
        <w:spacing w:after="0" w:line="161" w:lineRule="exact"/>
        <w:rPr>
          <w:sz w:val="20"/>
          <w:szCs w:val="20"/>
          <w:color w:val="auto"/>
        </w:rPr>
      </w:pPr>
    </w:p>
    <w:tbl>
      <w:tblPr>
        <w:tblLayout w:type="fixed"/>
        <w:tblInd w:w="2" w:type="dxa"/>
        <w:tblCellMar>
          <w:top w:w="0" w:type="dxa"/>
          <w:left w:w="0" w:type="dxa"/>
          <w:bottom w:w="0" w:type="dxa"/>
          <w:right w:w="0" w:type="dxa"/>
        </w:tblCellMar>
      </w:tblPr>
      <w:tr>
        <w:trPr>
          <w:trHeight w:val="203"/>
        </w:trPr>
        <w:tc>
          <w:tcPr>
            <w:tcW w:w="4040" w:type="dxa"/>
            <w:vAlign w:val="bottom"/>
          </w:tcPr>
          <w:p>
            <w:pPr>
              <w:ind w:left="1700"/>
              <w:spacing w:after="0"/>
              <w:rPr>
                <w:sz w:val="20"/>
                <w:szCs w:val="20"/>
                <w:color w:val="auto"/>
              </w:rPr>
            </w:pPr>
            <w:r>
              <w:rPr>
                <w:rFonts w:ascii="Arial" w:cs="Arial" w:eastAsia="Arial" w:hAnsi="Arial"/>
                <w:sz w:val="17"/>
                <w:szCs w:val="17"/>
                <w:b w:val="1"/>
                <w:bCs w:val="1"/>
                <w:color w:val="auto"/>
              </w:rPr>
              <w:t>Class of</w:t>
            </w:r>
          </w:p>
        </w:tc>
        <w:tc>
          <w:tcPr>
            <w:tcW w:w="600" w:type="dxa"/>
            <w:vAlign w:val="bottom"/>
          </w:tcPr>
          <w:p>
            <w:pPr>
              <w:spacing w:after="0"/>
              <w:rPr>
                <w:sz w:val="17"/>
                <w:szCs w:val="17"/>
                <w:color w:val="auto"/>
              </w:rPr>
            </w:pPr>
          </w:p>
        </w:tc>
        <w:tc>
          <w:tcPr>
            <w:tcW w:w="1360" w:type="dxa"/>
            <w:vAlign w:val="bottom"/>
          </w:tcPr>
          <w:p>
            <w:pPr>
              <w:jc w:val="center"/>
              <w:ind w:right="75"/>
              <w:spacing w:after="0"/>
              <w:rPr>
                <w:sz w:val="20"/>
                <w:szCs w:val="20"/>
                <w:color w:val="auto"/>
              </w:rPr>
            </w:pPr>
            <w:r>
              <w:rPr>
                <w:rFonts w:ascii="Arial" w:cs="Arial" w:eastAsia="Arial" w:hAnsi="Arial"/>
                <w:sz w:val="17"/>
                <w:szCs w:val="17"/>
                <w:b w:val="1"/>
                <w:bCs w:val="1"/>
                <w:color w:val="auto"/>
              </w:rPr>
              <w:t>Par</w:t>
            </w:r>
          </w:p>
        </w:tc>
        <w:tc>
          <w:tcPr>
            <w:tcW w:w="1300" w:type="dxa"/>
            <w:vAlign w:val="bottom"/>
            <w:vMerge w:val="restart"/>
          </w:tcPr>
          <w:p>
            <w:pPr>
              <w:ind w:left="440"/>
              <w:spacing w:after="0"/>
              <w:rPr>
                <w:sz w:val="20"/>
                <w:szCs w:val="20"/>
                <w:color w:val="auto"/>
              </w:rPr>
            </w:pPr>
            <w:r>
              <w:rPr>
                <w:rFonts w:ascii="Arial" w:cs="Arial" w:eastAsia="Arial" w:hAnsi="Arial"/>
                <w:sz w:val="17"/>
                <w:szCs w:val="17"/>
                <w:b w:val="1"/>
                <w:bCs w:val="1"/>
                <w:color w:val="auto"/>
              </w:rPr>
              <w:t>Votes</w:t>
            </w:r>
          </w:p>
        </w:tc>
        <w:tc>
          <w:tcPr>
            <w:tcW w:w="1760" w:type="dxa"/>
            <w:vAlign w:val="bottom"/>
          </w:tcPr>
          <w:p>
            <w:pPr>
              <w:ind w:left="500"/>
              <w:spacing w:after="0"/>
              <w:rPr>
                <w:sz w:val="20"/>
                <w:szCs w:val="20"/>
                <w:color w:val="auto"/>
              </w:rPr>
            </w:pPr>
            <w:r>
              <w:rPr>
                <w:rFonts w:ascii="Arial" w:cs="Arial" w:eastAsia="Arial" w:hAnsi="Arial"/>
                <w:sz w:val="17"/>
                <w:szCs w:val="17"/>
                <w:b w:val="1"/>
                <w:bCs w:val="1"/>
                <w:color w:val="auto"/>
              </w:rPr>
              <w:t>Economic</w:t>
            </w:r>
          </w:p>
        </w:tc>
        <w:tc>
          <w:tcPr>
            <w:tcW w:w="0" w:type="dxa"/>
            <w:vAlign w:val="bottom"/>
          </w:tcPr>
          <w:p>
            <w:pPr>
              <w:spacing w:after="0"/>
              <w:rPr>
                <w:sz w:val="1"/>
                <w:szCs w:val="1"/>
                <w:color w:val="auto"/>
              </w:rPr>
            </w:pPr>
          </w:p>
        </w:tc>
      </w:tr>
      <w:tr>
        <w:trPr>
          <w:trHeight w:val="117"/>
        </w:trPr>
        <w:tc>
          <w:tcPr>
            <w:tcW w:w="4040" w:type="dxa"/>
            <w:vAlign w:val="bottom"/>
            <w:vMerge w:val="restart"/>
          </w:tcPr>
          <w:p>
            <w:pPr>
              <w:ind w:left="1440"/>
              <w:spacing w:after="0"/>
              <w:rPr>
                <w:sz w:val="20"/>
                <w:szCs w:val="20"/>
                <w:color w:val="auto"/>
              </w:rPr>
            </w:pPr>
            <w:r>
              <w:rPr>
                <w:rFonts w:ascii="Arial" w:cs="Arial" w:eastAsia="Arial" w:hAnsi="Arial"/>
                <w:sz w:val="17"/>
                <w:szCs w:val="17"/>
                <w:b w:val="1"/>
                <w:bCs w:val="1"/>
                <w:color w:val="auto"/>
              </w:rPr>
              <w:t>Common Stock</w:t>
            </w:r>
          </w:p>
        </w:tc>
        <w:tc>
          <w:tcPr>
            <w:tcW w:w="600" w:type="dxa"/>
            <w:vAlign w:val="bottom"/>
          </w:tcPr>
          <w:p>
            <w:pPr>
              <w:spacing w:after="0"/>
              <w:rPr>
                <w:sz w:val="10"/>
                <w:szCs w:val="10"/>
                <w:color w:val="auto"/>
              </w:rPr>
            </w:pPr>
          </w:p>
        </w:tc>
        <w:tc>
          <w:tcPr>
            <w:tcW w:w="1360" w:type="dxa"/>
            <w:vAlign w:val="bottom"/>
            <w:vMerge w:val="restart"/>
          </w:tcPr>
          <w:p>
            <w:pPr>
              <w:jc w:val="center"/>
              <w:ind w:right="75"/>
              <w:spacing w:after="0"/>
              <w:rPr>
                <w:sz w:val="20"/>
                <w:szCs w:val="20"/>
                <w:color w:val="auto"/>
              </w:rPr>
            </w:pPr>
            <w:r>
              <w:rPr>
                <w:rFonts w:ascii="Arial" w:cs="Arial" w:eastAsia="Arial" w:hAnsi="Arial"/>
                <w:sz w:val="17"/>
                <w:szCs w:val="17"/>
                <w:b w:val="1"/>
                <w:bCs w:val="1"/>
                <w:color w:val="auto"/>
                <w:w w:val="88"/>
              </w:rPr>
              <w:t>Value</w:t>
            </w:r>
          </w:p>
        </w:tc>
        <w:tc>
          <w:tcPr>
            <w:tcW w:w="1300" w:type="dxa"/>
            <w:vAlign w:val="bottom"/>
            <w:vMerge w:val="continue"/>
          </w:tcPr>
          <w:p>
            <w:pPr>
              <w:spacing w:after="0"/>
              <w:rPr>
                <w:sz w:val="10"/>
                <w:szCs w:val="10"/>
                <w:color w:val="auto"/>
              </w:rPr>
            </w:pPr>
          </w:p>
        </w:tc>
        <w:tc>
          <w:tcPr>
            <w:tcW w:w="17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86"/>
              </w:rPr>
              <w:t>Rights</w:t>
            </w:r>
          </w:p>
        </w:tc>
        <w:tc>
          <w:tcPr>
            <w:tcW w:w="0" w:type="dxa"/>
            <w:vAlign w:val="bottom"/>
          </w:tcPr>
          <w:p>
            <w:pPr>
              <w:spacing w:after="0"/>
              <w:rPr>
                <w:sz w:val="1"/>
                <w:szCs w:val="1"/>
                <w:color w:val="auto"/>
              </w:rPr>
            </w:pPr>
          </w:p>
        </w:tc>
      </w:tr>
      <w:tr>
        <w:trPr>
          <w:trHeight w:val="102"/>
        </w:trPr>
        <w:tc>
          <w:tcPr>
            <w:tcW w:w="404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40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Class A common stock</w:t>
            </w:r>
          </w:p>
        </w:tc>
        <w:tc>
          <w:tcPr>
            <w:tcW w:w="60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1360" w:type="dxa"/>
            <w:vAlign w:val="bottom"/>
            <w:tcBorders>
              <w:right w:val="single" w:sz="8" w:color="auto"/>
            </w:tcBorders>
            <w:shd w:val="clear" w:color="auto" w:fill="CCEEFF"/>
          </w:tcPr>
          <w:p>
            <w:pPr>
              <w:jc w:val="center"/>
              <w:ind w:right="75"/>
              <w:spacing w:after="0"/>
              <w:rPr>
                <w:sz w:val="20"/>
                <w:szCs w:val="20"/>
                <w:color w:val="auto"/>
              </w:rPr>
            </w:pPr>
            <w:r>
              <w:rPr>
                <w:rFonts w:ascii="Arial" w:cs="Arial" w:eastAsia="Arial" w:hAnsi="Arial"/>
                <w:sz w:val="17"/>
                <w:szCs w:val="17"/>
                <w:color w:val="auto"/>
                <w:w w:val="91"/>
              </w:rPr>
              <w:t>0.00001</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1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1"/>
              </w:rPr>
              <w:t>Yes</w:t>
            </w:r>
          </w:p>
        </w:tc>
        <w:tc>
          <w:tcPr>
            <w:tcW w:w="0" w:type="dxa"/>
            <w:vAlign w:val="bottom"/>
          </w:tcPr>
          <w:p>
            <w:pPr>
              <w:spacing w:after="0"/>
              <w:rPr>
                <w:sz w:val="1"/>
                <w:szCs w:val="1"/>
                <w:color w:val="auto"/>
              </w:rPr>
            </w:pPr>
          </w:p>
        </w:tc>
      </w:tr>
      <w:tr>
        <w:trPr>
          <w:trHeight w:val="203"/>
        </w:trPr>
        <w:tc>
          <w:tcPr>
            <w:tcW w:w="40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Class B common stock</w:t>
            </w:r>
          </w:p>
        </w:tc>
        <w:tc>
          <w:tcPr>
            <w:tcW w:w="60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1360" w:type="dxa"/>
            <w:vAlign w:val="bottom"/>
            <w:tcBorders>
              <w:right w:val="single" w:sz="8" w:color="auto"/>
            </w:tcBorders>
          </w:tcPr>
          <w:p>
            <w:pPr>
              <w:jc w:val="center"/>
              <w:ind w:right="75"/>
              <w:spacing w:after="0"/>
              <w:rPr>
                <w:sz w:val="20"/>
                <w:szCs w:val="20"/>
                <w:color w:val="auto"/>
              </w:rPr>
            </w:pPr>
            <w:r>
              <w:rPr>
                <w:rFonts w:ascii="Arial" w:cs="Arial" w:eastAsia="Arial" w:hAnsi="Arial"/>
                <w:sz w:val="17"/>
                <w:szCs w:val="17"/>
                <w:color w:val="auto"/>
                <w:w w:val="91"/>
              </w:rPr>
              <w:t>0.00001</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10</w:t>
            </w:r>
          </w:p>
        </w:tc>
        <w:tc>
          <w:tcPr>
            <w:tcW w:w="1760" w:type="dxa"/>
            <w:vAlign w:val="bottom"/>
          </w:tcPr>
          <w:p>
            <w:pPr>
              <w:jc w:val="center"/>
              <w:spacing w:after="0"/>
              <w:rPr>
                <w:sz w:val="20"/>
                <w:szCs w:val="20"/>
                <w:color w:val="auto"/>
              </w:rPr>
            </w:pPr>
            <w:r>
              <w:rPr>
                <w:rFonts w:ascii="Arial" w:cs="Arial" w:eastAsia="Arial" w:hAnsi="Arial"/>
                <w:sz w:val="17"/>
                <w:szCs w:val="17"/>
                <w:color w:val="auto"/>
                <w:w w:val="81"/>
              </w:rPr>
              <w:t>Yes</w:t>
            </w:r>
          </w:p>
        </w:tc>
        <w:tc>
          <w:tcPr>
            <w:tcW w:w="0" w:type="dxa"/>
            <w:vAlign w:val="bottom"/>
          </w:tcPr>
          <w:p>
            <w:pPr>
              <w:spacing w:after="0"/>
              <w:rPr>
                <w:sz w:val="1"/>
                <w:szCs w:val="1"/>
                <w:color w:val="auto"/>
              </w:rPr>
            </w:pPr>
          </w:p>
        </w:tc>
      </w:tr>
      <w:tr>
        <w:trPr>
          <w:trHeight w:val="203"/>
        </w:trPr>
        <w:tc>
          <w:tcPr>
            <w:tcW w:w="40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Class C common stock</w:t>
            </w:r>
          </w:p>
        </w:tc>
        <w:tc>
          <w:tcPr>
            <w:tcW w:w="60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1360" w:type="dxa"/>
            <w:vAlign w:val="bottom"/>
            <w:tcBorders>
              <w:right w:val="single" w:sz="8" w:color="auto"/>
            </w:tcBorders>
            <w:shd w:val="clear" w:color="auto" w:fill="CCEEFF"/>
          </w:tcPr>
          <w:p>
            <w:pPr>
              <w:jc w:val="center"/>
              <w:ind w:right="75"/>
              <w:spacing w:after="0"/>
              <w:rPr>
                <w:sz w:val="20"/>
                <w:szCs w:val="20"/>
                <w:color w:val="auto"/>
              </w:rPr>
            </w:pPr>
            <w:r>
              <w:rPr>
                <w:rFonts w:ascii="Arial" w:cs="Arial" w:eastAsia="Arial" w:hAnsi="Arial"/>
                <w:sz w:val="17"/>
                <w:szCs w:val="17"/>
                <w:color w:val="auto"/>
                <w:w w:val="91"/>
              </w:rPr>
              <w:t>0.00001</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1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No</w:t>
            </w:r>
          </w:p>
        </w:tc>
        <w:tc>
          <w:tcPr>
            <w:tcW w:w="0" w:type="dxa"/>
            <w:vAlign w:val="bottom"/>
          </w:tcPr>
          <w:p>
            <w:pPr>
              <w:spacing w:after="0"/>
              <w:rPr>
                <w:sz w:val="1"/>
                <w:szCs w:val="1"/>
                <w:color w:val="auto"/>
              </w:rPr>
            </w:pPr>
          </w:p>
        </w:tc>
      </w:tr>
      <w:tr>
        <w:trPr>
          <w:trHeight w:val="203"/>
        </w:trPr>
        <w:tc>
          <w:tcPr>
            <w:tcW w:w="40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Class D common stock</w:t>
            </w:r>
          </w:p>
        </w:tc>
        <w:tc>
          <w:tcPr>
            <w:tcW w:w="60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1360" w:type="dxa"/>
            <w:vAlign w:val="bottom"/>
            <w:tcBorders>
              <w:right w:val="single" w:sz="8" w:color="auto"/>
            </w:tcBorders>
          </w:tcPr>
          <w:p>
            <w:pPr>
              <w:jc w:val="center"/>
              <w:ind w:right="75"/>
              <w:spacing w:after="0"/>
              <w:rPr>
                <w:sz w:val="20"/>
                <w:szCs w:val="20"/>
                <w:color w:val="auto"/>
              </w:rPr>
            </w:pPr>
            <w:r>
              <w:rPr>
                <w:rFonts w:ascii="Arial" w:cs="Arial" w:eastAsia="Arial" w:hAnsi="Arial"/>
                <w:sz w:val="17"/>
                <w:szCs w:val="17"/>
                <w:color w:val="auto"/>
                <w:w w:val="91"/>
              </w:rPr>
              <w:t>0.00001</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10</w:t>
            </w:r>
          </w:p>
        </w:tc>
        <w:tc>
          <w:tcPr>
            <w:tcW w:w="1760" w:type="dxa"/>
            <w:vAlign w:val="bottom"/>
          </w:tcPr>
          <w:p>
            <w:pPr>
              <w:jc w:val="center"/>
              <w:spacing w:after="0"/>
              <w:rPr>
                <w:sz w:val="20"/>
                <w:szCs w:val="20"/>
                <w:color w:val="auto"/>
              </w:rPr>
            </w:pPr>
            <w:r>
              <w:rPr>
                <w:rFonts w:ascii="Arial" w:cs="Arial" w:eastAsia="Arial" w:hAnsi="Arial"/>
                <w:sz w:val="17"/>
                <w:szCs w:val="17"/>
                <w:color w:val="auto"/>
                <w:w w:val="91"/>
              </w:rPr>
              <w:t>No</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2" w:right="80"/>
        <w:spacing w:after="0" w:line="261" w:lineRule="auto"/>
        <w:rPr>
          <w:sz w:val="20"/>
          <w:szCs w:val="20"/>
          <w:color w:val="auto"/>
        </w:rPr>
      </w:pPr>
      <w:r>
        <w:rPr>
          <w:rFonts w:ascii="Arial" w:cs="Arial" w:eastAsia="Arial" w:hAnsi="Arial"/>
          <w:sz w:val="17"/>
          <w:szCs w:val="17"/>
          <w:color w:val="auto"/>
        </w:rPr>
        <w:t>Holders of outstanding shares of Class A common stock, Class B common stock, Class C common stock and Class D common stock will vote together as a single class on all matters presented to the Corporation’s stockholders for their vote or approval, except as otherwise required by applicable law.</w:t>
      </w:r>
    </w:p>
    <w:p>
      <w:pPr>
        <w:spacing w:after="0" w:line="176" w:lineRule="exact"/>
        <w:rPr>
          <w:sz w:val="20"/>
          <w:szCs w:val="20"/>
          <w:color w:val="auto"/>
        </w:rPr>
      </w:pPr>
    </w:p>
    <w:p>
      <w:pPr>
        <w:ind w:left="2"/>
        <w:spacing w:after="0" w:line="252" w:lineRule="auto"/>
        <w:rPr>
          <w:sz w:val="20"/>
          <w:szCs w:val="20"/>
          <w:color w:val="auto"/>
        </w:rPr>
      </w:pPr>
      <w:r>
        <w:rPr>
          <w:rFonts w:ascii="Arial" w:cs="Arial" w:eastAsia="Arial" w:hAnsi="Arial"/>
          <w:sz w:val="17"/>
          <w:szCs w:val="17"/>
          <w:color w:val="auto"/>
        </w:rPr>
        <w:t>Holders of Class B common stock may from time to time exchange all or a portion of their shares of Class B common stock for newly issued shares of Class A common stock on a one-for-one basis (in which case their shares of Class B common stock will be cancelled on a one-for-one basis upon any such issuance). Holders of Class D common stock may also from time to time exchange all or a portion of their shares of Class D common stock for newly issued shares of Class C common stock on a one-for-one basis (in which case their shares of Class D common stock will be cancelled on a one-for-one basis upon such issuance).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184" w:lineRule="exact"/>
        <w:rPr>
          <w:sz w:val="20"/>
          <w:szCs w:val="20"/>
          <w:color w:val="auto"/>
        </w:rPr>
      </w:pPr>
    </w:p>
    <w:p>
      <w:pPr>
        <w:ind w:left="2" w:right="120"/>
        <w:spacing w:after="0" w:line="292" w:lineRule="auto"/>
        <w:rPr>
          <w:sz w:val="20"/>
          <w:szCs w:val="20"/>
          <w:color w:val="auto"/>
        </w:rPr>
      </w:pPr>
      <w:r>
        <w:rPr>
          <w:rFonts w:ascii="Arial" w:cs="Arial" w:eastAsia="Arial" w:hAnsi="Arial"/>
          <w:sz w:val="15"/>
          <w:szCs w:val="15"/>
          <w:color w:val="auto"/>
        </w:rPr>
        <w:t>Each share of Class B common stock will automatically convert into one share of Class A common stock and each share of Class D common stock will automatically convert into one share of Class C common stock (i) immediately prior to any sale or other transfer of such share by a holder or its permitted transferees to a non-permitted transferee or (ii) once the Refinitiv Owners and their affiliates together no longer beneficially own a number of shares of common stock and LLC Interests that together entitle them to at least 10% of TWM LLC’s economic interest. Holders of LLC Interests that receive shares of Class C common stock upon any such conversion may continue to elect to have their LLC Interests redeemed for newly issued shares of Class A common stock as described below (in which case their shares of Class C common stock will be cancelled on a one-for-one basis upon such issuance).</w:t>
      </w:r>
    </w:p>
    <w:p>
      <w:pPr>
        <w:spacing w:after="0" w:line="158" w:lineRule="exact"/>
        <w:rPr>
          <w:sz w:val="20"/>
          <w:szCs w:val="20"/>
          <w:color w:val="auto"/>
        </w:rPr>
      </w:pPr>
    </w:p>
    <w:p>
      <w:pPr>
        <w:ind w:left="2"/>
        <w:spacing w:after="0"/>
        <w:rPr>
          <w:sz w:val="20"/>
          <w:szCs w:val="20"/>
          <w:color w:val="auto"/>
        </w:rPr>
      </w:pPr>
      <w:r>
        <w:rPr>
          <w:rFonts w:ascii="Arial" w:cs="Arial" w:eastAsia="Arial" w:hAnsi="Arial"/>
          <w:sz w:val="17"/>
          <w:szCs w:val="17"/>
          <w:b w:val="1"/>
          <w:bCs w:val="1"/>
          <w:i w:val="1"/>
          <w:iCs w:val="1"/>
          <w:color w:val="auto"/>
        </w:rPr>
        <w:t>Recapitalization of Tradeweb Markets LLC</w:t>
      </w:r>
    </w:p>
    <w:p>
      <w:pPr>
        <w:spacing w:after="0" w:line="211" w:lineRule="exact"/>
        <w:rPr>
          <w:sz w:val="20"/>
          <w:szCs w:val="20"/>
          <w:color w:val="auto"/>
        </w:rPr>
      </w:pPr>
    </w:p>
    <w:p>
      <w:pPr>
        <w:jc w:val="both"/>
        <w:ind w:left="2"/>
        <w:spacing w:after="0" w:line="261" w:lineRule="auto"/>
        <w:rPr>
          <w:sz w:val="20"/>
          <w:szCs w:val="20"/>
          <w:color w:val="auto"/>
        </w:rPr>
      </w:pPr>
      <w:r>
        <w:rPr>
          <w:rFonts w:ascii="Arial" w:cs="Arial" w:eastAsia="Arial" w:hAnsi="Arial"/>
          <w:sz w:val="17"/>
          <w:szCs w:val="17"/>
          <w:color w:val="auto"/>
        </w:rPr>
        <w:t>On April 4, 2019, the TWM LLC Agreement was amended and restated to, among other things, (i) provide for the LLC Interests, (ii) exchange all of the existing membership interests of TWM LLC’s existing equityholders for LLC Interests and (iii) appoint the Corporation as the sole manager of TWM LLC.</w:t>
      </w:r>
    </w:p>
    <w:p>
      <w:pPr>
        <w:spacing w:after="0" w:line="200" w:lineRule="exact"/>
        <w:rPr>
          <w:sz w:val="20"/>
          <w:szCs w:val="20"/>
          <w:color w:val="auto"/>
        </w:rPr>
      </w:pPr>
    </w:p>
    <w:p>
      <w:pPr>
        <w:spacing w:after="0" w:line="382"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335915</wp:posOffset>
            </wp:positionV>
            <wp:extent cx="5753735" cy="2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2"/>
          </w:cols>
          <w:pgMar w:left="1418" w:top="127" w:right="1419" w:bottom="1440" w:gutter="0" w:footer="0" w:header="0"/>
        </w:sectPr>
      </w:pPr>
    </w:p>
    <w:bookmarkStart w:id="26" w:name="page27"/>
    <w:bookmarkEnd w:id="2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All of the shares of TWM LLC outstanding prior to the Reorganization Transactions were exchanged for 222,222,197 LLC Interests.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TWM LLC’s outstanding shares prior to the Reorganization Transactions consisted of the following classes of shares:</w:t>
      </w:r>
    </w:p>
    <w:p>
      <w:pPr>
        <w:spacing w:after="0" w:line="225" w:lineRule="exact"/>
        <w:rPr>
          <w:sz w:val="20"/>
          <w:szCs w:val="20"/>
          <w:color w:val="auto"/>
        </w:rPr>
      </w:pPr>
    </w:p>
    <w:tbl>
      <w:tblPr>
        <w:tblLayout w:type="fixed"/>
        <w:tblInd w:w="900" w:type="dxa"/>
        <w:tblCellMar>
          <w:top w:w="0" w:type="dxa"/>
          <w:left w:w="0" w:type="dxa"/>
          <w:bottom w:w="0" w:type="dxa"/>
          <w:right w:w="0" w:type="dxa"/>
        </w:tblCellMar>
      </w:tblPr>
      <w:tr>
        <w:trPr>
          <w:trHeight w:val="203"/>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Class A Shares</w:t>
            </w:r>
          </w:p>
        </w:tc>
        <w:tc>
          <w:tcPr>
            <w:tcW w:w="3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146,333</w:t>
            </w:r>
          </w:p>
        </w:tc>
      </w:tr>
      <w:tr>
        <w:trPr>
          <w:trHeight w:val="203"/>
        </w:trPr>
        <w:tc>
          <w:tcPr>
            <w:tcW w:w="4020" w:type="dxa"/>
            <w:vAlign w:val="bottom"/>
          </w:tcPr>
          <w:p>
            <w:pPr>
              <w:spacing w:after="0"/>
              <w:rPr>
                <w:sz w:val="20"/>
                <w:szCs w:val="20"/>
                <w:color w:val="auto"/>
              </w:rPr>
            </w:pPr>
            <w:r>
              <w:rPr>
                <w:rFonts w:ascii="Arial" w:cs="Arial" w:eastAsia="Arial" w:hAnsi="Arial"/>
                <w:sz w:val="17"/>
                <w:szCs w:val="17"/>
                <w:color w:val="auto"/>
              </w:rPr>
              <w:t>Class C Shares</w:t>
            </w:r>
          </w:p>
        </w:tc>
        <w:tc>
          <w:tcPr>
            <w:tcW w:w="3240" w:type="dxa"/>
            <w:vAlign w:val="bottom"/>
          </w:tcPr>
          <w:p>
            <w:pPr>
              <w:jc w:val="right"/>
              <w:spacing w:after="0"/>
              <w:rPr>
                <w:sz w:val="20"/>
                <w:szCs w:val="20"/>
                <w:color w:val="auto"/>
              </w:rPr>
            </w:pPr>
            <w:r>
              <w:rPr>
                <w:rFonts w:ascii="Arial" w:cs="Arial" w:eastAsia="Arial" w:hAnsi="Arial"/>
                <w:sz w:val="17"/>
                <w:szCs w:val="17"/>
                <w:color w:val="auto"/>
              </w:rPr>
              <w:t>447</w:t>
            </w:r>
          </w:p>
        </w:tc>
      </w:tr>
      <w:tr>
        <w:trPr>
          <w:trHeight w:val="203"/>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Class P(A) Shares</w:t>
            </w:r>
          </w:p>
        </w:tc>
        <w:tc>
          <w:tcPr>
            <w:tcW w:w="3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6,887</w:t>
            </w:r>
          </w:p>
        </w:tc>
      </w:tr>
      <w:tr>
        <w:trPr>
          <w:trHeight w:val="203"/>
        </w:trPr>
        <w:tc>
          <w:tcPr>
            <w:tcW w:w="4020" w:type="dxa"/>
            <w:vAlign w:val="bottom"/>
          </w:tcPr>
          <w:p>
            <w:pPr>
              <w:spacing w:after="0"/>
              <w:rPr>
                <w:sz w:val="20"/>
                <w:szCs w:val="20"/>
                <w:color w:val="auto"/>
              </w:rPr>
            </w:pPr>
            <w:r>
              <w:rPr>
                <w:rFonts w:ascii="Arial" w:cs="Arial" w:eastAsia="Arial" w:hAnsi="Arial"/>
                <w:sz w:val="17"/>
                <w:szCs w:val="17"/>
                <w:color w:val="auto"/>
              </w:rPr>
              <w:t>Class P(C) Shares</w:t>
            </w:r>
          </w:p>
        </w:tc>
        <w:tc>
          <w:tcPr>
            <w:tcW w:w="32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3"/>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Class P-1(A) Shares</w:t>
            </w:r>
          </w:p>
        </w:tc>
        <w:tc>
          <w:tcPr>
            <w:tcW w:w="3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6,094</w:t>
            </w:r>
          </w:p>
        </w:tc>
      </w:tr>
      <w:tr>
        <w:trPr>
          <w:trHeight w:val="215"/>
        </w:trPr>
        <w:tc>
          <w:tcPr>
            <w:tcW w:w="4020" w:type="dxa"/>
            <w:vAlign w:val="bottom"/>
          </w:tcPr>
          <w:p>
            <w:pPr>
              <w:spacing w:after="0"/>
              <w:rPr>
                <w:sz w:val="20"/>
                <w:szCs w:val="20"/>
                <w:color w:val="auto"/>
              </w:rPr>
            </w:pPr>
            <w:r>
              <w:rPr>
                <w:rFonts w:ascii="Arial" w:cs="Arial" w:eastAsia="Arial" w:hAnsi="Arial"/>
                <w:sz w:val="17"/>
                <w:szCs w:val="17"/>
                <w:color w:val="auto"/>
              </w:rPr>
              <w:t>Class P-1(C) Shares</w:t>
            </w:r>
          </w:p>
        </w:tc>
        <w:tc>
          <w:tcPr>
            <w:tcW w:w="3240" w:type="dxa"/>
            <w:vAlign w:val="bottom"/>
          </w:tcPr>
          <w:p>
            <w:pPr>
              <w:jc w:val="right"/>
              <w:spacing w:after="0"/>
              <w:rPr>
                <w:sz w:val="20"/>
                <w:szCs w:val="20"/>
                <w:color w:val="auto"/>
              </w:rPr>
            </w:pPr>
            <w:r>
              <w:rPr>
                <w:rFonts w:ascii="Arial" w:cs="Arial" w:eastAsia="Arial" w:hAnsi="Arial"/>
                <w:sz w:val="17"/>
                <w:szCs w:val="17"/>
                <w:color w:val="auto"/>
              </w:rPr>
              <w:t>232</w:t>
            </w:r>
          </w:p>
        </w:tc>
      </w:tr>
    </w:tbl>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TWM LLC Agreement requires that TWM LLC at all times maintain (i) a one-to-one ratio between the number of shares of Class A common stock and Class B common stock issued by the Corporation and the number of LLC Interests owned by the Corporation and (ii) a one-to-one ratio between the number of shares of Class C common stock and Class D common stock issued by the Corporation and the number of LLC Interests owned by the holders of such Class C common stock and Class D common stock.</w:t>
      </w:r>
    </w:p>
    <w:p>
      <w:pPr>
        <w:spacing w:after="0" w:line="148"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LLC Interests held by the Continuing LLC Owners are redeemable, at the election of such holders, for newly issued shares of Class A common stock or Class B common stock, as the case may be, on a one-for-one basis (and such holders’ shares of Class C common stock or Class D common stock, as the case may be, will be cancelled on a one-for-one basis upon any such issuance). In the event of such election by a Continuing LLC Owner, the Corporation may, at its option, effect a direct exchange of Class A common stock or Class B common stock for such LLC Interests of the redeeming holders in lieu of such redemption. In addition, the Corporation’s board of directors may, at its option, instead of the foregoing redemptions or exchanges of LLC Interests, cause the Corporation to make a cash payment equal to the volume weighted average market price of one share of Class A common stock for each LLC Interest redeemed (subject to customary adjustments, including for stock splits, stock dividends and reclassifications) in accordance with the terms of the TWM LLC Agreement.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and Cancellation of Common Stock</w:t>
      </w:r>
    </w:p>
    <w:p>
      <w:pPr>
        <w:spacing w:after="0" w:line="211" w:lineRule="exact"/>
        <w:rPr>
          <w:sz w:val="20"/>
          <w:szCs w:val="20"/>
          <w:color w:val="auto"/>
        </w:rPr>
      </w:pPr>
    </w:p>
    <w:p>
      <w:pPr>
        <w:ind w:left="600" w:right="20" w:hanging="297"/>
        <w:spacing w:after="0" w:line="273" w:lineRule="auto"/>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 a result of the Refinitiv Contribution, the Corporation received 96,933,192 LLC Interests and the Refinitiv Direct Owner received 96,933,192 shares of Class B common stock.</w:t>
      </w:r>
    </w:p>
    <w:p>
      <w:pPr>
        <w:spacing w:after="0" w:line="165" w:lineRule="exact"/>
        <w:rPr>
          <w:rFonts w:ascii="Arial" w:cs="Arial" w:eastAsia="Arial" w:hAnsi="Arial"/>
          <w:sz w:val="17"/>
          <w:szCs w:val="17"/>
          <w:color w:val="auto"/>
        </w:rPr>
      </w:pPr>
    </w:p>
    <w:p>
      <w:pPr>
        <w:jc w:val="both"/>
        <w:ind w:left="600" w:right="20" w:hanging="297"/>
        <w:spacing w:after="0" w:line="297" w:lineRule="auto"/>
        <w:tabs>
          <w:tab w:leader="none" w:pos="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Corporation issued 20,000,000 shares of Class C common stock and 105,289,005 shares of Class D common stock to the Continuing LLC Owners, on a one-to-one basis with the number of LLC Interests they owned immediately following the amendment and restatement of the TWM LLC Agreement for nominal consideration (the Corporation canceled 9,993,731 shares of such Class C common stock and 36,006,269 shares of such Class D common stock in connection with the Corporation’s purchase of LLC Interests from certain of the Bank Stockholders using the net proceeds of the IPO).</w:t>
      </w:r>
    </w:p>
    <w:p>
      <w:pPr>
        <w:spacing w:after="0" w:line="153"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Following the completion of the Reorganization Transactions, including the IPO and the application of the proceeds therefrom as described above, (i) the investors in the IPO collectively owned 46,000,000 shares of Class A common, representing 2.7% of the combined voting power of all of the Corporation’s common stock and, through the Corporation’s ownership of LLC Interests, 20.7% of the economic interest in TWM LLC; (ii) the Refinitiv Direct Owner owned 96,933,192 shares of Class B common stock, representing 56.4% of the combined voting power of all of the Corporation’s common stock and, through the Corporation’s ownership of LLC Interests, 43.6% of the economic interest in TWM LLC; (iii) the Refinitiv LLC Owner owned 22,988,329 shares of Class D common stock, representing 13.4% of the combined voting power of all of the Corporation’s common stock, and 22,988,329 LLC Interests, representing 10.3% of the economic interest in TWM LLC, (iv) the Continuing LLC Owners that continue to own LLC Interests (other than the Refinitiv LLC Owner) collectively owned 10,006,269 shares of Class C common stock and 46,294,407 shares of Class D common stock, representing 27.5% of the combined voting power of all of the Corporation’s common stock, and 56,300,676 LLC</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80"/>
          </w:cols>
          <w:pgMar w:left="1420" w:top="127" w:right="1399" w:bottom="1440" w:gutter="0" w:footer="0" w:header="0"/>
        </w:sectPr>
      </w:pPr>
    </w:p>
    <w:bookmarkStart w:id="27" w:name="page28"/>
    <w:bookmarkEnd w:id="27"/>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left="2"/>
        <w:spacing w:after="0" w:line="273" w:lineRule="auto"/>
        <w:rPr>
          <w:sz w:val="20"/>
          <w:szCs w:val="20"/>
          <w:color w:val="auto"/>
        </w:rPr>
      </w:pPr>
      <w:r>
        <w:rPr>
          <w:rFonts w:ascii="Arial" w:cs="Arial" w:eastAsia="Arial" w:hAnsi="Arial"/>
          <w:sz w:val="17"/>
          <w:szCs w:val="17"/>
          <w:color w:val="auto"/>
        </w:rPr>
        <w:t>Interests, representing 25.3% of the economic interest in TWM LLC; and (v) the Corporation owned 142,933,192 LLC Interests, representing 64.3% of the economic interest in TWM LLC.</w:t>
      </w:r>
    </w:p>
    <w:p>
      <w:pPr>
        <w:spacing w:after="0" w:line="174" w:lineRule="exact"/>
        <w:rPr>
          <w:sz w:val="20"/>
          <w:szCs w:val="20"/>
          <w:color w:val="auto"/>
        </w:rPr>
      </w:pPr>
    </w:p>
    <w:p>
      <w:pPr>
        <w:ind w:left="642" w:hanging="642"/>
        <w:spacing w:after="0"/>
        <w:tabs>
          <w:tab w:leader="none" w:pos="642"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Non-Controlling Interests</w:t>
      </w:r>
    </w:p>
    <w:p>
      <w:pPr>
        <w:spacing w:after="0" w:line="215" w:lineRule="exact"/>
        <w:rPr>
          <w:sz w:val="20"/>
          <w:szCs w:val="20"/>
          <w:color w:val="auto"/>
        </w:rPr>
      </w:pPr>
    </w:p>
    <w:p>
      <w:pPr>
        <w:ind w:left="2" w:right="100"/>
        <w:spacing w:after="0" w:line="253" w:lineRule="auto"/>
        <w:rPr>
          <w:sz w:val="20"/>
          <w:szCs w:val="20"/>
          <w:color w:val="auto"/>
        </w:rPr>
      </w:pPr>
      <w:r>
        <w:rPr>
          <w:rFonts w:ascii="Arial" w:cs="Arial" w:eastAsia="Arial" w:hAnsi="Arial"/>
          <w:sz w:val="17"/>
          <w:szCs w:val="17"/>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consolidated financial statements. The non-controlling interests balance reported on the June 30, 2019 statement of financial condition represents the economic interests of TWM LLC held by the holders of LLC Interests other than Tradeweb Markets Inc. Income or loss is attributed to the non-controlling interests based on the relative ownership percentages of LLC Interests held by Tradeweb Markets Inc., on the one hand, and the other holders of LLC Interests, on the other hand, during the period.</w:t>
      </w:r>
    </w:p>
    <w:p>
      <w:pPr>
        <w:spacing w:after="0" w:line="184" w:lineRule="exact"/>
        <w:rPr>
          <w:sz w:val="20"/>
          <w:szCs w:val="20"/>
          <w:color w:val="auto"/>
        </w:rPr>
      </w:pPr>
    </w:p>
    <w:tbl>
      <w:tblPr>
        <w:tblLayout w:type="fixed"/>
        <w:tblInd w:w="2" w:type="dxa"/>
        <w:tblCellMar>
          <w:top w:w="0" w:type="dxa"/>
          <w:left w:w="0" w:type="dxa"/>
          <w:bottom w:w="0" w:type="dxa"/>
          <w:right w:w="0" w:type="dxa"/>
        </w:tblCellMar>
      </w:tblPr>
      <w:tr>
        <w:trPr>
          <w:trHeight w:val="215"/>
        </w:trPr>
        <w:tc>
          <w:tcPr>
            <w:tcW w:w="6520" w:type="dxa"/>
            <w:vAlign w:val="bottom"/>
          </w:tcPr>
          <w:p>
            <w:pPr>
              <w:spacing w:after="0"/>
              <w:rPr>
                <w:sz w:val="20"/>
                <w:szCs w:val="20"/>
                <w:color w:val="auto"/>
              </w:rPr>
            </w:pPr>
            <w:r>
              <w:rPr>
                <w:rFonts w:ascii="Arial" w:cs="Arial" w:eastAsia="Arial" w:hAnsi="Arial"/>
                <w:sz w:val="17"/>
                <w:szCs w:val="17"/>
                <w:color w:val="auto"/>
              </w:rPr>
              <w:t>The following table summarizes the ownership interest in Tradeweb Markets LLC:</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420"/>
        </w:trPr>
        <w:tc>
          <w:tcPr>
            <w:tcW w:w="6520" w:type="dxa"/>
            <w:vAlign w:val="bottom"/>
          </w:tcPr>
          <w:p>
            <w:pPr>
              <w:spacing w:after="0"/>
              <w:rPr>
                <w:sz w:val="24"/>
                <w:szCs w:val="24"/>
                <w:color w:val="auto"/>
              </w:rPr>
            </w:pPr>
          </w:p>
        </w:tc>
        <w:tc>
          <w:tcPr>
            <w:tcW w:w="2540" w:type="dxa"/>
            <w:vAlign w:val="bottom"/>
            <w:tcBorders>
              <w:bottom w:val="single" w:sz="8" w:color="auto"/>
            </w:tcBorders>
            <w:gridSpan w:val="3"/>
          </w:tcPr>
          <w:p>
            <w:pPr>
              <w:ind w:left="760"/>
              <w:spacing w:after="0"/>
              <w:rPr>
                <w:sz w:val="20"/>
                <w:szCs w:val="20"/>
                <w:color w:val="auto"/>
              </w:rPr>
            </w:pPr>
            <w:r>
              <w:rPr>
                <w:rFonts w:ascii="Arial" w:cs="Arial" w:eastAsia="Arial" w:hAnsi="Arial"/>
                <w:sz w:val="17"/>
                <w:szCs w:val="17"/>
                <w:b w:val="1"/>
                <w:bCs w:val="1"/>
                <w:color w:val="auto"/>
              </w:rPr>
              <w:t>June 30, 2019</w:t>
            </w:r>
          </w:p>
        </w:tc>
      </w:tr>
      <w:tr>
        <w:trPr>
          <w:trHeight w:val="180"/>
        </w:trPr>
        <w:tc>
          <w:tcPr>
            <w:tcW w:w="6520" w:type="dxa"/>
            <w:vAlign w:val="bottom"/>
          </w:tcPr>
          <w:p>
            <w:pPr>
              <w:spacing w:after="0"/>
              <w:rPr>
                <w:sz w:val="15"/>
                <w:szCs w:val="15"/>
                <w:color w:val="auto"/>
              </w:rPr>
            </w:pPr>
          </w:p>
        </w:tc>
        <w:tc>
          <w:tcPr>
            <w:tcW w:w="1460" w:type="dxa"/>
            <w:vAlign w:val="bottom"/>
            <w:gridSpan w:val="2"/>
          </w:tcPr>
          <w:p>
            <w:pPr>
              <w:jc w:val="center"/>
              <w:ind w:right="160"/>
              <w:spacing w:after="0" w:line="180" w:lineRule="exact"/>
              <w:rPr>
                <w:sz w:val="20"/>
                <w:szCs w:val="20"/>
                <w:color w:val="auto"/>
              </w:rPr>
            </w:pPr>
            <w:r>
              <w:rPr>
                <w:rFonts w:ascii="Arial" w:cs="Arial" w:eastAsia="Arial" w:hAnsi="Arial"/>
                <w:sz w:val="17"/>
                <w:szCs w:val="17"/>
                <w:b w:val="1"/>
                <w:bCs w:val="1"/>
                <w:color w:val="auto"/>
              </w:rPr>
              <w:t>LLC</w:t>
            </w:r>
          </w:p>
        </w:tc>
        <w:tc>
          <w:tcPr>
            <w:tcW w:w="1080" w:type="dxa"/>
            <w:vAlign w:val="bottom"/>
          </w:tcPr>
          <w:p>
            <w:pPr>
              <w:ind w:left="140"/>
              <w:spacing w:after="0" w:line="180" w:lineRule="exact"/>
              <w:rPr>
                <w:sz w:val="20"/>
                <w:szCs w:val="20"/>
                <w:color w:val="auto"/>
              </w:rPr>
            </w:pPr>
            <w:r>
              <w:rPr>
                <w:rFonts w:ascii="Arial" w:cs="Arial" w:eastAsia="Arial" w:hAnsi="Arial"/>
                <w:sz w:val="17"/>
                <w:szCs w:val="17"/>
                <w:b w:val="1"/>
                <w:bCs w:val="1"/>
                <w:color w:val="auto"/>
              </w:rPr>
              <w:t>Ownership</w:t>
            </w:r>
          </w:p>
        </w:tc>
      </w:tr>
      <w:tr>
        <w:trPr>
          <w:trHeight w:val="219"/>
        </w:trPr>
        <w:tc>
          <w:tcPr>
            <w:tcW w:w="6520" w:type="dxa"/>
            <w:vAlign w:val="bottom"/>
          </w:tcPr>
          <w:p>
            <w:pPr>
              <w:spacing w:after="0"/>
              <w:rPr>
                <w:sz w:val="19"/>
                <w:szCs w:val="19"/>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7"/>
              </w:rPr>
              <w:t>Interests</w:t>
            </w:r>
          </w:p>
        </w:tc>
        <w:tc>
          <w:tcPr>
            <w:tcW w:w="1080" w:type="dxa"/>
            <w:vAlign w:val="bottom"/>
          </w:tcPr>
          <w:p>
            <w:pPr>
              <w:jc w:val="center"/>
              <w:spacing w:after="0"/>
              <w:rPr>
                <w:sz w:val="20"/>
                <w:szCs w:val="20"/>
                <w:color w:val="auto"/>
              </w:rPr>
            </w:pPr>
            <w:r>
              <w:rPr>
                <w:rFonts w:ascii="Arial" w:cs="Arial" w:eastAsia="Arial" w:hAnsi="Arial"/>
                <w:sz w:val="17"/>
                <w:szCs w:val="17"/>
                <w:b w:val="1"/>
                <w:bCs w:val="1"/>
                <w:color w:val="auto"/>
              </w:rPr>
              <w:t>%</w:t>
            </w:r>
          </w:p>
        </w:tc>
      </w:tr>
      <w:tr>
        <w:trPr>
          <w:trHeight w:val="197"/>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Number of LLC Interests held by Tradeweb Markets Inc.</w:t>
            </w: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142,933,192</w:t>
            </w:r>
          </w:p>
        </w:tc>
        <w:tc>
          <w:tcPr>
            <w:tcW w:w="1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64.3%</w:t>
            </w:r>
          </w:p>
        </w:tc>
      </w:tr>
      <w:tr>
        <w:trPr>
          <w:trHeight w:val="203"/>
        </w:trPr>
        <w:tc>
          <w:tcPr>
            <w:tcW w:w="65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Number of LLC Interests held by non-controlling interests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79,289,005</w:t>
            </w:r>
          </w:p>
        </w:tc>
        <w:tc>
          <w:tcPr>
            <w:tcW w:w="1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35.7%</w:t>
            </w:r>
          </w:p>
        </w:tc>
      </w:tr>
      <w:tr>
        <w:trPr>
          <w:trHeight w:val="201"/>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LLC Interests outstanding</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222,222,197</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100%</w:t>
            </w:r>
          </w:p>
        </w:tc>
      </w:tr>
    </w:tbl>
    <w:p>
      <w:pPr>
        <w:spacing w:after="0" w:line="191" w:lineRule="exact"/>
        <w:rPr>
          <w:sz w:val="20"/>
          <w:szCs w:val="20"/>
          <w:color w:val="auto"/>
        </w:rPr>
      </w:pPr>
    </w:p>
    <w:p>
      <w:pPr>
        <w:ind w:left="2" w:right="120"/>
        <w:spacing w:after="0" w:line="261" w:lineRule="auto"/>
        <w:rPr>
          <w:sz w:val="20"/>
          <w:szCs w:val="20"/>
          <w:color w:val="auto"/>
        </w:rPr>
      </w:pPr>
      <w:r>
        <w:rPr>
          <w:rFonts w:ascii="Arial" w:cs="Arial" w:eastAsia="Arial" w:hAnsi="Arial"/>
          <w:sz w:val="17"/>
          <w:szCs w:val="17"/>
          <w:color w:val="auto"/>
        </w:rPr>
        <w:t>LLC Interests held by the Continuing LLC Owners are redeemable at the election of the members for shares of Class A common stock or Class B common stock, on a one-for-one basis or, at the Company's option, a cash payment in accordance with the terms of the TWM LLC Agreement. See Note 9 – Stockholders’ Equity.</w:t>
      </w:r>
    </w:p>
    <w:p>
      <w:pPr>
        <w:spacing w:after="0" w:line="176" w:lineRule="exact"/>
        <w:rPr>
          <w:sz w:val="20"/>
          <w:szCs w:val="20"/>
          <w:color w:val="auto"/>
        </w:rPr>
      </w:pPr>
    </w:p>
    <w:p>
      <w:pPr>
        <w:ind w:left="2" w:right="20"/>
        <w:spacing w:after="0" w:line="273" w:lineRule="auto"/>
        <w:rPr>
          <w:sz w:val="20"/>
          <w:szCs w:val="20"/>
          <w:color w:val="auto"/>
        </w:rPr>
      </w:pPr>
      <w:r>
        <w:rPr>
          <w:rFonts w:ascii="Arial" w:cs="Arial" w:eastAsia="Arial" w:hAnsi="Arial"/>
          <w:sz w:val="17"/>
          <w:szCs w:val="17"/>
          <w:color w:val="auto"/>
        </w:rPr>
        <w:t>The following table summarizes the impact on equity due to changes in the Company’s ownership interest in Tradeweb Markets LLC (in thousands):</w:t>
      </w:r>
    </w:p>
    <w:p>
      <w:pPr>
        <w:spacing w:after="0" w:line="191" w:lineRule="exact"/>
        <w:rPr>
          <w:sz w:val="20"/>
          <w:szCs w:val="20"/>
          <w:color w:val="auto"/>
        </w:rPr>
      </w:pPr>
    </w:p>
    <w:tbl>
      <w:tblPr>
        <w:tblLayout w:type="fixed"/>
        <w:tblInd w:w="2" w:type="dxa"/>
        <w:tblCellMar>
          <w:top w:w="0" w:type="dxa"/>
          <w:left w:w="0" w:type="dxa"/>
          <w:bottom w:w="0" w:type="dxa"/>
          <w:right w:w="0" w:type="dxa"/>
        </w:tblCellMar>
      </w:tblPr>
      <w:tr>
        <w:trPr>
          <w:trHeight w:val="200"/>
        </w:trPr>
        <w:tc>
          <w:tcPr>
            <w:tcW w:w="6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4"/>
              </w:rPr>
              <w:t>Successor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1"/>
              </w:rPr>
              <w:t>Successor</w:t>
            </w:r>
          </w:p>
        </w:tc>
        <w:tc>
          <w:tcPr>
            <w:tcW w:w="0" w:type="dxa"/>
            <w:vAlign w:val="bottom"/>
          </w:tcPr>
          <w:p>
            <w:pPr>
              <w:spacing w:after="0"/>
              <w:rPr>
                <w:sz w:val="1"/>
                <w:szCs w:val="1"/>
                <w:color w:val="auto"/>
              </w:rPr>
            </w:pPr>
          </w:p>
        </w:tc>
      </w:tr>
      <w:tr>
        <w:trPr>
          <w:trHeight w:val="186"/>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4"/>
              <w:spacing w:after="0"/>
              <w:rPr>
                <w:sz w:val="20"/>
                <w:szCs w:val="20"/>
                <w:color w:val="auto"/>
              </w:rPr>
            </w:pPr>
            <w:r>
              <w:rPr>
                <w:rFonts w:ascii="Arial" w:cs="Arial" w:eastAsia="Arial" w:hAnsi="Arial"/>
                <w:sz w:val="15"/>
                <w:szCs w:val="15"/>
                <w:b w:val="1"/>
                <w:bCs w:val="1"/>
                <w:color w:val="auto"/>
                <w:w w:val="93"/>
              </w:rPr>
              <w:t>Three Months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92"/>
              </w:rPr>
              <w:t>Six Months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1"/>
              </w:rPr>
              <w:t>Ended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Ended</w:t>
            </w:r>
          </w:p>
        </w:tc>
        <w:tc>
          <w:tcPr>
            <w:tcW w:w="0" w:type="dxa"/>
            <w:vAlign w:val="bottom"/>
          </w:tcPr>
          <w:p>
            <w:pPr>
              <w:spacing w:after="0"/>
              <w:rPr>
                <w:sz w:val="1"/>
                <w:szCs w:val="1"/>
                <w:color w:val="auto"/>
              </w:rPr>
            </w:pPr>
          </w:p>
        </w:tc>
      </w:tr>
      <w:tr>
        <w:trPr>
          <w:trHeight w:val="203"/>
        </w:trPr>
        <w:tc>
          <w:tcPr>
            <w:tcW w:w="67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Net Income Attributable to Tradeweb Markets Inc. and Transfers (to) from the Non-controlling</w:t>
            </w:r>
          </w:p>
        </w:tc>
        <w:tc>
          <w:tcPr>
            <w:tcW w:w="8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9"/>
              </w:rPr>
              <w:t>June 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9"/>
              </w:rPr>
              <w:t>June 30,</w:t>
            </w:r>
          </w:p>
        </w:tc>
        <w:tc>
          <w:tcPr>
            <w:tcW w:w="0" w:type="dxa"/>
            <w:vAlign w:val="bottom"/>
          </w:tcPr>
          <w:p>
            <w:pPr>
              <w:spacing w:after="0"/>
              <w:rPr>
                <w:sz w:val="1"/>
                <w:szCs w:val="1"/>
                <w:color w:val="auto"/>
              </w:rPr>
            </w:pPr>
          </w:p>
        </w:tc>
      </w:tr>
      <w:tr>
        <w:trPr>
          <w:trHeight w:val="183"/>
        </w:trPr>
        <w:tc>
          <w:tcPr>
            <w:tcW w:w="6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780" w:type="dxa"/>
            <w:vAlign w:val="bottom"/>
            <w:gridSpan w:val="2"/>
          </w:tcPr>
          <w:p>
            <w:pPr>
              <w:spacing w:after="0"/>
              <w:rPr>
                <w:sz w:val="20"/>
                <w:szCs w:val="20"/>
                <w:color w:val="auto"/>
              </w:rPr>
            </w:pPr>
            <w:r>
              <w:rPr>
                <w:rFonts w:ascii="Arial" w:cs="Arial" w:eastAsia="Arial" w:hAnsi="Arial"/>
                <w:sz w:val="15"/>
                <w:szCs w:val="15"/>
                <w:b w:val="1"/>
                <w:bCs w:val="1"/>
                <w:color w:val="auto"/>
              </w:rPr>
              <w:t>Interest</w:t>
            </w:r>
          </w:p>
        </w:tc>
        <w:tc>
          <w:tcPr>
            <w:tcW w:w="80" w:type="dxa"/>
            <w:vAlign w:val="bottom"/>
          </w:tcPr>
          <w:p>
            <w:pPr>
              <w:spacing w:after="0"/>
              <w:rPr>
                <w:sz w:val="17"/>
                <w:szCs w:val="17"/>
                <w:color w:val="auto"/>
              </w:rPr>
            </w:pPr>
          </w:p>
        </w:tc>
        <w:tc>
          <w:tcPr>
            <w:tcW w:w="1040" w:type="dxa"/>
            <w:vAlign w:val="bottom"/>
          </w:tcPr>
          <w:p>
            <w:pPr>
              <w:ind w:left="320"/>
              <w:spacing w:after="0"/>
              <w:rPr>
                <w:sz w:val="20"/>
                <w:szCs w:val="20"/>
                <w:color w:val="auto"/>
              </w:rPr>
            </w:pPr>
            <w:r>
              <w:rPr>
                <w:rFonts w:ascii="Arial" w:cs="Arial" w:eastAsia="Arial" w:hAnsi="Arial"/>
                <w:sz w:val="15"/>
                <w:szCs w:val="15"/>
                <w:b w:val="1"/>
                <w:bCs w:val="1"/>
                <w:color w:val="auto"/>
              </w:rPr>
              <w:t>2019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ind w:right="24"/>
              <w:spacing w:after="0"/>
              <w:rPr>
                <w:sz w:val="20"/>
                <w:szCs w:val="20"/>
                <w:color w:val="auto"/>
              </w:rPr>
            </w:pPr>
            <w:r>
              <w:rPr>
                <w:rFonts w:ascii="Arial" w:cs="Arial" w:eastAsia="Arial" w:hAnsi="Arial"/>
                <w:sz w:val="15"/>
                <w:szCs w:val="15"/>
                <w:b w:val="1"/>
                <w:bCs w:val="1"/>
                <w:color w:val="auto"/>
                <w:w w:val="89"/>
              </w:rPr>
              <w:t>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Net income attributable to Tradeweb Markets Inc.</w:t>
            </w: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5"/>
                <w:szCs w:val="15"/>
                <w:color w:val="auto"/>
              </w:rPr>
              <w:t>12,828</w:t>
            </w: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12,828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780" w:type="dxa"/>
            <w:vAlign w:val="bottom"/>
            <w:gridSpan w:val="2"/>
          </w:tcPr>
          <w:p>
            <w:pPr>
              <w:spacing w:after="0"/>
              <w:rPr>
                <w:sz w:val="20"/>
                <w:szCs w:val="20"/>
                <w:color w:val="auto"/>
              </w:rPr>
            </w:pPr>
            <w:r>
              <w:rPr>
                <w:rFonts w:ascii="Arial" w:cs="Arial" w:eastAsia="Arial" w:hAnsi="Arial"/>
                <w:sz w:val="15"/>
                <w:szCs w:val="15"/>
                <w:color w:val="auto"/>
              </w:rPr>
              <w:t>Transfers (to) from non-controlling interest:</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78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99"/>
              </w:rPr>
              <w:t>Allocation of equity to non-controlling interests arising from the reorganization transactions and IPO</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(1,607,529)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9"/>
              </w:rPr>
              <w:t>(1,607,529)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780" w:type="dxa"/>
            <w:vAlign w:val="bottom"/>
            <w:gridSpan w:val="2"/>
          </w:tcPr>
          <w:p>
            <w:pPr>
              <w:spacing w:after="0" w:line="163" w:lineRule="exact"/>
              <w:rPr>
                <w:sz w:val="20"/>
                <w:szCs w:val="20"/>
                <w:color w:val="auto"/>
              </w:rPr>
            </w:pPr>
            <w:r>
              <w:rPr>
                <w:rFonts w:ascii="Arial" w:cs="Arial" w:eastAsia="Arial" w:hAnsi="Arial"/>
                <w:sz w:val="15"/>
                <w:szCs w:val="15"/>
                <w:color w:val="auto"/>
              </w:rPr>
              <w:t>Change from net income attributable to Tradeweb Markets Inc. and transfers (to) from non-controlling</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vMerge w:val="restart"/>
          </w:tcPr>
          <w:p>
            <w:pPr>
              <w:ind w:left="320"/>
              <w:spacing w:after="0"/>
              <w:rPr>
                <w:sz w:val="20"/>
                <w:szCs w:val="20"/>
                <w:color w:val="auto"/>
              </w:rPr>
            </w:pPr>
            <w:r>
              <w:rPr>
                <w:rFonts w:ascii="Arial" w:cs="Arial" w:eastAsia="Arial" w:hAnsi="Arial"/>
                <w:sz w:val="15"/>
                <w:szCs w:val="15"/>
                <w:color w:val="auto"/>
                <w:w w:val="91"/>
              </w:rPr>
              <w:t>(1,594,701)</w:t>
            </w:r>
          </w:p>
        </w:tc>
        <w:tc>
          <w:tcPr>
            <w:tcW w:w="180" w:type="dxa"/>
            <w:vAlign w:val="bottom"/>
            <w:vMerge w:val="restart"/>
          </w:tcPr>
          <w:p>
            <w:pPr>
              <w:spacing w:after="0"/>
              <w:rPr>
                <w:sz w:val="14"/>
                <w:szCs w:val="14"/>
                <w:color w:val="auto"/>
              </w:rPr>
            </w:pPr>
          </w:p>
        </w:tc>
        <w:tc>
          <w:tcPr>
            <w:tcW w:w="100" w:type="dxa"/>
            <w:vAlign w:val="bottom"/>
            <w:gridSpan w:val="2"/>
            <w:vMerge w:val="restart"/>
          </w:tcPr>
          <w:p>
            <w:pPr>
              <w:jc w:val="right"/>
              <w:ind w:right="13"/>
              <w:spacing w:after="0"/>
              <w:rPr>
                <w:sz w:val="20"/>
                <w:szCs w:val="20"/>
                <w:color w:val="auto"/>
              </w:rPr>
            </w:pPr>
            <w:r>
              <w:rPr>
                <w:rFonts w:ascii="Arial" w:cs="Arial" w:eastAsia="Arial" w:hAnsi="Arial"/>
                <w:sz w:val="10"/>
                <w:szCs w:val="10"/>
                <w:color w:val="auto"/>
                <w:w w:val="71"/>
              </w:rPr>
              <w:t>$</w:t>
            </w: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(1,594,701)</w:t>
            </w:r>
          </w:p>
        </w:tc>
        <w:tc>
          <w:tcPr>
            <w:tcW w:w="0" w:type="dxa"/>
            <w:vAlign w:val="bottom"/>
          </w:tcPr>
          <w:p>
            <w:pPr>
              <w:spacing w:after="0"/>
              <w:rPr>
                <w:sz w:val="1"/>
                <w:szCs w:val="1"/>
                <w:color w:val="auto"/>
              </w:rPr>
            </w:pPr>
          </w:p>
        </w:tc>
      </w:tr>
      <w:tr>
        <w:trPr>
          <w:trHeight w:val="196"/>
        </w:trPr>
        <w:tc>
          <w:tcPr>
            <w:tcW w:w="6780" w:type="dxa"/>
            <w:vAlign w:val="bottom"/>
            <w:gridSpan w:val="2"/>
          </w:tcPr>
          <w:p>
            <w:pPr>
              <w:ind w:left="120"/>
              <w:spacing w:after="0"/>
              <w:rPr>
                <w:sz w:val="20"/>
                <w:szCs w:val="20"/>
                <w:color w:val="auto"/>
              </w:rPr>
            </w:pPr>
            <w:r>
              <w:rPr>
                <w:rFonts w:ascii="Arial" w:cs="Arial" w:eastAsia="Arial" w:hAnsi="Arial"/>
                <w:sz w:val="15"/>
                <w:szCs w:val="15"/>
                <w:color w:val="auto"/>
              </w:rPr>
              <w:t>interest</w:t>
            </w:r>
          </w:p>
        </w:tc>
        <w:tc>
          <w:tcPr>
            <w:tcW w:w="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622" w:hanging="622"/>
        <w:spacing w:after="0"/>
        <w:tabs>
          <w:tab w:leader="none" w:pos="622"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 Plans</w:t>
      </w:r>
    </w:p>
    <w:p>
      <w:pPr>
        <w:spacing w:after="0" w:line="215" w:lineRule="exact"/>
        <w:rPr>
          <w:sz w:val="20"/>
          <w:szCs w:val="20"/>
          <w:color w:val="auto"/>
        </w:rPr>
      </w:pPr>
    </w:p>
    <w:p>
      <w:pPr>
        <w:ind w:left="2" w:right="280"/>
        <w:spacing w:after="0" w:line="341" w:lineRule="auto"/>
        <w:rPr>
          <w:sz w:val="20"/>
          <w:szCs w:val="20"/>
          <w:color w:val="auto"/>
        </w:rPr>
      </w:pPr>
      <w:r>
        <w:rPr>
          <w:rFonts w:ascii="Arial" w:cs="Arial" w:eastAsia="Arial" w:hAnsi="Arial"/>
          <w:sz w:val="15"/>
          <w:szCs w:val="15"/>
          <w:color w:val="auto"/>
        </w:rPr>
        <w:t>The Company maintains a stock-based incentive plan (the “PRSU Plan”) which provides for the grant of performance-based restricted share units (“PRSUs”) to encourage employees of the Company to participate in the long-term success of the Company.</w:t>
      </w:r>
    </w:p>
    <w:p>
      <w:pPr>
        <w:spacing w:after="0" w:line="120" w:lineRule="exact"/>
        <w:rPr>
          <w:sz w:val="20"/>
          <w:szCs w:val="20"/>
          <w:color w:val="auto"/>
        </w:rPr>
      </w:pPr>
    </w:p>
    <w:p>
      <w:pPr>
        <w:ind w:left="2" w:right="200"/>
        <w:spacing w:after="0" w:line="255" w:lineRule="auto"/>
        <w:rPr>
          <w:sz w:val="20"/>
          <w:szCs w:val="20"/>
          <w:color w:val="auto"/>
        </w:rPr>
      </w:pPr>
      <w:r>
        <w:rPr>
          <w:rFonts w:ascii="Arial" w:cs="Arial" w:eastAsia="Arial" w:hAnsi="Arial"/>
          <w:sz w:val="17"/>
          <w:szCs w:val="17"/>
          <w:color w:val="auto"/>
        </w:rPr>
        <w:t>PRSUs generally vest in the third plan year following the year of grant and are equity-settled in shares of Class A common stock (except as described below). The outstanding PRSUs vest on January 1, 2020, 2021 and 2022. The number of PRSUs initially awarded is subsequently adjusted (upward or downward) by a performance modifier, based on the financial performance of the Company in the year of the grant. If an employee’s employment with the Company is terminated, subject to certain exceptions, all unvested PRSUs are forfeited.</w:t>
      </w:r>
    </w:p>
    <w:p>
      <w:pPr>
        <w:spacing w:after="0" w:line="385"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335915</wp:posOffset>
            </wp:positionV>
            <wp:extent cx="5753735"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2"/>
          </w:cols>
          <w:pgMar w:left="1418" w:top="127" w:right="1419" w:bottom="1440" w:gutter="0" w:footer="0" w:header="0"/>
        </w:sectPr>
      </w:pPr>
    </w:p>
    <w:bookmarkStart w:id="28" w:name="page29"/>
    <w:bookmarkEnd w:id="2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following table summarizes information for equity-settled PRSUs of the Company (in thousands, except weighted average grant date fair value per unit):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79"/>
              </w:rPr>
              <w:t>Successor</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79"/>
              </w:rPr>
              <w:t>Successor</w:t>
            </w:r>
          </w:p>
        </w:tc>
        <w:tc>
          <w:tcPr>
            <w:tcW w:w="0" w:type="dxa"/>
            <w:vAlign w:val="bottom"/>
          </w:tcPr>
          <w:p>
            <w:pPr>
              <w:spacing w:after="0"/>
              <w:rPr>
                <w:sz w:val="1"/>
                <w:szCs w:val="1"/>
                <w:color w:val="auto"/>
              </w:rPr>
            </w:pPr>
          </w:p>
        </w:tc>
      </w:tr>
      <w:tr>
        <w:trPr>
          <w:trHeight w:val="198"/>
        </w:trPr>
        <w:tc>
          <w:tcPr>
            <w:tcW w:w="6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Three Months</w:t>
            </w:r>
          </w:p>
        </w:tc>
        <w:tc>
          <w:tcPr>
            <w:tcW w:w="180" w:type="dxa"/>
            <w:vAlign w:val="bottom"/>
          </w:tcPr>
          <w:p>
            <w:pPr>
              <w:spacing w:after="0"/>
              <w:rPr>
                <w:sz w:val="17"/>
                <w:szCs w:val="17"/>
                <w:color w:val="auto"/>
              </w:rPr>
            </w:pPr>
          </w:p>
        </w:tc>
        <w:tc>
          <w:tcPr>
            <w:tcW w:w="1020" w:type="dxa"/>
            <w:vAlign w:val="bottom"/>
          </w:tcPr>
          <w:p>
            <w:pPr>
              <w:jc w:val="center"/>
              <w:ind w:right="84"/>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203"/>
        </w:trPr>
        <w:tc>
          <w:tcPr>
            <w:tcW w:w="6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7"/>
                <w:szCs w:val="17"/>
                <w:color w:val="auto"/>
              </w:rPr>
            </w:pPr>
          </w:p>
        </w:tc>
        <w:tc>
          <w:tcPr>
            <w:tcW w:w="1020" w:type="dxa"/>
            <w:vAlign w:val="bottom"/>
          </w:tcPr>
          <w:p>
            <w:pPr>
              <w:jc w:val="center"/>
              <w:ind w:right="104"/>
              <w:spacing w:after="0"/>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203"/>
        </w:trPr>
        <w:tc>
          <w:tcPr>
            <w:tcW w:w="6200" w:type="dxa"/>
            <w:vAlign w:val="bottom"/>
            <w:vMerge w:val="restart"/>
          </w:tcPr>
          <w:p>
            <w:pPr>
              <w:spacing w:after="0"/>
              <w:rPr>
                <w:sz w:val="20"/>
                <w:szCs w:val="20"/>
                <w:color w:val="auto"/>
              </w:rPr>
            </w:pPr>
            <w:r>
              <w:rPr>
                <w:rFonts w:ascii="Arial" w:cs="Arial" w:eastAsia="Arial" w:hAnsi="Arial"/>
                <w:sz w:val="17"/>
                <w:szCs w:val="17"/>
                <w:b w:val="1"/>
                <w:bCs w:val="1"/>
                <w:color w:val="auto"/>
              </w:rPr>
              <w:t>Equity-Settled PRSUs</w:t>
            </w:r>
          </w:p>
        </w:tc>
        <w:tc>
          <w:tcPr>
            <w:tcW w:w="180" w:type="dxa"/>
            <w:vAlign w:val="bottom"/>
          </w:tcPr>
          <w:p>
            <w:pPr>
              <w:spacing w:after="0"/>
              <w:rPr>
                <w:sz w:val="17"/>
                <w:szCs w:val="17"/>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17"/>
                <w:szCs w:val="17"/>
                <w:color w:val="auto"/>
              </w:rPr>
            </w:pPr>
          </w:p>
        </w:tc>
        <w:tc>
          <w:tcPr>
            <w:tcW w:w="1020" w:type="dxa"/>
            <w:vAlign w:val="bottom"/>
          </w:tcPr>
          <w:p>
            <w:pPr>
              <w:jc w:val="center"/>
              <w:ind w:right="144"/>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89"/>
        </w:trPr>
        <w:tc>
          <w:tcPr>
            <w:tcW w:w="62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6"/>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PRSU compensation expense</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6,894</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11,671</w:t>
            </w:r>
          </w:p>
        </w:tc>
        <w:tc>
          <w:tcPr>
            <w:tcW w:w="0" w:type="dxa"/>
            <w:vAlign w:val="bottom"/>
          </w:tcPr>
          <w:p>
            <w:pPr>
              <w:spacing w:after="0"/>
              <w:rPr>
                <w:sz w:val="1"/>
                <w:szCs w:val="1"/>
                <w:color w:val="auto"/>
              </w:rPr>
            </w:pPr>
          </w:p>
        </w:tc>
      </w:tr>
      <w:tr>
        <w:trPr>
          <w:trHeight w:val="203"/>
        </w:trPr>
        <w:tc>
          <w:tcPr>
            <w:tcW w:w="6200" w:type="dxa"/>
            <w:vAlign w:val="bottom"/>
          </w:tcPr>
          <w:p>
            <w:pPr>
              <w:spacing w:after="0"/>
              <w:rPr>
                <w:sz w:val="20"/>
                <w:szCs w:val="20"/>
                <w:color w:val="auto"/>
              </w:rPr>
            </w:pPr>
            <w:r>
              <w:rPr>
                <w:rFonts w:ascii="Arial" w:cs="Arial" w:eastAsia="Arial" w:hAnsi="Arial"/>
                <w:sz w:val="17"/>
                <w:szCs w:val="17"/>
                <w:color w:val="auto"/>
              </w:rPr>
              <w:t>Income tax benefit</w:t>
            </w:r>
          </w:p>
        </w:tc>
        <w:tc>
          <w:tcPr>
            <w:tcW w:w="180" w:type="dxa"/>
            <w:vAlign w:val="bottom"/>
          </w:tcPr>
          <w:p>
            <w:pPr>
              <w:spacing w:after="0"/>
              <w:rPr>
                <w:sz w:val="17"/>
                <w:szCs w:val="17"/>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PRSU compensation expense, net of taxes</w:t>
            </w: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6,894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11,671</w:t>
            </w:r>
          </w:p>
        </w:tc>
        <w:tc>
          <w:tcPr>
            <w:tcW w:w="0" w:type="dxa"/>
            <w:vAlign w:val="bottom"/>
          </w:tcPr>
          <w:p>
            <w:pPr>
              <w:spacing w:after="0"/>
              <w:rPr>
                <w:sz w:val="1"/>
                <w:szCs w:val="1"/>
                <w:color w:val="auto"/>
              </w:rPr>
            </w:pPr>
          </w:p>
        </w:tc>
      </w:tr>
      <w:tr>
        <w:trPr>
          <w:trHeight w:val="194"/>
        </w:trPr>
        <w:tc>
          <w:tcPr>
            <w:tcW w:w="6200" w:type="dxa"/>
            <w:vAlign w:val="bottom"/>
            <w:tcBorders>
              <w:bottom w:val="single" w:sz="8" w:color="CCEEFF"/>
            </w:tcBorders>
          </w:tcPr>
          <w:p>
            <w:pPr>
              <w:spacing w:after="0" w:line="189" w:lineRule="exact"/>
              <w:rPr>
                <w:sz w:val="20"/>
                <w:szCs w:val="20"/>
                <w:color w:val="auto"/>
              </w:rPr>
            </w:pPr>
            <w:r>
              <w:rPr>
                <w:rFonts w:ascii="Arial" w:cs="Arial" w:eastAsia="Arial" w:hAnsi="Arial"/>
                <w:sz w:val="17"/>
                <w:szCs w:val="17"/>
                <w:color w:val="auto"/>
              </w:rPr>
              <w:t>Weighted-average grant date fair value per unit</w:t>
            </w: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22.19</w:t>
            </w:r>
          </w:p>
        </w:tc>
        <w:tc>
          <w:tcPr>
            <w:tcW w:w="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22.19</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fair value of vested PRSUs</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Company previously granted cash-settled PRSUs, some of which are still outstanding and are accounted for as liability awards. The Company measures the cost of employee services received in exchange for the award based on the fair value of the Company and the value of accumulated dividend rights associated with each award. The fair value of that award is remeasured subsequently at each reporting date through to settlement. Changes in the award's fair value during the requisite service period is recognized as compensation cost over that period.</w:t>
      </w:r>
    </w:p>
    <w:p>
      <w:pPr>
        <w:spacing w:after="0" w:line="182"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The following table summarizes information for cash-settled PRSUs of the Company (in thousands, except weighted average fair value per unit):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79"/>
              </w:rPr>
              <w:t>Successor</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79"/>
              </w:rPr>
              <w:t>Successor</w:t>
            </w: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3"/>
              </w:rPr>
              <w:t>Predecessor</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0"/>
              </w:rPr>
              <w:t>Predecessor</w:t>
            </w:r>
          </w:p>
        </w:tc>
        <w:tc>
          <w:tcPr>
            <w:tcW w:w="140" w:type="dxa"/>
            <w:vAlign w:val="bottom"/>
          </w:tcPr>
          <w:p>
            <w:pPr>
              <w:spacing w:after="0"/>
              <w:rPr>
                <w:sz w:val="17"/>
                <w:szCs w:val="17"/>
                <w:color w:val="auto"/>
              </w:rPr>
            </w:pPr>
          </w:p>
        </w:tc>
      </w:tr>
      <w:tr>
        <w:trPr>
          <w:trHeight w:val="198"/>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44"/>
              <w:spacing w:after="0"/>
              <w:rPr>
                <w:sz w:val="20"/>
                <w:szCs w:val="20"/>
                <w:color w:val="auto"/>
              </w:rPr>
            </w:pPr>
            <w:r>
              <w:rPr>
                <w:rFonts w:ascii="Arial" w:cs="Arial" w:eastAsia="Arial" w:hAnsi="Arial"/>
                <w:sz w:val="14"/>
                <w:szCs w:val="14"/>
                <w:b w:val="1"/>
                <w:bCs w:val="1"/>
                <w:color w:val="auto"/>
                <w:w w:val="91"/>
              </w:rPr>
              <w:t>Three Months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44"/>
              <w:spacing w:after="0"/>
              <w:rPr>
                <w:sz w:val="20"/>
                <w:szCs w:val="20"/>
                <w:color w:val="auto"/>
              </w:rPr>
            </w:pPr>
            <w:r>
              <w:rPr>
                <w:rFonts w:ascii="Arial" w:cs="Arial" w:eastAsia="Arial" w:hAnsi="Arial"/>
                <w:sz w:val="14"/>
                <w:szCs w:val="14"/>
                <w:b w:val="1"/>
                <w:bCs w:val="1"/>
                <w:color w:val="auto"/>
                <w:w w:val="88"/>
              </w:rPr>
              <w:t>Six Months</w:t>
            </w: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Three Months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Six Months</w:t>
            </w:r>
          </w:p>
        </w:tc>
      </w:tr>
      <w:tr>
        <w:trPr>
          <w:trHeight w:val="203"/>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44"/>
              <w:spacing w:after="0"/>
              <w:rPr>
                <w:sz w:val="20"/>
                <w:szCs w:val="20"/>
                <w:color w:val="auto"/>
              </w:rPr>
            </w:pPr>
            <w:r>
              <w:rPr>
                <w:rFonts w:ascii="Arial" w:cs="Arial" w:eastAsia="Arial" w:hAnsi="Arial"/>
                <w:sz w:val="14"/>
                <w:szCs w:val="14"/>
                <w:b w:val="1"/>
                <w:bCs w:val="1"/>
                <w:color w:val="auto"/>
                <w:w w:val="84"/>
              </w:rPr>
              <w:t>Ended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44"/>
              <w:spacing w:after="0"/>
              <w:rPr>
                <w:sz w:val="20"/>
                <w:szCs w:val="20"/>
                <w:color w:val="auto"/>
              </w:rPr>
            </w:pPr>
            <w:r>
              <w:rPr>
                <w:rFonts w:ascii="Arial" w:cs="Arial" w:eastAsia="Arial" w:hAnsi="Arial"/>
                <w:sz w:val="14"/>
                <w:szCs w:val="14"/>
                <w:b w:val="1"/>
                <w:bCs w:val="1"/>
                <w:color w:val="auto"/>
                <w:w w:val="88"/>
              </w:rPr>
              <w:t>Ended</w:t>
            </w: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44"/>
              <w:spacing w:after="0"/>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Ended</w:t>
            </w:r>
          </w:p>
        </w:tc>
      </w:tr>
      <w:tr>
        <w:trPr>
          <w:trHeight w:val="203"/>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84"/>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104"/>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64"/>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June 30,</w:t>
            </w:r>
          </w:p>
        </w:tc>
      </w:tr>
      <w:tr>
        <w:trPr>
          <w:trHeight w:val="189"/>
        </w:trPr>
        <w:tc>
          <w:tcPr>
            <w:tcW w:w="3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Cash-Settled PRSUs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CEEFF"/>
              <w:right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3"/>
              </w:rPr>
              <w:t>2018</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CEEFF"/>
            </w:tcBorders>
          </w:tcPr>
          <w:p>
            <w:pPr>
              <w:spacing w:after="0"/>
              <w:rPr>
                <w:sz w:val="16"/>
                <w:szCs w:val="16"/>
                <w:color w:val="auto"/>
              </w:rPr>
            </w:pPr>
          </w:p>
        </w:tc>
      </w:tr>
      <w:tr>
        <w:trPr>
          <w:trHeight w:val="196"/>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PRSU compensation expense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11,155</w:t>
            </w:r>
          </w:p>
        </w:tc>
        <w:tc>
          <w:tcPr>
            <w:tcW w:w="140" w:type="dxa"/>
            <w:vAlign w:val="bottom"/>
            <w:shd w:val="clear" w:color="auto" w:fill="CCEEFF"/>
          </w:tcPr>
          <w:p>
            <w:pPr>
              <w:spacing w:after="0"/>
              <w:rPr>
                <w:sz w:val="17"/>
                <w:szCs w:val="17"/>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7"/>
                <w:szCs w:val="17"/>
                <w:color w:val="auto"/>
              </w:rPr>
              <w:t>Income tax benefit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16"/>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PRSU compensation expense, net of taxes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16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11,155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94"/>
        </w:trPr>
        <w:tc>
          <w:tcPr>
            <w:tcW w:w="3860" w:type="dxa"/>
            <w:vAlign w:val="bottom"/>
            <w:tcBorders>
              <w:bottom w:val="single" w:sz="8" w:color="CCEEFF"/>
            </w:tcBorders>
          </w:tcPr>
          <w:p>
            <w:pPr>
              <w:spacing w:after="0" w:line="189" w:lineRule="exact"/>
              <w:rPr>
                <w:sz w:val="20"/>
                <w:szCs w:val="20"/>
                <w:color w:val="auto"/>
              </w:rPr>
            </w:pPr>
            <w:r>
              <w:rPr>
                <w:rFonts w:ascii="Arial" w:cs="Arial" w:eastAsia="Arial" w:hAnsi="Arial"/>
                <w:sz w:val="17"/>
                <w:szCs w:val="17"/>
                <w:color w:val="auto"/>
              </w:rPr>
              <w:t>Weighted-average fair value per unit</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63,497</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63,497</w:t>
            </w:r>
          </w:p>
        </w:tc>
        <w:tc>
          <w:tcPr>
            <w:tcW w:w="160" w:type="dxa"/>
            <w:vAlign w:val="bottom"/>
            <w:tcBorders>
              <w:bottom w:val="single" w:sz="8" w:color="CCEEFF"/>
              <w:right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33,672</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33,672</w:t>
            </w:r>
          </w:p>
        </w:tc>
        <w:tc>
          <w:tcPr>
            <w:tcW w:w="140" w:type="dxa"/>
            <w:vAlign w:val="bottom"/>
            <w:tcBorders>
              <w:bottom w:val="single" w:sz="8" w:color="CCEEFF"/>
            </w:tcBorders>
          </w:tcPr>
          <w:p>
            <w:pPr>
              <w:spacing w:after="0"/>
              <w:rPr>
                <w:sz w:val="16"/>
                <w:szCs w:val="16"/>
                <w:color w:val="auto"/>
              </w:rPr>
            </w:pPr>
          </w:p>
        </w:tc>
      </w:tr>
      <w:tr>
        <w:trPr>
          <w:trHeight w:val="209"/>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fair value of vested PRSUs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191"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Corporation maintains an option plan (the “Option Plan”) which provides for the grant of stock options. In October 2018, the Company made a special award of options under the Option Plan. Each option vests one half based solely on the passage of time and one half only if the Company achieves certain performance targets. The time vesting portion of the options has a graded vesting schedule with vesting dates of January 1, 2019, 2020, 2021 and 2022, with accelerated vesting for time-based options with vesting dates of January 1, 2021 and 2022 upon the completion of an initial public offering.</w:t>
      </w:r>
    </w:p>
    <w:p>
      <w:pPr>
        <w:spacing w:after="0" w:line="166" w:lineRule="exact"/>
        <w:rPr>
          <w:sz w:val="20"/>
          <w:szCs w:val="20"/>
          <w:color w:val="auto"/>
        </w:rPr>
      </w:pPr>
    </w:p>
    <w:p>
      <w:pPr>
        <w:ind w:right="40"/>
        <w:spacing w:after="0" w:line="205" w:lineRule="exact"/>
        <w:rPr>
          <w:sz w:val="20"/>
          <w:szCs w:val="20"/>
          <w:color w:val="auto"/>
        </w:rPr>
      </w:pPr>
      <w:r>
        <w:rPr>
          <w:rFonts w:ascii="Arial" w:cs="Arial" w:eastAsia="Arial" w:hAnsi="Arial"/>
          <w:sz w:val="16"/>
          <w:szCs w:val="16"/>
          <w:color w:val="auto"/>
        </w:rPr>
        <w:t>In accounting for the options issued under the Option Plan, the Company measures and recognizes compensation expense for all awards based on their estimated fair values measured as of the grant date. These options are exercisable only any time following the closing of an initial public offering or during a 15</w:t>
      </w:r>
      <w:r>
        <w:rPr>
          <w:rFonts w:ascii="MS PGothic" w:cs="MS PGothic" w:eastAsia="MS PGothic" w:hAnsi="MS PGothic"/>
          <w:sz w:val="16"/>
          <w:szCs w:val="16"/>
          <w:color w:val="auto"/>
        </w:rPr>
        <w:t>‑</w:t>
      </w:r>
      <w:r>
        <w:rPr>
          <w:rFonts w:ascii="Arial" w:cs="Arial" w:eastAsia="Arial" w:hAnsi="Arial"/>
          <w:sz w:val="16"/>
          <w:szCs w:val="16"/>
          <w:color w:val="auto"/>
        </w:rPr>
        <w:t>day period following a change in control of the Company (and certain other sales of equity by the Company’s shareholders). Costs related to these options are recognized as an expense in the consolidated statements of income over the requisite service period, when exercisability is considered probable, with an offsetting increase to additional paid-in capital. As a result, expense recognition commenced upon the completion of the IPO, with $18,883,000 recognized as compensation expense related to these options immediately upon the completion of the IPO.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9" w:name="page30"/>
    <w:bookmarkEnd w:id="29"/>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left="2"/>
        <w:spacing w:after="0"/>
        <w:rPr>
          <w:sz w:val="20"/>
          <w:szCs w:val="20"/>
          <w:color w:val="auto"/>
        </w:rPr>
      </w:pPr>
      <w:r>
        <w:rPr>
          <w:rFonts w:ascii="Arial" w:cs="Arial" w:eastAsia="Arial" w:hAnsi="Arial"/>
          <w:sz w:val="15"/>
          <w:szCs w:val="15"/>
          <w:color w:val="auto"/>
        </w:rPr>
        <w:t>The following table summarizes information for options of the Company (in thousands, except weighted average fair value per unit):</w:t>
      </w:r>
    </w:p>
    <w:p>
      <w:pPr>
        <w:spacing w:after="0" w:line="259" w:lineRule="exact"/>
        <w:rPr>
          <w:sz w:val="20"/>
          <w:szCs w:val="20"/>
          <w:color w:val="auto"/>
        </w:rPr>
      </w:pPr>
    </w:p>
    <w:tbl>
      <w:tblPr>
        <w:tblLayout w:type="fixed"/>
        <w:tblInd w:w="2"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79"/>
              </w:rPr>
              <w:t>Successor</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79"/>
              </w:rPr>
              <w:t>Successor</w:t>
            </w: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3"/>
              </w:rPr>
              <w:t>Predecessor</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0"/>
              </w:rPr>
              <w:t>Predecessor</w:t>
            </w:r>
          </w:p>
        </w:tc>
      </w:tr>
      <w:tr>
        <w:trPr>
          <w:trHeight w:val="198"/>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Three Months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Six Months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64"/>
              <w:spacing w:after="0"/>
              <w:rPr>
                <w:sz w:val="20"/>
                <w:szCs w:val="20"/>
                <w:color w:val="auto"/>
              </w:rPr>
            </w:pPr>
            <w:r>
              <w:rPr>
                <w:rFonts w:ascii="Arial" w:cs="Arial" w:eastAsia="Arial" w:hAnsi="Arial"/>
                <w:sz w:val="14"/>
                <w:szCs w:val="14"/>
                <w:b w:val="1"/>
                <w:bCs w:val="1"/>
                <w:color w:val="auto"/>
                <w:w w:val="88"/>
              </w:rPr>
              <w:t>Six Months</w:t>
            </w:r>
          </w:p>
        </w:tc>
      </w:tr>
      <w:tr>
        <w:trPr>
          <w:trHeight w:val="203"/>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44"/>
              <w:spacing w:after="0"/>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4"/>
              </w:rPr>
              <w:t>Ended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44"/>
              <w:spacing w:after="0"/>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64"/>
              <w:spacing w:after="0"/>
              <w:rPr>
                <w:sz w:val="20"/>
                <w:szCs w:val="20"/>
                <w:color w:val="auto"/>
              </w:rPr>
            </w:pPr>
            <w:r>
              <w:rPr>
                <w:rFonts w:ascii="Arial" w:cs="Arial" w:eastAsia="Arial" w:hAnsi="Arial"/>
                <w:sz w:val="14"/>
                <w:szCs w:val="14"/>
                <w:b w:val="1"/>
                <w:bCs w:val="1"/>
                <w:color w:val="auto"/>
                <w:w w:val="88"/>
              </w:rPr>
              <w:t>Ended</w:t>
            </w:r>
          </w:p>
        </w:tc>
      </w:tr>
      <w:tr>
        <w:trPr>
          <w:trHeight w:val="203"/>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64"/>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84"/>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84"/>
              <w:spacing w:after="0"/>
              <w:rPr>
                <w:sz w:val="20"/>
                <w:szCs w:val="20"/>
                <w:color w:val="auto"/>
              </w:rPr>
            </w:pPr>
            <w:r>
              <w:rPr>
                <w:rFonts w:ascii="Arial" w:cs="Arial" w:eastAsia="Arial" w:hAnsi="Arial"/>
                <w:sz w:val="14"/>
                <w:szCs w:val="14"/>
                <w:b w:val="1"/>
                <w:bCs w:val="1"/>
                <w:color w:val="auto"/>
                <w:w w:val="85"/>
              </w:rPr>
              <w:t>June 30,</w:t>
            </w:r>
          </w:p>
        </w:tc>
      </w:tr>
      <w:tr>
        <w:trPr>
          <w:trHeight w:val="189"/>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6"/>
                <w:szCs w:val="16"/>
                <w:color w:val="auto"/>
              </w:rPr>
            </w:pPr>
          </w:p>
        </w:tc>
        <w:tc>
          <w:tcPr>
            <w:tcW w:w="1020" w:type="dxa"/>
            <w:vAlign w:val="bottom"/>
          </w:tcPr>
          <w:p>
            <w:pPr>
              <w:jc w:val="center"/>
              <w:ind w:right="24"/>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44"/>
              <w:spacing w:after="0"/>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2018</w:t>
            </w:r>
          </w:p>
        </w:tc>
      </w:tr>
      <w:tr>
        <w:trPr>
          <w:trHeight w:val="196"/>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Option compensation expense</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20,403</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20,403</w:t>
            </w:r>
          </w:p>
        </w:tc>
        <w:tc>
          <w:tcPr>
            <w:tcW w:w="16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7"/>
                <w:szCs w:val="17"/>
                <w:color w:val="auto"/>
              </w:rPr>
              <w:t>—</w:t>
            </w:r>
          </w:p>
        </w:tc>
      </w:tr>
      <w:tr>
        <w:trPr>
          <w:trHeight w:val="203"/>
        </w:trPr>
        <w:tc>
          <w:tcPr>
            <w:tcW w:w="4080" w:type="dxa"/>
            <w:vAlign w:val="bottom"/>
            <w:gridSpan w:val="2"/>
          </w:tcPr>
          <w:p>
            <w:pPr>
              <w:spacing w:after="0"/>
              <w:rPr>
                <w:sz w:val="20"/>
                <w:szCs w:val="20"/>
                <w:color w:val="auto"/>
              </w:rPr>
            </w:pPr>
            <w:r>
              <w:rPr>
                <w:rFonts w:ascii="Arial" w:cs="Arial" w:eastAsia="Arial" w:hAnsi="Arial"/>
                <w:sz w:val="17"/>
                <w:szCs w:val="17"/>
                <w:color w:val="auto"/>
              </w:rPr>
              <w:t>Income tax benefit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ind w:left="8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ind w:left="700"/>
              <w:spacing w:after="0"/>
              <w:rPr>
                <w:sz w:val="20"/>
                <w:szCs w:val="20"/>
                <w:color w:val="auto"/>
              </w:rPr>
            </w:pPr>
            <w:r>
              <w:rPr>
                <w:rFonts w:ascii="Arial" w:cs="Arial" w:eastAsia="Arial" w:hAnsi="Arial"/>
                <w:sz w:val="17"/>
                <w:szCs w:val="17"/>
                <w:color w:val="auto"/>
              </w:rPr>
              <w:t>—</w:t>
            </w:r>
          </w:p>
        </w:tc>
      </w:tr>
      <w:tr>
        <w:trPr>
          <w:trHeight w:val="216"/>
        </w:trPr>
        <w:tc>
          <w:tcPr>
            <w:tcW w:w="4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Option compensation expense, net of taxes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20,403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20,403</w:t>
            </w:r>
          </w:p>
        </w:tc>
        <w:tc>
          <w:tcPr>
            <w:tcW w:w="16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7"/>
                <w:szCs w:val="17"/>
                <w:color w:val="auto"/>
              </w:rPr>
              <w:t>—</w:t>
            </w:r>
          </w:p>
        </w:tc>
      </w:tr>
      <w:tr>
        <w:trPr>
          <w:trHeight w:val="194"/>
        </w:trPr>
        <w:tc>
          <w:tcPr>
            <w:tcW w:w="408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7"/>
                <w:szCs w:val="17"/>
                <w:color w:val="auto"/>
              </w:rPr>
              <w:t>Weighted-average fair value per unit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1.85</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1.85</w:t>
            </w:r>
          </w:p>
        </w:tc>
        <w:tc>
          <w:tcPr>
            <w:tcW w:w="160" w:type="dxa"/>
            <w:vAlign w:val="bottom"/>
            <w:tcBorders>
              <w:bottom w:val="single" w:sz="8" w:color="CCEEFF"/>
              <w:right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ind w:left="800"/>
              <w:spacing w:after="0" w:line="189" w:lineRule="exact"/>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ind w:left="700"/>
              <w:spacing w:after="0" w:line="189" w:lineRule="exact"/>
              <w:rPr>
                <w:sz w:val="20"/>
                <w:szCs w:val="20"/>
                <w:color w:val="auto"/>
              </w:rPr>
            </w:pPr>
            <w:r>
              <w:rPr>
                <w:rFonts w:ascii="Arial" w:cs="Arial" w:eastAsia="Arial" w:hAnsi="Arial"/>
                <w:sz w:val="17"/>
                <w:szCs w:val="17"/>
                <w:color w:val="auto"/>
              </w:rPr>
              <w:t>—</w:t>
            </w:r>
          </w:p>
        </w:tc>
      </w:tr>
      <w:tr>
        <w:trPr>
          <w:trHeight w:val="209"/>
        </w:trPr>
        <w:tc>
          <w:tcPr>
            <w:tcW w:w="4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fair value of vested options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16,309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16,309</w:t>
            </w:r>
          </w:p>
        </w:tc>
        <w:tc>
          <w:tcPr>
            <w:tcW w:w="16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7"/>
                <w:szCs w:val="17"/>
                <w:color w:val="auto"/>
              </w:rPr>
              <w:t>—</w:t>
            </w:r>
          </w:p>
        </w:tc>
      </w:tr>
    </w:tbl>
    <w:p>
      <w:pPr>
        <w:spacing w:after="0" w:line="191" w:lineRule="exact"/>
        <w:rPr>
          <w:sz w:val="20"/>
          <w:szCs w:val="20"/>
          <w:color w:val="auto"/>
        </w:rPr>
      </w:pPr>
    </w:p>
    <w:p>
      <w:pPr>
        <w:jc w:val="both"/>
        <w:ind w:left="2" w:right="20"/>
        <w:spacing w:after="0" w:line="273" w:lineRule="auto"/>
        <w:rPr>
          <w:sz w:val="20"/>
          <w:szCs w:val="20"/>
          <w:color w:val="auto"/>
        </w:rPr>
      </w:pPr>
      <w:r>
        <w:rPr>
          <w:rFonts w:ascii="Arial" w:cs="Arial" w:eastAsia="Arial" w:hAnsi="Arial"/>
          <w:sz w:val="17"/>
          <w:szCs w:val="17"/>
          <w:color w:val="auto"/>
        </w:rPr>
        <w:t>As of June 30, 2019, total unrecognized compensation expense related to non-vested stock-based compensation arrangements and the expected recognition period are as follows (in thousands):</w:t>
      </w:r>
    </w:p>
    <w:p>
      <w:pPr>
        <w:spacing w:after="0" w:line="149"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204"/>
              <w:spacing w:after="0"/>
              <w:rPr>
                <w:sz w:val="20"/>
                <w:szCs w:val="20"/>
                <w:color w:val="auto"/>
              </w:rPr>
            </w:pPr>
            <w:r>
              <w:rPr>
                <w:rFonts w:ascii="Arial" w:cs="Arial" w:eastAsia="Arial" w:hAnsi="Arial"/>
                <w:sz w:val="14"/>
                <w:szCs w:val="14"/>
                <w:b w:val="1"/>
                <w:bCs w:val="1"/>
                <w:color w:val="auto"/>
                <w:w w:val="93"/>
              </w:rPr>
              <w:t>Cash-Settled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164"/>
              <w:spacing w:after="0"/>
              <w:rPr>
                <w:sz w:val="20"/>
                <w:szCs w:val="20"/>
                <w:color w:val="auto"/>
              </w:rPr>
            </w:pPr>
            <w:r>
              <w:rPr>
                <w:rFonts w:ascii="Arial" w:cs="Arial" w:eastAsia="Arial" w:hAnsi="Arial"/>
                <w:sz w:val="14"/>
                <w:szCs w:val="14"/>
                <w:b w:val="1"/>
                <w:bCs w:val="1"/>
                <w:color w:val="auto"/>
                <w:w w:val="94"/>
              </w:rPr>
              <w:t>Equity Settled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0"/>
        </w:trPr>
        <w:tc>
          <w:tcPr>
            <w:tcW w:w="46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PRSUs</w:t>
            </w:r>
          </w:p>
        </w:tc>
        <w:tc>
          <w:tcPr>
            <w:tcW w:w="2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PRSUs</w:t>
            </w:r>
          </w:p>
        </w:tc>
        <w:tc>
          <w:tcPr>
            <w:tcW w:w="2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Options</w:t>
            </w:r>
          </w:p>
        </w:tc>
      </w:tr>
      <w:tr>
        <w:trPr>
          <w:trHeight w:val="196"/>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Total unrecognized compensation cost</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41,237</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12,923</w:t>
            </w:r>
          </w:p>
        </w:tc>
      </w:tr>
      <w:tr>
        <w:trPr>
          <w:trHeight w:val="215"/>
        </w:trPr>
        <w:tc>
          <w:tcPr>
            <w:tcW w:w="4660" w:type="dxa"/>
            <w:vAlign w:val="bottom"/>
          </w:tcPr>
          <w:p>
            <w:pPr>
              <w:spacing w:after="0"/>
              <w:rPr>
                <w:sz w:val="20"/>
                <w:szCs w:val="20"/>
                <w:color w:val="auto"/>
              </w:rPr>
            </w:pPr>
            <w:r>
              <w:rPr>
                <w:rFonts w:ascii="Arial" w:cs="Arial" w:eastAsia="Arial" w:hAnsi="Arial"/>
                <w:sz w:val="17"/>
                <w:szCs w:val="17"/>
                <w:color w:val="auto"/>
              </w:rPr>
              <w:t>Weighted-average recognition period</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 years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 years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 years</w:t>
            </w:r>
          </w:p>
        </w:tc>
      </w:tr>
    </w:tbl>
    <w:p>
      <w:pPr>
        <w:spacing w:after="0" w:line="213" w:lineRule="exact"/>
        <w:rPr>
          <w:sz w:val="20"/>
          <w:szCs w:val="20"/>
          <w:color w:val="auto"/>
        </w:rPr>
      </w:pPr>
    </w:p>
    <w:p>
      <w:pPr>
        <w:ind w:left="642" w:hanging="642"/>
        <w:spacing w:after="0"/>
        <w:tabs>
          <w:tab w:leader="none" w:pos="642"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215" w:lineRule="exact"/>
        <w:rPr>
          <w:sz w:val="20"/>
          <w:szCs w:val="20"/>
          <w:color w:val="auto"/>
        </w:rPr>
      </w:pPr>
    </w:p>
    <w:p>
      <w:pPr>
        <w:ind w:left="2" w:right="20"/>
        <w:spacing w:after="0" w:line="297" w:lineRule="auto"/>
        <w:rPr>
          <w:sz w:val="20"/>
          <w:szCs w:val="20"/>
          <w:color w:val="auto"/>
        </w:rPr>
      </w:pPr>
      <w:r>
        <w:rPr>
          <w:rFonts w:ascii="Arial" w:cs="Arial" w:eastAsia="Arial" w:hAnsi="Arial"/>
          <w:sz w:val="15"/>
          <w:szCs w:val="15"/>
          <w:color w:val="auto"/>
        </w:rPr>
        <w:t>The Company enters into transactions with affiliates of Refinitiv which are considered to be related party transactions. The Company also enters into transactions with affiliates of the Bank Stockholders. Prior to the Reorganization Transactions, the Bank Stockholders were considered to be related parties of the Company. As a result of the Reorganization Transactions, they are no longer considered to be related parties. As a result, the related party transactions listed below include transactions with affiliates of Refinitiv for all periods presented and only includes transactions with affiliates of the Bank Stockholders for pre-IPO periods.</w:t>
      </w:r>
    </w:p>
    <w:p>
      <w:pPr>
        <w:spacing w:after="0" w:line="153" w:lineRule="exact"/>
        <w:rPr>
          <w:sz w:val="20"/>
          <w:szCs w:val="20"/>
          <w:color w:val="auto"/>
        </w:rPr>
      </w:pPr>
    </w:p>
    <w:p>
      <w:pPr>
        <w:ind w:left="2" w:right="40"/>
        <w:spacing w:after="0" w:line="273" w:lineRule="auto"/>
        <w:rPr>
          <w:sz w:val="20"/>
          <w:szCs w:val="20"/>
          <w:color w:val="auto"/>
        </w:rPr>
      </w:pPr>
      <w:r>
        <w:rPr>
          <w:rFonts w:ascii="Arial" w:cs="Arial" w:eastAsia="Arial" w:hAnsi="Arial"/>
          <w:sz w:val="17"/>
          <w:szCs w:val="17"/>
          <w:color w:val="auto"/>
        </w:rPr>
        <w:t>At June 30, 2019 and December 31, 2018, the following balances with such affiliates were included in the consolidated statements of financial condition in the following line items (in thousands):</w:t>
      </w:r>
    </w:p>
    <w:p>
      <w:pPr>
        <w:spacing w:after="0" w:line="169"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4"/>
                <w:szCs w:val="14"/>
                <w:color w:val="auto"/>
              </w:rPr>
            </w:pPr>
          </w:p>
        </w:tc>
        <w:tc>
          <w:tcPr>
            <w:tcW w:w="1200" w:type="dxa"/>
            <w:vAlign w:val="bottom"/>
          </w:tcPr>
          <w:p>
            <w:pPr>
              <w:jc w:val="right"/>
              <w:ind w:right="278"/>
              <w:spacing w:after="0"/>
              <w:rPr>
                <w:sz w:val="20"/>
                <w:szCs w:val="20"/>
                <w:color w:val="auto"/>
              </w:rPr>
            </w:pPr>
            <w:r>
              <w:rPr>
                <w:rFonts w:ascii="Arial" w:cs="Arial" w:eastAsia="Arial" w:hAnsi="Arial"/>
                <w:sz w:val="14"/>
                <w:szCs w:val="14"/>
                <w:b w:val="1"/>
                <w:bCs w:val="1"/>
                <w:color w:val="auto"/>
              </w:rPr>
              <w:t>Successor</w:t>
            </w:r>
          </w:p>
        </w:tc>
        <w:tc>
          <w:tcPr>
            <w:tcW w:w="900" w:type="dxa"/>
            <w:vAlign w:val="bottom"/>
          </w:tcPr>
          <w:p>
            <w:pPr>
              <w:spacing w:after="0"/>
              <w:rPr>
                <w:sz w:val="14"/>
                <w:szCs w:val="14"/>
                <w:color w:val="auto"/>
              </w:rPr>
            </w:pPr>
          </w:p>
        </w:tc>
      </w:tr>
      <w:tr>
        <w:trPr>
          <w:trHeight w:val="132"/>
        </w:trPr>
        <w:tc>
          <w:tcPr>
            <w:tcW w:w="900" w:type="dxa"/>
            <w:vAlign w:val="bottom"/>
          </w:tcPr>
          <w:p>
            <w:pPr>
              <w:spacing w:after="0"/>
              <w:rPr>
                <w:sz w:val="11"/>
                <w:szCs w:val="11"/>
                <w:color w:val="auto"/>
              </w:rPr>
            </w:pPr>
          </w:p>
        </w:tc>
        <w:tc>
          <w:tcPr>
            <w:tcW w:w="43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jc w:val="right"/>
              <w:ind w:right="218"/>
              <w:spacing w:after="0" w:line="133" w:lineRule="exact"/>
              <w:rPr>
                <w:sz w:val="20"/>
                <w:szCs w:val="20"/>
                <w:color w:val="auto"/>
              </w:rPr>
            </w:pPr>
            <w:r>
              <w:rPr>
                <w:rFonts w:ascii="Arial" w:cs="Arial" w:eastAsia="Arial" w:hAnsi="Arial"/>
                <w:sz w:val="14"/>
                <w:szCs w:val="14"/>
                <w:b w:val="1"/>
                <w:bCs w:val="1"/>
                <w:color w:val="auto"/>
                <w:w w:val="98"/>
              </w:rPr>
              <w:t>June 30, 2019</w:t>
            </w:r>
          </w:p>
        </w:tc>
        <w:tc>
          <w:tcPr>
            <w:tcW w:w="2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ind w:right="18"/>
              <w:spacing w:after="0" w:line="133" w:lineRule="exact"/>
              <w:rPr>
                <w:sz w:val="20"/>
                <w:szCs w:val="20"/>
                <w:color w:val="auto"/>
              </w:rPr>
            </w:pPr>
            <w:r>
              <w:rPr>
                <w:rFonts w:ascii="Arial" w:cs="Arial" w:eastAsia="Arial" w:hAnsi="Arial"/>
                <w:sz w:val="14"/>
                <w:szCs w:val="14"/>
                <w:b w:val="1"/>
                <w:bCs w:val="1"/>
                <w:color w:val="auto"/>
                <w:w w:val="85"/>
              </w:rPr>
              <w:t>December 31, 2018</w:t>
            </w:r>
          </w:p>
        </w:tc>
        <w:tc>
          <w:tcPr>
            <w:tcW w:w="900" w:type="dxa"/>
            <w:vAlign w:val="bottom"/>
          </w:tcPr>
          <w:p>
            <w:pPr>
              <w:spacing w:after="0"/>
              <w:rPr>
                <w:sz w:val="11"/>
                <w:szCs w:val="11"/>
                <w:color w:val="auto"/>
              </w:rPr>
            </w:pPr>
          </w:p>
        </w:tc>
      </w:tr>
      <w:tr>
        <w:trPr>
          <w:trHeight w:val="196"/>
        </w:trPr>
        <w:tc>
          <w:tcPr>
            <w:tcW w:w="90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283,790</w:t>
            </w:r>
          </w:p>
        </w:tc>
        <w:tc>
          <w:tcPr>
            <w:tcW w:w="900" w:type="dxa"/>
            <w:vAlign w:val="bottom"/>
          </w:tcPr>
          <w:p>
            <w:pPr>
              <w:spacing w:after="0"/>
              <w:rPr>
                <w:sz w:val="17"/>
                <w:szCs w:val="17"/>
                <w:color w:val="auto"/>
              </w:rPr>
            </w:pPr>
          </w:p>
        </w:tc>
      </w:tr>
      <w:tr>
        <w:trPr>
          <w:trHeight w:val="191"/>
        </w:trPr>
        <w:tc>
          <w:tcPr>
            <w:tcW w:w="900" w:type="dxa"/>
            <w:vAlign w:val="bottom"/>
          </w:tcPr>
          <w:p>
            <w:pPr>
              <w:spacing w:after="0"/>
              <w:rPr>
                <w:sz w:val="16"/>
                <w:szCs w:val="16"/>
                <w:color w:val="auto"/>
              </w:rPr>
            </w:pPr>
          </w:p>
        </w:tc>
        <w:tc>
          <w:tcPr>
            <w:tcW w:w="4320" w:type="dxa"/>
            <w:vAlign w:val="bottom"/>
          </w:tcPr>
          <w:p>
            <w:pPr>
              <w:spacing w:after="0" w:line="191" w:lineRule="exact"/>
              <w:rPr>
                <w:sz w:val="20"/>
                <w:szCs w:val="20"/>
                <w:color w:val="auto"/>
              </w:rPr>
            </w:pPr>
            <w:r>
              <w:rPr>
                <w:rFonts w:ascii="Arial" w:cs="Arial" w:eastAsia="Arial" w:hAnsi="Arial"/>
                <w:sz w:val="17"/>
                <w:szCs w:val="17"/>
                <w:color w:val="auto"/>
              </w:rPr>
              <w:t>Receivables from brokers and dealers and clearing</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5"/>
        </w:trPr>
        <w:tc>
          <w:tcPr>
            <w:tcW w:w="5220" w:type="dxa"/>
            <w:vAlign w:val="bottom"/>
            <w:gridSpan w:val="2"/>
          </w:tcPr>
          <w:p>
            <w:pPr>
              <w:ind w:left="900"/>
              <w:spacing w:after="0"/>
              <w:rPr>
                <w:sz w:val="20"/>
                <w:szCs w:val="20"/>
                <w:color w:val="auto"/>
              </w:rPr>
            </w:pPr>
            <w:r>
              <w:rPr>
                <w:rFonts w:ascii="Arial" w:cs="Arial" w:eastAsia="Arial" w:hAnsi="Arial"/>
                <w:sz w:val="17"/>
                <w:szCs w:val="17"/>
                <w:color w:val="auto"/>
              </w:rPr>
              <w:t>organizations</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3,332</w:t>
            </w:r>
          </w:p>
        </w:tc>
        <w:tc>
          <w:tcPr>
            <w:tcW w:w="900" w:type="dxa"/>
            <w:vAlign w:val="bottom"/>
          </w:tcPr>
          <w:p>
            <w:pPr>
              <w:spacing w:after="0"/>
              <w:rPr>
                <w:sz w:val="18"/>
                <w:szCs w:val="18"/>
                <w:color w:val="auto"/>
              </w:rPr>
            </w:pPr>
          </w:p>
        </w:tc>
      </w:tr>
      <w:tr>
        <w:trPr>
          <w:trHeight w:val="204"/>
        </w:trPr>
        <w:tc>
          <w:tcPr>
            <w:tcW w:w="90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Deposits with clearing organizations</w:t>
            </w: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90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Accounts receivable</w:t>
            </w:r>
          </w:p>
        </w:tc>
        <w:tc>
          <w:tcPr>
            <w:tcW w:w="200" w:type="dxa"/>
            <w:vAlign w:val="bottom"/>
          </w:tcPr>
          <w:p>
            <w:pPr>
              <w:spacing w:after="0"/>
              <w:rPr>
                <w:sz w:val="17"/>
                <w:szCs w:val="17"/>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40,730</w:t>
            </w:r>
          </w:p>
        </w:tc>
        <w:tc>
          <w:tcPr>
            <w:tcW w:w="90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Receivable from affiliates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3,243</w:t>
            </w:r>
          </w:p>
        </w:tc>
        <w:tc>
          <w:tcPr>
            <w:tcW w:w="90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Other assets</w:t>
            </w:r>
          </w:p>
        </w:tc>
        <w:tc>
          <w:tcPr>
            <w:tcW w:w="200" w:type="dxa"/>
            <w:vAlign w:val="bottom"/>
          </w:tcPr>
          <w:p>
            <w:pPr>
              <w:spacing w:after="0"/>
              <w:rPr>
                <w:sz w:val="17"/>
                <w:szCs w:val="17"/>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w:t>
            </w:r>
          </w:p>
        </w:tc>
        <w:tc>
          <w:tcPr>
            <w:tcW w:w="90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w w:val="98"/>
              </w:rPr>
              <w:t>Payable to brokers and dealers and clearing organizations</w:t>
            </w: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2,404</w:t>
            </w:r>
          </w:p>
        </w:tc>
        <w:tc>
          <w:tcPr>
            <w:tcW w:w="90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Deferred revenue</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4,772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9,151</w:t>
            </w:r>
          </w:p>
        </w:tc>
        <w:tc>
          <w:tcPr>
            <w:tcW w:w="90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Payable to affiliates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5,009</w:t>
            </w:r>
          </w:p>
        </w:tc>
        <w:tc>
          <w:tcPr>
            <w:tcW w:w="900" w:type="dxa"/>
            <w:vAlign w:val="bottom"/>
          </w:tcPr>
          <w:p>
            <w:pPr>
              <w:spacing w:after="0"/>
              <w:rPr>
                <w:sz w:val="17"/>
                <w:szCs w:val="17"/>
                <w:color w:val="auto"/>
              </w:rPr>
            </w:pPr>
          </w:p>
        </w:tc>
      </w:tr>
      <w:tr>
        <w:trPr>
          <w:trHeight w:val="812"/>
        </w:trPr>
        <w:tc>
          <w:tcPr>
            <w:tcW w:w="5220" w:type="dxa"/>
            <w:vAlign w:val="bottom"/>
            <w:gridSpan w:val="2"/>
          </w:tcPr>
          <w:p>
            <w:pPr>
              <w:jc w:val="right"/>
              <w:ind w:right="515"/>
              <w:spacing w:after="0"/>
              <w:rPr>
                <w:sz w:val="20"/>
                <w:szCs w:val="20"/>
                <w:color w:val="auto"/>
              </w:rPr>
            </w:pPr>
            <w:r>
              <w:rPr>
                <w:rFonts w:ascii="Arial" w:cs="Arial" w:eastAsia="Arial" w:hAnsi="Arial"/>
                <w:sz w:val="17"/>
                <w:szCs w:val="17"/>
                <w:color w:val="auto"/>
              </w:rPr>
              <w:t>30</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27"/>
        </w:trPr>
        <w:tc>
          <w:tcPr>
            <w:tcW w:w="9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2"/>
          </w:cols>
          <w:pgMar w:left="1418" w:top="127" w:right="1419" w:bottom="1440" w:gutter="0" w:footer="0" w:header="0"/>
        </w:sectPr>
      </w:pPr>
    </w:p>
    <w:bookmarkStart w:id="30" w:name="page31"/>
    <w:bookmarkEnd w:id="3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The following balances with such affiliates were included in the consolidated statements of income in the following line items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w w:val="79"/>
              </w:rPr>
              <w:t>Successor</w:t>
            </w:r>
          </w:p>
        </w:tc>
        <w:tc>
          <w:tcPr>
            <w:tcW w:w="1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4"/>
                <w:szCs w:val="14"/>
                <w:b w:val="1"/>
                <w:bCs w:val="1"/>
                <w:color w:val="auto"/>
              </w:rPr>
              <w:t>Predecessor</w:t>
            </w:r>
          </w:p>
        </w:tc>
      </w:tr>
      <w:tr>
        <w:trPr>
          <w:trHeight w:val="188"/>
        </w:trPr>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8"/>
              </w:rPr>
              <w:t>Six Months Ended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90"/>
              </w:rPr>
              <w:t>Six Months Ended</w:t>
            </w:r>
          </w:p>
        </w:tc>
      </w:tr>
      <w:tr>
        <w:trPr>
          <w:trHeight w:val="160"/>
        </w:trPr>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3"/>
          </w:tcPr>
          <w:p>
            <w:pPr>
              <w:ind w:left="220"/>
              <w:spacing w:after="0"/>
              <w:rPr>
                <w:sz w:val="20"/>
                <w:szCs w:val="20"/>
                <w:color w:val="auto"/>
              </w:rPr>
            </w:pPr>
            <w:r>
              <w:rPr>
                <w:rFonts w:ascii="Arial" w:cs="Arial" w:eastAsia="Arial" w:hAnsi="Arial"/>
                <w:sz w:val="14"/>
                <w:szCs w:val="14"/>
                <w:b w:val="1"/>
                <w:bCs w:val="1"/>
                <w:color w:val="auto"/>
              </w:rPr>
              <w:t>June 30, 2019</w:t>
            </w:r>
          </w:p>
        </w:tc>
        <w:tc>
          <w:tcPr>
            <w:tcW w:w="114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June 30, 2019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right"/>
              <w:ind w:right="24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179"/>
              <w:spacing w:after="0"/>
              <w:rPr>
                <w:sz w:val="20"/>
                <w:szCs w:val="20"/>
                <w:color w:val="auto"/>
              </w:rPr>
            </w:pPr>
            <w:r>
              <w:rPr>
                <w:rFonts w:ascii="Arial" w:cs="Arial" w:eastAsia="Arial" w:hAnsi="Arial"/>
                <w:sz w:val="14"/>
                <w:szCs w:val="14"/>
                <w:b w:val="1"/>
                <w:bCs w:val="1"/>
                <w:color w:val="auto"/>
                <w:w w:val="98"/>
              </w:rPr>
              <w:t>June 30, 2018</w:t>
            </w:r>
          </w:p>
        </w:tc>
      </w:tr>
      <w:tr>
        <w:trPr>
          <w:trHeight w:val="145"/>
        </w:trPr>
        <w:tc>
          <w:tcPr>
            <w:tcW w:w="3160" w:type="dxa"/>
            <w:vAlign w:val="bottom"/>
            <w:tcBorders>
              <w:top w:val="single" w:sz="8" w:color="CCEEFF"/>
            </w:tcBorders>
            <w:gridSpan w:val="5"/>
            <w:shd w:val="clear" w:color="auto" w:fill="CCEEFF"/>
          </w:tcPr>
          <w:p>
            <w:pPr>
              <w:spacing w:after="0" w:line="145" w:lineRule="exact"/>
              <w:rPr>
                <w:sz w:val="20"/>
                <w:szCs w:val="20"/>
                <w:color w:val="auto"/>
              </w:rPr>
            </w:pPr>
            <w:r>
              <w:rPr>
                <w:rFonts w:ascii="Arial" w:cs="Arial" w:eastAsia="Arial" w:hAnsi="Arial"/>
                <w:sz w:val="16"/>
                <w:szCs w:val="16"/>
                <w:color w:val="auto"/>
              </w:rPr>
              <w:t>Revenue:</w:t>
            </w:r>
          </w:p>
        </w:tc>
        <w:tc>
          <w:tcPr>
            <w:tcW w:w="1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r>
      <w:tr>
        <w:trPr>
          <w:trHeight w:val="38"/>
        </w:trPr>
        <w:tc>
          <w:tcPr>
            <w:tcW w:w="100" w:type="dxa"/>
            <w:vAlign w:val="bottom"/>
            <w:shd w:val="clear" w:color="auto" w:fill="000000"/>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r>
      <w:tr>
        <w:trPr>
          <w:trHeight w:val="203"/>
        </w:trPr>
        <w:tc>
          <w:tcPr>
            <w:tcW w:w="100" w:type="dxa"/>
            <w:vAlign w:val="bottom"/>
          </w:tcPr>
          <w:p>
            <w:pPr>
              <w:spacing w:after="0"/>
              <w:rPr>
                <w:sz w:val="17"/>
                <w:szCs w:val="17"/>
                <w:color w:val="auto"/>
              </w:rPr>
            </w:pPr>
          </w:p>
        </w:tc>
        <w:tc>
          <w:tcPr>
            <w:tcW w:w="3060" w:type="dxa"/>
            <w:vAlign w:val="bottom"/>
            <w:gridSpan w:val="4"/>
          </w:tcPr>
          <w:p>
            <w:pPr>
              <w:spacing w:after="0"/>
              <w:rPr>
                <w:sz w:val="20"/>
                <w:szCs w:val="20"/>
                <w:color w:val="auto"/>
              </w:rPr>
            </w:pPr>
            <w:r>
              <w:rPr>
                <w:rFonts w:ascii="Arial" w:cs="Arial" w:eastAsia="Arial" w:hAnsi="Arial"/>
                <w:sz w:val="17"/>
                <w:szCs w:val="17"/>
                <w:color w:val="auto"/>
              </w:rPr>
              <w:t xml:space="preserve">Transaction fees </w:t>
            </w:r>
            <w:r>
              <w:rPr>
                <w:rFonts w:ascii="Arial" w:cs="Arial" w:eastAsia="Arial" w:hAnsi="Arial"/>
                <w:sz w:val="8"/>
                <w:szCs w:val="8"/>
                <w:color w:val="auto"/>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3"/>
          </w:tcPr>
          <w:p>
            <w:pPr>
              <w:ind w:left="1120"/>
              <w:spacing w:after="0"/>
              <w:rPr>
                <w:sz w:val="20"/>
                <w:szCs w:val="20"/>
                <w:color w:val="auto"/>
              </w:rPr>
            </w:pPr>
            <w:r>
              <w:rPr>
                <w:rFonts w:ascii="Arial" w:cs="Arial" w:eastAsia="Arial" w:hAnsi="Arial"/>
                <w:sz w:val="17"/>
                <w:szCs w:val="17"/>
                <w:color w:val="auto"/>
              </w:rPr>
              <w:t>—  $</w:t>
            </w:r>
          </w:p>
        </w:tc>
        <w:tc>
          <w:tcPr>
            <w:tcW w:w="1140" w:type="dxa"/>
            <w:vAlign w:val="bottom"/>
          </w:tcPr>
          <w:p>
            <w:pPr>
              <w:jc w:val="right"/>
              <w:spacing w:after="0"/>
              <w:rPr>
                <w:sz w:val="20"/>
                <w:szCs w:val="20"/>
                <w:color w:val="auto"/>
              </w:rPr>
            </w:pPr>
            <w:r>
              <w:rPr>
                <w:rFonts w:ascii="Arial" w:cs="Arial" w:eastAsia="Arial" w:hAnsi="Arial"/>
                <w:sz w:val="17"/>
                <w:szCs w:val="17"/>
                <w:color w:val="auto"/>
              </w:rPr>
              <w:t>59,643</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53,949</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106,867</w:t>
            </w:r>
          </w:p>
        </w:tc>
      </w:tr>
      <w:tr>
        <w:trPr>
          <w:trHeight w:val="203"/>
        </w:trPr>
        <w:tc>
          <w:tcPr>
            <w:tcW w:w="100" w:type="dxa"/>
            <w:vAlign w:val="bottom"/>
            <w:shd w:val="clear" w:color="auto" w:fill="CCEEFF"/>
          </w:tcPr>
          <w:p>
            <w:pPr>
              <w:spacing w:after="0"/>
              <w:rPr>
                <w:sz w:val="17"/>
                <w:szCs w:val="17"/>
                <w:color w:val="auto"/>
              </w:rPr>
            </w:pPr>
          </w:p>
        </w:tc>
        <w:tc>
          <w:tcPr>
            <w:tcW w:w="30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 xml:space="preserve">Subscription fees </w:t>
            </w:r>
            <w:r>
              <w:rPr>
                <w:rFonts w:ascii="Arial" w:cs="Arial" w:eastAsia="Arial" w:hAnsi="Arial"/>
                <w:sz w:val="8"/>
                <w:szCs w:val="8"/>
                <w:color w:val="auto"/>
              </w:rPr>
              <w:t>(1)</w:t>
            </w:r>
          </w:p>
        </w:tc>
        <w:tc>
          <w:tcPr>
            <w:tcW w:w="12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11,181</w:t>
            </w:r>
          </w:p>
        </w:tc>
      </w:tr>
      <w:tr>
        <w:trPr>
          <w:trHeight w:val="203"/>
        </w:trPr>
        <w:tc>
          <w:tcPr>
            <w:tcW w:w="100" w:type="dxa"/>
            <w:vAlign w:val="bottom"/>
          </w:tcPr>
          <w:p>
            <w:pPr>
              <w:spacing w:after="0"/>
              <w:rPr>
                <w:sz w:val="17"/>
                <w:szCs w:val="17"/>
                <w:color w:val="auto"/>
              </w:rPr>
            </w:pPr>
          </w:p>
        </w:tc>
        <w:tc>
          <w:tcPr>
            <w:tcW w:w="3060" w:type="dxa"/>
            <w:vAlign w:val="bottom"/>
            <w:gridSpan w:val="4"/>
          </w:tcPr>
          <w:p>
            <w:pPr>
              <w:spacing w:after="0"/>
              <w:rPr>
                <w:sz w:val="20"/>
                <w:szCs w:val="20"/>
                <w:color w:val="auto"/>
              </w:rPr>
            </w:pPr>
            <w:r>
              <w:rPr>
                <w:rFonts w:ascii="Arial" w:cs="Arial" w:eastAsia="Arial" w:hAnsi="Arial"/>
                <w:sz w:val="17"/>
                <w:szCs w:val="17"/>
                <w:color w:val="auto"/>
              </w:rPr>
              <w:t xml:space="preserve">Commissions </w:t>
            </w:r>
            <w:r>
              <w:rPr>
                <w:rFonts w:ascii="Arial" w:cs="Arial" w:eastAsia="Arial" w:hAnsi="Arial"/>
                <w:sz w:val="8"/>
                <w:szCs w:val="8"/>
                <w:color w:val="auto"/>
              </w:rPr>
              <w:t>(1)</w:t>
            </w:r>
          </w:p>
        </w:tc>
        <w:tc>
          <w:tcPr>
            <w:tcW w:w="120" w:type="dxa"/>
            <w:vAlign w:val="bottom"/>
          </w:tcPr>
          <w:p>
            <w:pPr>
              <w:spacing w:after="0"/>
              <w:rPr>
                <w:sz w:val="17"/>
                <w:szCs w:val="17"/>
                <w:color w:val="auto"/>
              </w:rPr>
            </w:pPr>
          </w:p>
        </w:tc>
        <w:tc>
          <w:tcPr>
            <w:tcW w:w="160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16,186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11,505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23,136</w:t>
            </w:r>
          </w:p>
        </w:tc>
      </w:tr>
      <w:tr>
        <w:trPr>
          <w:trHeight w:val="203"/>
        </w:trPr>
        <w:tc>
          <w:tcPr>
            <w:tcW w:w="100" w:type="dxa"/>
            <w:vAlign w:val="bottom"/>
            <w:shd w:val="clear" w:color="auto" w:fill="CCEEFF"/>
          </w:tcPr>
          <w:p>
            <w:pPr>
              <w:spacing w:after="0"/>
              <w:rPr>
                <w:sz w:val="17"/>
                <w:szCs w:val="17"/>
                <w:color w:val="auto"/>
              </w:rPr>
            </w:pPr>
          </w:p>
        </w:tc>
        <w:tc>
          <w:tcPr>
            <w:tcW w:w="30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 xml:space="preserve">Refinitiv market data fees </w:t>
            </w:r>
            <w:r>
              <w:rPr>
                <w:rFonts w:ascii="Arial" w:cs="Arial" w:eastAsia="Arial" w:hAnsi="Arial"/>
                <w:sz w:val="8"/>
                <w:szCs w:val="8"/>
                <w:color w:val="auto"/>
              </w:rPr>
              <w:t>(2)</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13,385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12,081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24,318</w:t>
            </w:r>
          </w:p>
        </w:tc>
      </w:tr>
      <w:tr>
        <w:trPr>
          <w:trHeight w:val="174"/>
        </w:trPr>
        <w:tc>
          <w:tcPr>
            <w:tcW w:w="3160" w:type="dxa"/>
            <w:vAlign w:val="bottom"/>
            <w:gridSpan w:val="5"/>
          </w:tcPr>
          <w:p>
            <w:pPr>
              <w:spacing w:after="0" w:line="165" w:lineRule="exact"/>
              <w:rPr>
                <w:sz w:val="20"/>
                <w:szCs w:val="20"/>
                <w:color w:val="auto"/>
              </w:rPr>
            </w:pPr>
            <w:r>
              <w:rPr>
                <w:rFonts w:ascii="Arial" w:cs="Arial" w:eastAsia="Arial" w:hAnsi="Arial"/>
                <w:sz w:val="17"/>
                <w:szCs w:val="17"/>
                <w:color w:val="auto"/>
              </w:rPr>
              <w:t>Operating Income:</w:t>
            </w:r>
            <w:r>
              <w:rPr>
                <w:rFonts w:ascii="Arial" w:cs="Arial" w:eastAsia="Arial" w:hAnsi="Arial"/>
                <w:sz w:val="8"/>
                <w:szCs w:val="8"/>
                <w:color w:val="auto"/>
              </w:rPr>
              <w:t>(3)</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2"/>
        </w:trPr>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w w:val="99"/>
              </w:rPr>
              <w:t>Interest income</w:t>
            </w:r>
          </w:p>
        </w:tc>
        <w:tc>
          <w:tcPr>
            <w:tcW w:w="18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03"/>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65"/>
        </w:trPr>
        <w:tc>
          <w:tcPr>
            <w:tcW w:w="3160" w:type="dxa"/>
            <w:vAlign w:val="bottom"/>
            <w:gridSpan w:val="5"/>
            <w:shd w:val="clear" w:color="auto" w:fill="CCEEFF"/>
          </w:tcPr>
          <w:p>
            <w:pPr>
              <w:spacing w:after="0" w:line="165" w:lineRule="exact"/>
              <w:rPr>
                <w:sz w:val="20"/>
                <w:szCs w:val="20"/>
                <w:color w:val="auto"/>
              </w:rPr>
            </w:pPr>
            <w:r>
              <w:rPr>
                <w:rFonts w:ascii="Arial" w:cs="Arial" w:eastAsia="Arial" w:hAnsi="Arial"/>
                <w:sz w:val="17"/>
                <w:szCs w:val="17"/>
                <w:color w:val="auto"/>
              </w:rPr>
              <w:t>Expenses</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38"/>
        </w:trPr>
        <w:tc>
          <w:tcPr>
            <w:tcW w:w="100" w:type="dxa"/>
            <w:vAlign w:val="bottom"/>
            <w:shd w:val="clear" w:color="auto" w:fill="000000"/>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r>
      <w:tr>
        <w:trPr>
          <w:trHeight w:val="165"/>
        </w:trPr>
        <w:tc>
          <w:tcPr>
            <w:tcW w:w="100" w:type="dxa"/>
            <w:vAlign w:val="bottom"/>
          </w:tcPr>
          <w:p>
            <w:pPr>
              <w:spacing w:after="0"/>
              <w:rPr>
                <w:sz w:val="14"/>
                <w:szCs w:val="14"/>
                <w:color w:val="auto"/>
              </w:rPr>
            </w:pPr>
          </w:p>
        </w:tc>
        <w:tc>
          <w:tcPr>
            <w:tcW w:w="3060" w:type="dxa"/>
            <w:vAlign w:val="bottom"/>
            <w:gridSpan w:val="4"/>
          </w:tcPr>
          <w:p>
            <w:pPr>
              <w:spacing w:after="0" w:line="165" w:lineRule="exact"/>
              <w:rPr>
                <w:sz w:val="20"/>
                <w:szCs w:val="20"/>
                <w:color w:val="auto"/>
              </w:rPr>
            </w:pPr>
            <w:r>
              <w:rPr>
                <w:rFonts w:ascii="Arial" w:cs="Arial" w:eastAsia="Arial" w:hAnsi="Arial"/>
                <w:sz w:val="17"/>
                <w:szCs w:val="17"/>
                <w:color w:val="auto"/>
              </w:rPr>
              <w:t xml:space="preserve">Shared Services Fees </w:t>
            </w:r>
            <w:r>
              <w:rPr>
                <w:rFonts w:ascii="Arial" w:cs="Arial" w:eastAsia="Arial" w:hAnsi="Arial"/>
                <w:sz w:val="8"/>
                <w:szCs w:val="8"/>
                <w:color w:val="auto"/>
              </w:rPr>
              <w:t>(4)</w:t>
            </w:r>
            <w:r>
              <w:rPr>
                <w:rFonts w:ascii="Arial" w:cs="Arial" w:eastAsia="Arial" w:hAnsi="Arial"/>
                <w:sz w:val="17"/>
                <w:szCs w:val="17"/>
                <w:color w:val="auto"/>
              </w:rPr>
              <w:t xml:space="preserve"> :</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9"/>
        </w:trPr>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2"/>
        </w:trPr>
        <w:tc>
          <w:tcPr>
            <w:tcW w:w="100" w:type="dxa"/>
            <w:vAlign w:val="bottom"/>
            <w:shd w:val="clear" w:color="auto" w:fill="CCEEFF"/>
          </w:tcPr>
          <w:p>
            <w:pPr>
              <w:spacing w:after="0"/>
              <w:rPr>
                <w:sz w:val="18"/>
                <w:szCs w:val="18"/>
                <w:color w:val="auto"/>
              </w:rPr>
            </w:pPr>
          </w:p>
        </w:tc>
        <w:tc>
          <w:tcPr>
            <w:tcW w:w="3060" w:type="dxa"/>
            <w:vAlign w:val="bottom"/>
            <w:gridSpan w:val="4"/>
            <w:shd w:val="clear" w:color="auto" w:fill="CCEEFF"/>
          </w:tcPr>
          <w:p>
            <w:pPr>
              <w:ind w:left="100"/>
              <w:spacing w:after="0"/>
              <w:rPr>
                <w:sz w:val="20"/>
                <w:szCs w:val="20"/>
                <w:color w:val="auto"/>
              </w:rPr>
            </w:pPr>
            <w:r>
              <w:rPr>
                <w:rFonts w:ascii="Arial" w:cs="Arial" w:eastAsia="Arial" w:hAnsi="Arial"/>
                <w:sz w:val="17"/>
                <w:szCs w:val="17"/>
                <w:color w:val="auto"/>
              </w:rPr>
              <w:t>Technology and communications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1,480</w:t>
            </w:r>
          </w:p>
        </w:tc>
      </w:tr>
      <w:tr>
        <w:trPr>
          <w:trHeight w:val="203"/>
        </w:trPr>
        <w:tc>
          <w:tcPr>
            <w:tcW w:w="100" w:type="dxa"/>
            <w:vAlign w:val="bottom"/>
          </w:tcPr>
          <w:p>
            <w:pPr>
              <w:spacing w:after="0"/>
              <w:rPr>
                <w:sz w:val="17"/>
                <w:szCs w:val="17"/>
                <w:color w:val="auto"/>
              </w:rPr>
            </w:pPr>
          </w:p>
        </w:tc>
        <w:tc>
          <w:tcPr>
            <w:tcW w:w="3060" w:type="dxa"/>
            <w:vAlign w:val="bottom"/>
            <w:gridSpan w:val="4"/>
          </w:tcPr>
          <w:p>
            <w:pPr>
              <w:ind w:left="100"/>
              <w:spacing w:after="0"/>
              <w:rPr>
                <w:sz w:val="20"/>
                <w:szCs w:val="20"/>
                <w:color w:val="auto"/>
              </w:rPr>
            </w:pPr>
            <w:r>
              <w:rPr>
                <w:rFonts w:ascii="Arial" w:cs="Arial" w:eastAsia="Arial" w:hAnsi="Arial"/>
                <w:sz w:val="17"/>
                <w:szCs w:val="17"/>
                <w:color w:val="auto"/>
              </w:rPr>
              <w:t>General and administrative</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191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360</w:t>
            </w:r>
          </w:p>
        </w:tc>
      </w:tr>
      <w:tr>
        <w:trPr>
          <w:trHeight w:val="203"/>
        </w:trPr>
        <w:tc>
          <w:tcPr>
            <w:tcW w:w="100" w:type="dxa"/>
            <w:vAlign w:val="bottom"/>
            <w:shd w:val="clear" w:color="auto" w:fill="CCEEFF"/>
          </w:tcPr>
          <w:p>
            <w:pPr>
              <w:spacing w:after="0"/>
              <w:rPr>
                <w:sz w:val="17"/>
                <w:szCs w:val="17"/>
                <w:color w:val="auto"/>
              </w:rPr>
            </w:pPr>
          </w:p>
        </w:tc>
        <w:tc>
          <w:tcPr>
            <w:tcW w:w="3060" w:type="dxa"/>
            <w:vAlign w:val="bottom"/>
            <w:gridSpan w:val="4"/>
            <w:shd w:val="clear" w:color="auto" w:fill="CCEEFF"/>
          </w:tcPr>
          <w:p>
            <w:pPr>
              <w:ind w:left="100"/>
              <w:spacing w:after="0"/>
              <w:rPr>
                <w:sz w:val="20"/>
                <w:szCs w:val="20"/>
                <w:color w:val="auto"/>
              </w:rPr>
            </w:pPr>
            <w:r>
              <w:rPr>
                <w:rFonts w:ascii="Arial" w:cs="Arial" w:eastAsia="Arial" w:hAnsi="Arial"/>
                <w:sz w:val="17"/>
                <w:szCs w:val="17"/>
                <w:color w:val="auto"/>
              </w:rPr>
              <w:t>Occupancy</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r>
    </w:tbl>
    <w:p>
      <w:pPr>
        <w:spacing w:after="0" w:line="185" w:lineRule="exact"/>
        <w:rPr>
          <w:sz w:val="20"/>
          <w:szCs w:val="20"/>
          <w:color w:val="auto"/>
        </w:rPr>
      </w:pPr>
    </w:p>
    <w:p>
      <w:pPr>
        <w:ind w:left="600" w:hanging="297"/>
        <w:spacing w:after="0"/>
        <w:tabs>
          <w:tab w:leader="none" w:pos="6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For pre-IPO periods, represents fees and commissions from affiliates of the Bank Stockholders.</w:t>
      </w:r>
    </w:p>
    <w:p>
      <w:pPr>
        <w:spacing w:after="0" w:line="182" w:lineRule="exact"/>
        <w:rPr>
          <w:rFonts w:ascii="Arial" w:cs="Arial" w:eastAsia="Arial" w:hAnsi="Arial"/>
          <w:sz w:val="14"/>
          <w:szCs w:val="14"/>
          <w:color w:val="auto"/>
        </w:rPr>
      </w:pPr>
    </w:p>
    <w:p>
      <w:pPr>
        <w:ind w:left="600" w:right="280" w:hanging="297"/>
        <w:spacing w:after="0" w:line="303" w:lineRule="auto"/>
        <w:tabs>
          <w:tab w:leader="none" w:pos="6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Company maintains a market data license agreement with Refinitiv (TR in the predecessor period). Under the agreement, the Company delivers to Refinitiv certain market data feeds which Refinitiv redistributes to its customers. The Company earns license fees or royalties for these feeds.</w:t>
      </w:r>
    </w:p>
    <w:p>
      <w:pPr>
        <w:spacing w:after="0" w:line="134" w:lineRule="exact"/>
        <w:rPr>
          <w:rFonts w:ascii="Arial" w:cs="Arial" w:eastAsia="Arial" w:hAnsi="Arial"/>
          <w:sz w:val="12"/>
          <w:szCs w:val="12"/>
          <w:color w:val="auto"/>
        </w:rPr>
      </w:pPr>
    </w:p>
    <w:p>
      <w:pPr>
        <w:ind w:left="600" w:right="500" w:hanging="297"/>
        <w:spacing w:after="0" w:line="232" w:lineRule="auto"/>
        <w:tabs>
          <w:tab w:leader="none" w:pos="6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For pre-IPO periods, represents interest income from money market funds invested with and savings accounts deposited with affiliates of the Bank Stockholders.</w:t>
      </w:r>
    </w:p>
    <w:p>
      <w:pPr>
        <w:spacing w:after="0" w:line="171" w:lineRule="exact"/>
        <w:rPr>
          <w:rFonts w:ascii="Arial" w:cs="Arial" w:eastAsia="Arial" w:hAnsi="Arial"/>
          <w:sz w:val="14"/>
          <w:szCs w:val="14"/>
          <w:color w:val="auto"/>
        </w:rPr>
      </w:pPr>
    </w:p>
    <w:p>
      <w:pPr>
        <w:ind w:left="600" w:right="160" w:hanging="297"/>
        <w:spacing w:after="0" w:line="303" w:lineRule="auto"/>
        <w:tabs>
          <w:tab w:leader="none" w:pos="6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Company maintains a shared services agreement with Refinitiv (TR in the predecessor period). Under the terms of the agreement, Refinitiv provides the Company with certain real estate, payroll, benefits administration, insurance, content, financial reporting and tax support.</w:t>
      </w:r>
    </w:p>
    <w:p>
      <w:pPr>
        <w:spacing w:after="0" w:line="140" w:lineRule="exact"/>
        <w:rPr>
          <w:sz w:val="20"/>
          <w:szCs w:val="20"/>
          <w:color w:val="auto"/>
        </w:rPr>
      </w:pPr>
    </w:p>
    <w:p>
      <w:pPr>
        <w:ind w:right="260"/>
        <w:spacing w:after="0" w:line="297" w:lineRule="auto"/>
        <w:rPr>
          <w:sz w:val="20"/>
          <w:szCs w:val="20"/>
          <w:color w:val="auto"/>
        </w:rPr>
      </w:pPr>
      <w:r>
        <w:rPr>
          <w:rFonts w:ascii="Arial" w:cs="Arial" w:eastAsia="Arial" w:hAnsi="Arial"/>
          <w:sz w:val="15"/>
          <w:szCs w:val="15"/>
          <w:color w:val="auto"/>
        </w:rPr>
        <w:t>The Company reimburses affiliates of Refinitiv (TR in the predecessor period) for expenses paid on behalf of the Company for various services including salaries and bonuses, marketing, professional fees, communications, data costs and certain other administrative services. For the three and six months ended June 30, 2019, the Company reimbursed such affiliates approximately $3,211,000 and $4,238,000, respectively, for these expenses. For the three and six months ended June 30, 2018, the Company reimbursed such affiliates approximately $6,258,000 and $28,408,000, respectively, for these expenses.</w:t>
      </w:r>
    </w:p>
    <w:p>
      <w:pPr>
        <w:spacing w:after="0" w:line="153" w:lineRule="exact"/>
        <w:rPr>
          <w:sz w:val="20"/>
          <w:szCs w:val="20"/>
          <w:color w:val="auto"/>
        </w:rPr>
      </w:pPr>
    </w:p>
    <w:p>
      <w:pPr>
        <w:ind w:right="280"/>
        <w:spacing w:after="0" w:line="261" w:lineRule="auto"/>
        <w:rPr>
          <w:sz w:val="20"/>
          <w:szCs w:val="20"/>
          <w:color w:val="auto"/>
        </w:rPr>
      </w:pPr>
      <w:r>
        <w:rPr>
          <w:rFonts w:ascii="Arial" w:cs="Arial" w:eastAsia="Arial" w:hAnsi="Arial"/>
          <w:sz w:val="17"/>
          <w:szCs w:val="17"/>
          <w:color w:val="auto"/>
        </w:rPr>
        <w:t>The Company is indemnified by Refinitiv for any tax liabilities that existed in the entity contributed by Refinitiv as a result of the Refinitiv Contribution. At June 30, 2019, $2,722,000 is included in other assets on the June 30, 2019 consolidated statement of financial condition related to this indemnification.</w:t>
      </w:r>
    </w:p>
    <w:p>
      <w:pPr>
        <w:spacing w:after="0" w:line="176"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During 2014, the Company issued Class A Shares and unvested Class P-1(A) Shares to some of the Bank Stockholders as a result of a $120,000,000 capital contribution. In connection with this investment, employees invested $5,266,000 in the Company and were issued Class C Shares and unvested Class P-1(C) Shares. Certain Class P-1(A) Shares and Class P-1(C) Shares vested on July 31, 2018, based on a formula determined by the Company’s new credit platforms’ revenues and any remaining unvested Class P-1(A) Shares and Class P-1(C) Shares were cancelled and as a result no contingent consideration has been recognized related to these shares subsequent to that date. The Company recognized contingent consideration for the three months and six months ended June 30, 2018 of $19,297,000 and $29,367,000, respectively, relating to these shares, which is included in net revenue on the consolidated statements of income.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1" w:name="page32"/>
    <w:bookmarkEnd w:id="31"/>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2" w:lineRule="exact"/>
        <w:rPr>
          <w:sz w:val="20"/>
          <w:szCs w:val="20"/>
          <w:color w:val="auto"/>
        </w:rPr>
      </w:pPr>
    </w:p>
    <w:p>
      <w:pPr>
        <w:ind w:left="642" w:hanging="642"/>
        <w:spacing w:after="0"/>
        <w:tabs>
          <w:tab w:leader="none" w:pos="642"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w:t>
      </w:r>
    </w:p>
    <w:p>
      <w:pPr>
        <w:spacing w:after="0" w:line="215" w:lineRule="exact"/>
        <w:rPr>
          <w:sz w:val="20"/>
          <w:szCs w:val="20"/>
          <w:color w:val="auto"/>
        </w:rPr>
      </w:pPr>
    </w:p>
    <w:p>
      <w:pPr>
        <w:ind w:left="2" w:right="380"/>
        <w:spacing w:after="0" w:line="341" w:lineRule="auto"/>
        <w:rPr>
          <w:sz w:val="20"/>
          <w:szCs w:val="20"/>
          <w:color w:val="auto"/>
        </w:rPr>
      </w:pPr>
      <w:r>
        <w:rPr>
          <w:rFonts w:ascii="Arial" w:cs="Arial" w:eastAsia="Arial" w:hAnsi="Arial"/>
          <w:sz w:val="15"/>
          <w:szCs w:val="15"/>
          <w:color w:val="auto"/>
        </w:rPr>
        <w:t>Certain financial instruments that are not carried at fair value on the consolidated statements of financial condition are carried at amounts that approximate fair value. These instruments include deposits with clearing organizations and accounts receivable.</w:t>
      </w:r>
    </w:p>
    <w:p>
      <w:pPr>
        <w:spacing w:after="0" w:line="120" w:lineRule="exact"/>
        <w:rPr>
          <w:sz w:val="20"/>
          <w:szCs w:val="20"/>
          <w:color w:val="auto"/>
        </w:rPr>
      </w:pPr>
    </w:p>
    <w:p>
      <w:pPr>
        <w:ind w:left="2" w:right="300"/>
        <w:spacing w:after="0" w:line="273" w:lineRule="auto"/>
        <w:rPr>
          <w:sz w:val="20"/>
          <w:szCs w:val="20"/>
          <w:color w:val="auto"/>
        </w:rPr>
      </w:pPr>
      <w:r>
        <w:rPr>
          <w:rFonts w:ascii="Arial" w:cs="Arial" w:eastAsia="Arial" w:hAnsi="Arial"/>
          <w:sz w:val="17"/>
          <w:szCs w:val="17"/>
          <w:color w:val="auto"/>
        </w:rPr>
        <w:t>The Company's money market funds are classified within level 1 of the fair value hierarchy because they are valued using quoted market prices in active markets.</w:t>
      </w:r>
    </w:p>
    <w:p>
      <w:pPr>
        <w:spacing w:after="0" w:line="165" w:lineRule="exact"/>
        <w:rPr>
          <w:sz w:val="20"/>
          <w:szCs w:val="20"/>
          <w:color w:val="auto"/>
        </w:rPr>
      </w:pPr>
    </w:p>
    <w:p>
      <w:pPr>
        <w:ind w:left="2"/>
        <w:spacing w:after="0"/>
        <w:rPr>
          <w:sz w:val="20"/>
          <w:szCs w:val="20"/>
          <w:color w:val="auto"/>
        </w:rPr>
      </w:pPr>
      <w:r>
        <w:rPr>
          <w:rFonts w:ascii="Arial" w:cs="Arial" w:eastAsia="Arial" w:hAnsi="Arial"/>
          <w:sz w:val="17"/>
          <w:szCs w:val="17"/>
          <w:color w:val="auto"/>
        </w:rPr>
        <w:t>The Company has no instruments that are classified within level 2 or level 3 of the fair value hierarchy.</w:t>
      </w:r>
    </w:p>
    <w:p>
      <w:pPr>
        <w:spacing w:after="0" w:line="211" w:lineRule="exact"/>
        <w:rPr>
          <w:sz w:val="20"/>
          <w:szCs w:val="20"/>
          <w:color w:val="auto"/>
        </w:rPr>
      </w:pPr>
    </w:p>
    <w:p>
      <w:pPr>
        <w:ind w:left="602"/>
        <w:spacing w:after="0"/>
        <w:rPr>
          <w:sz w:val="20"/>
          <w:szCs w:val="20"/>
          <w:color w:val="auto"/>
        </w:rPr>
      </w:pPr>
      <w:r>
        <w:rPr>
          <w:rFonts w:ascii="Arial" w:cs="Arial" w:eastAsia="Arial" w:hAnsi="Arial"/>
          <w:sz w:val="17"/>
          <w:szCs w:val="17"/>
          <w:color w:val="auto"/>
        </w:rPr>
        <w:t>The fair value measurements are as follows (in thousands):</w:t>
      </w:r>
    </w:p>
    <w:p>
      <w:pPr>
        <w:spacing w:after="0" w:line="195"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65"/>
              <w:spacing w:after="0"/>
              <w:rPr>
                <w:sz w:val="20"/>
                <w:szCs w:val="20"/>
                <w:color w:val="auto"/>
              </w:rPr>
            </w:pPr>
            <w:r>
              <w:rPr>
                <w:rFonts w:ascii="Arial" w:cs="Arial" w:eastAsia="Arial" w:hAnsi="Arial"/>
                <w:sz w:val="14"/>
                <w:szCs w:val="14"/>
                <w:b w:val="1"/>
                <w:bCs w:val="1"/>
                <w:color w:val="auto"/>
                <w:w w:val="86"/>
              </w:rPr>
              <w:t>Quoted Prices in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0"/>
        </w:trPr>
        <w:tc>
          <w:tcPr>
            <w:tcW w:w="3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45"/>
              <w:spacing w:after="0" w:line="140" w:lineRule="exact"/>
              <w:rPr>
                <w:sz w:val="20"/>
                <w:szCs w:val="20"/>
                <w:color w:val="auto"/>
              </w:rPr>
            </w:pPr>
            <w:r>
              <w:rPr>
                <w:rFonts w:ascii="Arial" w:cs="Arial" w:eastAsia="Arial" w:hAnsi="Arial"/>
                <w:sz w:val="14"/>
                <w:szCs w:val="14"/>
                <w:b w:val="1"/>
                <w:bCs w:val="1"/>
                <w:color w:val="auto"/>
                <w:w w:val="89"/>
              </w:rPr>
              <w:t>active Markets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420"/>
              <w:spacing w:after="0" w:line="140"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360" w:type="dxa"/>
            <w:vAlign w:val="bottom"/>
            <w:gridSpan w:val="2"/>
          </w:tcPr>
          <w:p>
            <w:pPr>
              <w:jc w:val="center"/>
              <w:ind w:right="380"/>
              <w:spacing w:after="0" w:line="140" w:lineRule="exact"/>
              <w:rPr>
                <w:sz w:val="20"/>
                <w:szCs w:val="20"/>
                <w:color w:val="auto"/>
              </w:rPr>
            </w:pPr>
            <w:r>
              <w:rPr>
                <w:rFonts w:ascii="Arial" w:cs="Arial" w:eastAsia="Arial" w:hAnsi="Arial"/>
                <w:sz w:val="14"/>
                <w:szCs w:val="14"/>
                <w:b w:val="1"/>
                <w:bCs w:val="1"/>
                <w:color w:val="auto"/>
                <w:w w:val="86"/>
              </w:rPr>
              <w:t>Significant</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0"/>
        </w:trPr>
        <w:tc>
          <w:tcPr>
            <w:tcW w:w="3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65"/>
              <w:spacing w:after="0" w:line="140" w:lineRule="exact"/>
              <w:rPr>
                <w:sz w:val="20"/>
                <w:szCs w:val="20"/>
                <w:color w:val="auto"/>
              </w:rPr>
            </w:pPr>
            <w:r>
              <w:rPr>
                <w:rFonts w:ascii="Arial" w:cs="Arial" w:eastAsia="Arial" w:hAnsi="Arial"/>
                <w:sz w:val="14"/>
                <w:szCs w:val="14"/>
                <w:b w:val="1"/>
                <w:bCs w:val="1"/>
                <w:color w:val="auto"/>
                <w:w w:val="90"/>
              </w:rPr>
              <w:t>for Identical</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420"/>
              <w:spacing w:after="0" w:line="140"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1360" w:type="dxa"/>
            <w:vAlign w:val="bottom"/>
            <w:gridSpan w:val="2"/>
          </w:tcPr>
          <w:p>
            <w:pPr>
              <w:jc w:val="center"/>
              <w:ind w:right="360"/>
              <w:spacing w:after="0" w:line="140" w:lineRule="exact"/>
              <w:rPr>
                <w:sz w:val="20"/>
                <w:szCs w:val="20"/>
                <w:color w:val="auto"/>
              </w:rPr>
            </w:pPr>
            <w:r>
              <w:rPr>
                <w:rFonts w:ascii="Arial" w:cs="Arial" w:eastAsia="Arial" w:hAnsi="Arial"/>
                <w:sz w:val="14"/>
                <w:szCs w:val="14"/>
                <w:b w:val="1"/>
                <w:bCs w:val="1"/>
                <w:color w:val="auto"/>
                <w:w w:val="86"/>
              </w:rPr>
              <w:t>Unobservable</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0"/>
        </w:trPr>
        <w:tc>
          <w:tcPr>
            <w:tcW w:w="3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65"/>
              <w:spacing w:after="0" w:line="140" w:lineRule="exact"/>
              <w:rPr>
                <w:sz w:val="20"/>
                <w:szCs w:val="20"/>
                <w:color w:val="auto"/>
              </w:rPr>
            </w:pPr>
            <w:r>
              <w:rPr>
                <w:rFonts w:ascii="Arial" w:cs="Arial" w:eastAsia="Arial" w:hAnsi="Arial"/>
                <w:sz w:val="14"/>
                <w:szCs w:val="14"/>
                <w:b w:val="1"/>
                <w:bCs w:val="1"/>
                <w:color w:val="auto"/>
                <w:w w:val="78"/>
              </w:rPr>
              <w:t>Assets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420"/>
              <w:spacing w:after="0" w:line="140"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360" w:type="dxa"/>
            <w:vAlign w:val="bottom"/>
            <w:gridSpan w:val="2"/>
          </w:tcPr>
          <w:p>
            <w:pPr>
              <w:jc w:val="center"/>
              <w:ind w:right="380"/>
              <w:spacing w:after="0" w:line="140" w:lineRule="exact"/>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60"/>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13"/>
                <w:szCs w:val="13"/>
                <w:color w:val="auto"/>
              </w:rPr>
            </w:pPr>
          </w:p>
        </w:tc>
        <w:tc>
          <w:tcPr>
            <w:tcW w:w="1180" w:type="dxa"/>
            <w:vAlign w:val="bottom"/>
          </w:tcPr>
          <w:p>
            <w:pPr>
              <w:jc w:val="center"/>
              <w:ind w:right="45"/>
              <w:spacing w:after="0"/>
              <w:rPr>
                <w:sz w:val="20"/>
                <w:szCs w:val="20"/>
                <w:color w:val="auto"/>
              </w:rPr>
            </w:pPr>
            <w:r>
              <w:rPr>
                <w:rFonts w:ascii="Arial" w:cs="Arial" w:eastAsia="Arial" w:hAnsi="Arial"/>
                <w:sz w:val="14"/>
                <w:szCs w:val="14"/>
                <w:b w:val="1"/>
                <w:bCs w:val="1"/>
                <w:color w:val="auto"/>
                <w:w w:val="87"/>
              </w:rPr>
              <w:t>(Level 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(Level 3)</w:t>
            </w:r>
          </w:p>
        </w:tc>
        <w:tc>
          <w:tcPr>
            <w:tcW w:w="180" w:type="dxa"/>
            <w:vAlign w:val="bottom"/>
          </w:tcPr>
          <w:p>
            <w:pPr>
              <w:spacing w:after="0"/>
              <w:rPr>
                <w:sz w:val="13"/>
                <w:szCs w:val="13"/>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Total</w:t>
            </w:r>
          </w:p>
        </w:tc>
      </w:tr>
      <w:tr>
        <w:trPr>
          <w:trHeight w:val="196"/>
        </w:trPr>
        <w:tc>
          <w:tcPr>
            <w:tcW w:w="3440" w:type="dxa"/>
            <w:vAlign w:val="bottom"/>
            <w:tcBorders>
              <w:top w:val="single" w:sz="8" w:color="auto"/>
            </w:tcBorders>
          </w:tcPr>
          <w:p>
            <w:pPr>
              <w:ind w:left="1040"/>
              <w:spacing w:after="0"/>
              <w:rPr>
                <w:sz w:val="20"/>
                <w:szCs w:val="20"/>
                <w:color w:val="auto"/>
              </w:rPr>
            </w:pPr>
            <w:r>
              <w:rPr>
                <w:rFonts w:ascii="Arial" w:cs="Arial" w:eastAsia="Arial" w:hAnsi="Arial"/>
                <w:sz w:val="17"/>
                <w:szCs w:val="17"/>
                <w:color w:val="auto"/>
              </w:rPr>
              <w:t>As of June 30, 2019</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r>
      <w:tr>
        <w:trPr>
          <w:trHeight w:val="203"/>
        </w:trPr>
        <w:tc>
          <w:tcPr>
            <w:tcW w:w="366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Assets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3660" w:type="dxa"/>
            <w:vAlign w:val="bottom"/>
            <w:gridSpan w:val="2"/>
          </w:tcPr>
          <w:p>
            <w:pPr>
              <w:spacing w:after="0"/>
              <w:rPr>
                <w:sz w:val="20"/>
                <w:szCs w:val="20"/>
                <w:color w:val="auto"/>
              </w:rPr>
            </w:pPr>
            <w:r>
              <w:rPr>
                <w:rFonts w:ascii="Arial" w:cs="Arial" w:eastAsia="Arial" w:hAnsi="Arial"/>
                <w:sz w:val="17"/>
                <w:szCs w:val="17"/>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113,180</w:t>
            </w:r>
          </w:p>
        </w:tc>
        <w:tc>
          <w:tcPr>
            <w:tcW w:w="40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132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80"/>
              <w:spacing w:after="0"/>
              <w:rPr>
                <w:sz w:val="20"/>
                <w:szCs w:val="20"/>
                <w:color w:val="auto"/>
              </w:rPr>
            </w:pPr>
            <w:r>
              <w:rPr>
                <w:rFonts w:ascii="Arial" w:cs="Arial" w:eastAsia="Arial" w:hAnsi="Arial"/>
                <w:sz w:val="17"/>
                <w:szCs w:val="17"/>
                <w:color w:val="auto"/>
                <w:w w:val="94"/>
              </w:rPr>
              <w:t>113,180</w:t>
            </w:r>
          </w:p>
        </w:tc>
      </w:tr>
      <w:tr>
        <w:trPr>
          <w:trHeight w:val="216"/>
        </w:trPr>
        <w:tc>
          <w:tcPr>
            <w:tcW w:w="34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113,180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94"/>
              </w:rPr>
              <w:t>113,180</w:t>
            </w:r>
          </w:p>
        </w:tc>
      </w:tr>
      <w:tr>
        <w:trPr>
          <w:trHeight w:val="188"/>
        </w:trPr>
        <w:tc>
          <w:tcPr>
            <w:tcW w:w="3660" w:type="dxa"/>
            <w:vAlign w:val="bottom"/>
            <w:gridSpan w:val="2"/>
          </w:tcPr>
          <w:p>
            <w:pPr>
              <w:ind w:left="860"/>
              <w:spacing w:after="0" w:line="189" w:lineRule="exact"/>
              <w:rPr>
                <w:sz w:val="20"/>
                <w:szCs w:val="20"/>
                <w:color w:val="auto"/>
              </w:rPr>
            </w:pPr>
            <w:r>
              <w:rPr>
                <w:rFonts w:ascii="Arial" w:cs="Arial" w:eastAsia="Arial" w:hAnsi="Arial"/>
                <w:sz w:val="17"/>
                <w:szCs w:val="17"/>
                <w:color w:val="auto"/>
              </w:rPr>
              <w:t>As of December 31, 2018</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4"/>
        </w:trPr>
        <w:tc>
          <w:tcPr>
            <w:tcW w:w="366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Assets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3660" w:type="dxa"/>
            <w:vAlign w:val="bottom"/>
            <w:gridSpan w:val="2"/>
          </w:tcPr>
          <w:p>
            <w:pPr>
              <w:spacing w:after="0"/>
              <w:rPr>
                <w:sz w:val="20"/>
                <w:szCs w:val="20"/>
                <w:color w:val="auto"/>
              </w:rPr>
            </w:pPr>
            <w:r>
              <w:rPr>
                <w:rFonts w:ascii="Arial" w:cs="Arial" w:eastAsia="Arial" w:hAnsi="Arial"/>
                <w:sz w:val="17"/>
                <w:szCs w:val="17"/>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127,927</w:t>
            </w:r>
          </w:p>
        </w:tc>
        <w:tc>
          <w:tcPr>
            <w:tcW w:w="40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132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80"/>
              <w:spacing w:after="0"/>
              <w:rPr>
                <w:sz w:val="20"/>
                <w:szCs w:val="20"/>
                <w:color w:val="auto"/>
              </w:rPr>
            </w:pPr>
            <w:r>
              <w:rPr>
                <w:rFonts w:ascii="Arial" w:cs="Arial" w:eastAsia="Arial" w:hAnsi="Arial"/>
                <w:sz w:val="17"/>
                <w:szCs w:val="17"/>
                <w:color w:val="auto"/>
                <w:w w:val="94"/>
              </w:rPr>
              <w:t>127,927</w:t>
            </w:r>
          </w:p>
        </w:tc>
      </w:tr>
      <w:tr>
        <w:trPr>
          <w:trHeight w:val="201"/>
        </w:trPr>
        <w:tc>
          <w:tcPr>
            <w:tcW w:w="34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127,927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94"/>
              </w:rPr>
              <w:t>127,927</w:t>
            </w:r>
          </w:p>
        </w:tc>
      </w:tr>
    </w:tbl>
    <w:p>
      <w:pPr>
        <w:spacing w:after="0" w:line="200" w:lineRule="exact"/>
        <w:rPr>
          <w:sz w:val="20"/>
          <w:szCs w:val="20"/>
          <w:color w:val="auto"/>
        </w:rPr>
      </w:pPr>
    </w:p>
    <w:p>
      <w:pPr>
        <w:ind w:left="642" w:hanging="642"/>
        <w:spacing w:after="0"/>
        <w:tabs>
          <w:tab w:leader="none" w:pos="642"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Credit Risk</w:t>
      </w:r>
    </w:p>
    <w:p>
      <w:pPr>
        <w:spacing w:after="0" w:line="215" w:lineRule="exact"/>
        <w:rPr>
          <w:sz w:val="20"/>
          <w:szCs w:val="20"/>
          <w:color w:val="auto"/>
        </w:rPr>
      </w:pPr>
    </w:p>
    <w:p>
      <w:pPr>
        <w:ind w:left="2" w:right="20"/>
        <w:spacing w:after="0" w:line="285" w:lineRule="auto"/>
        <w:rPr>
          <w:sz w:val="20"/>
          <w:szCs w:val="20"/>
          <w:color w:val="auto"/>
        </w:rPr>
      </w:pPr>
      <w:r>
        <w:rPr>
          <w:rFonts w:ascii="Arial" w:cs="Arial" w:eastAsia="Arial" w:hAnsi="Arial"/>
          <w:sz w:val="16"/>
          <w:szCs w:val="16"/>
          <w:color w:val="auto"/>
        </w:rPr>
        <w:t>The Company may be exposed to credit risk regarding its receivables, which are primarily receivables from financial institutions, including investment managers and broker/dealers. At June 30, 2019 and December 31, 2018, the Company established an allowance for doubtful accounts of $1,273,000 and $1,169,000, respectively, with regard to these receivables.</w:t>
      </w:r>
    </w:p>
    <w:p>
      <w:pPr>
        <w:spacing w:after="0" w:line="158" w:lineRule="exact"/>
        <w:rPr>
          <w:sz w:val="20"/>
          <w:szCs w:val="20"/>
          <w:color w:val="auto"/>
        </w:rPr>
      </w:pPr>
    </w:p>
    <w:p>
      <w:pPr>
        <w:ind w:left="2"/>
        <w:spacing w:after="0" w:line="257" w:lineRule="auto"/>
        <w:rPr>
          <w:sz w:val="20"/>
          <w:szCs w:val="20"/>
          <w:color w:val="auto"/>
        </w:rPr>
      </w:pPr>
      <w:r>
        <w:rPr>
          <w:rFonts w:ascii="Arial" w:cs="Arial" w:eastAsia="Arial" w:hAnsi="Arial"/>
          <w:sz w:val="17"/>
          <w:szCs w:val="17"/>
          <w:color w:val="auto"/>
        </w:rPr>
        <w:t>In the normal course of business the Company, as agent, executes transactions with, and on behalf of, other brokers and dealers. If the agency transactions do not settle because of failure to perform by either counterparty, the Company may be obligated to discharge the obligation of the non-performing party and, as a result, may incur a loss if the market value of the security is different from the contract amount of the transaction.</w:t>
      </w:r>
    </w:p>
    <w:p>
      <w:pPr>
        <w:spacing w:after="0" w:line="179" w:lineRule="exact"/>
        <w:rPr>
          <w:sz w:val="20"/>
          <w:szCs w:val="20"/>
          <w:color w:val="auto"/>
        </w:rPr>
      </w:pPr>
    </w:p>
    <w:p>
      <w:pPr>
        <w:ind w:left="2" w:right="100"/>
        <w:spacing w:after="0" w:line="257" w:lineRule="auto"/>
        <w:rPr>
          <w:sz w:val="20"/>
          <w:szCs w:val="20"/>
          <w:color w:val="auto"/>
        </w:rPr>
      </w:pPr>
      <w:r>
        <w:rPr>
          <w:rFonts w:ascii="Arial" w:cs="Arial" w:eastAsia="Arial" w:hAnsi="Arial"/>
          <w:sz w:val="17"/>
          <w:szCs w:val="17"/>
          <w:color w:val="auto"/>
        </w:rPr>
        <w:t>A substantial number of the Company's transactions are collateralized and executed with, and on behalf of, a limited number of brokers and 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79" w:lineRule="exact"/>
        <w:rPr>
          <w:sz w:val="20"/>
          <w:szCs w:val="20"/>
          <w:color w:val="auto"/>
        </w:rPr>
      </w:pPr>
    </w:p>
    <w:p>
      <w:pPr>
        <w:ind w:left="2" w:right="120"/>
        <w:spacing w:after="0" w:line="261" w:lineRule="auto"/>
        <w:rPr>
          <w:sz w:val="20"/>
          <w:szCs w:val="20"/>
          <w:color w:val="auto"/>
        </w:rPr>
      </w:pPr>
      <w:r>
        <w:rPr>
          <w:rFonts w:ascii="Arial" w:cs="Arial" w:eastAsia="Arial" w:hAnsi="Arial"/>
          <w:sz w:val="17"/>
          <w:szCs w:val="17"/>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84" w:lineRule="exact"/>
        <w:rPr>
          <w:sz w:val="20"/>
          <w:szCs w:val="20"/>
          <w:color w:val="auto"/>
        </w:rPr>
      </w:pPr>
    </w:p>
    <w:p>
      <w:pPr>
        <w:ind w:left="642" w:hanging="642"/>
        <w:spacing w:after="0"/>
        <w:tabs>
          <w:tab w:leader="none" w:pos="642"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215" w:lineRule="exact"/>
        <w:rPr>
          <w:sz w:val="20"/>
          <w:szCs w:val="20"/>
          <w:color w:val="auto"/>
        </w:rPr>
      </w:pPr>
    </w:p>
    <w:p>
      <w:pPr>
        <w:ind w:left="2" w:right="600"/>
        <w:spacing w:after="0" w:line="285" w:lineRule="auto"/>
        <w:rPr>
          <w:sz w:val="20"/>
          <w:szCs w:val="20"/>
          <w:color w:val="auto"/>
        </w:rPr>
      </w:pPr>
      <w:r>
        <w:rPr>
          <w:rFonts w:ascii="Arial" w:cs="Arial" w:eastAsia="Arial" w:hAnsi="Arial"/>
          <w:sz w:val="16"/>
          <w:szCs w:val="16"/>
          <w:color w:val="auto"/>
        </w:rPr>
        <w:t>In the normal course of business, the Company enters into user agreements with its dealers which provide the dealers with indemnification from third parties in the event that the electronic marketplaces of the Company infringe upon the intellectual property or other proprietary right of a third party. The Company's exposure under these user agreements is</w:t>
      </w:r>
    </w:p>
    <w:p>
      <w:pPr>
        <w:spacing w:after="0" w:line="361"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335915</wp:posOffset>
            </wp:positionV>
            <wp:extent cx="5753735" cy="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2"/>
          </w:cols>
          <w:pgMar w:left="1418" w:top="127" w:right="1419" w:bottom="1440" w:gutter="0" w:footer="0" w:header="0"/>
        </w:sectPr>
      </w:pPr>
    </w:p>
    <w:bookmarkStart w:id="32" w:name="page33"/>
    <w:bookmarkEnd w:id="32"/>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left="2" w:right="240"/>
        <w:spacing w:after="0" w:line="273" w:lineRule="auto"/>
        <w:rPr>
          <w:sz w:val="20"/>
          <w:szCs w:val="20"/>
          <w:color w:val="auto"/>
        </w:rPr>
      </w:pPr>
      <w:r>
        <w:rPr>
          <w:rFonts w:ascii="Arial" w:cs="Arial" w:eastAsia="Arial" w:hAnsi="Arial"/>
          <w:sz w:val="17"/>
          <w:szCs w:val="17"/>
          <w:color w:val="auto"/>
        </w:rPr>
        <w:t>unknown as this would involve estimating future claims against the Company which have not yet occurred. However, based on its experience, the Company expects the risk of a material loss to be remote.</w:t>
      </w:r>
    </w:p>
    <w:p>
      <w:pPr>
        <w:spacing w:after="0" w:line="165" w:lineRule="exact"/>
        <w:rPr>
          <w:sz w:val="20"/>
          <w:szCs w:val="20"/>
          <w:color w:val="auto"/>
        </w:rPr>
      </w:pPr>
    </w:p>
    <w:p>
      <w:pPr>
        <w:ind w:left="2" w:right="80"/>
        <w:spacing w:after="0" w:line="255" w:lineRule="auto"/>
        <w:rPr>
          <w:sz w:val="20"/>
          <w:szCs w:val="20"/>
          <w:color w:val="auto"/>
        </w:rPr>
      </w:pPr>
      <w:r>
        <w:rPr>
          <w:rFonts w:ascii="Arial" w:cs="Arial" w:eastAsia="Arial" w:hAnsi="Arial"/>
          <w:sz w:val="17"/>
          <w:szCs w:val="17"/>
          <w:color w:val="auto"/>
        </w:rPr>
        <w:t>The Company has been named as a defendant, along with other financial institutions, in antitrust class actions (consolidated into two actions) relating to trading practices in United States Treasury securities auctions. The Company has filed a motion to dismiss the actions, believes it has substantial defenses to the other plaintiff's claims and intends to defend itself vigorously. The Company was dismissed from a class action relating to an interest rate swaps matter in 2017, but that matter continues against the remaining defendant financial institutions.</w:t>
      </w:r>
    </w:p>
    <w:p>
      <w:pPr>
        <w:spacing w:after="0" w:line="182" w:lineRule="exact"/>
        <w:rPr>
          <w:sz w:val="20"/>
          <w:szCs w:val="20"/>
          <w:color w:val="auto"/>
        </w:rPr>
      </w:pPr>
    </w:p>
    <w:p>
      <w:pPr>
        <w:ind w:left="2" w:right="20"/>
        <w:spacing w:after="0" w:line="275" w:lineRule="auto"/>
        <w:rPr>
          <w:sz w:val="20"/>
          <w:szCs w:val="20"/>
          <w:color w:val="auto"/>
        </w:rPr>
      </w:pPr>
      <w:r>
        <w:rPr>
          <w:rFonts w:ascii="Arial" w:cs="Arial" w:eastAsia="Arial" w:hAnsi="Arial"/>
          <w:sz w:val="16"/>
          <w:szCs w:val="16"/>
          <w:color w:val="auto"/>
        </w:rPr>
        <w:t>The Company is a co-defendant in a matter relating to the distribution of financial strength ratings over the Company's trading platform to one of its customers. The matter alleges that while certain business units of the client were licensed to receive the data via the Company's platform, the data was also distributed without authorization to certain end clients of the customer. The plaintiff claims to have suffered approximately $80,000,000 in damages and also seeks punitive damages, attorneys' fees and costs. The Company intends to continue to vigorously defend what the Company believes to be meritless and excessive claims.</w:t>
      </w:r>
    </w:p>
    <w:p>
      <w:pPr>
        <w:spacing w:after="0" w:line="166" w:lineRule="exact"/>
        <w:rPr>
          <w:sz w:val="20"/>
          <w:szCs w:val="20"/>
          <w:color w:val="auto"/>
        </w:rPr>
      </w:pPr>
    </w:p>
    <w:p>
      <w:pPr>
        <w:ind w:left="2"/>
        <w:spacing w:after="0" w:line="297" w:lineRule="auto"/>
        <w:rPr>
          <w:sz w:val="20"/>
          <w:szCs w:val="20"/>
          <w:color w:val="auto"/>
        </w:rPr>
      </w:pPr>
      <w:r>
        <w:rPr>
          <w:rFonts w:ascii="Arial" w:cs="Arial" w:eastAsia="Arial" w:hAnsi="Arial"/>
          <w:sz w:val="15"/>
          <w:szCs w:val="15"/>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49"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Revolving Credit Facility</w:t>
      </w:r>
    </w:p>
    <w:p>
      <w:pPr>
        <w:spacing w:after="0" w:line="215" w:lineRule="exact"/>
        <w:rPr>
          <w:sz w:val="20"/>
          <w:szCs w:val="20"/>
          <w:color w:val="auto"/>
        </w:rPr>
      </w:pPr>
    </w:p>
    <w:p>
      <w:pPr>
        <w:ind w:left="2" w:right="80"/>
        <w:spacing w:after="0" w:line="285" w:lineRule="auto"/>
        <w:rPr>
          <w:sz w:val="20"/>
          <w:szCs w:val="20"/>
          <w:color w:val="auto"/>
        </w:rPr>
      </w:pPr>
      <w:r>
        <w:rPr>
          <w:rFonts w:ascii="Arial" w:cs="Arial" w:eastAsia="Arial" w:hAnsi="Arial"/>
          <w:sz w:val="16"/>
          <w:szCs w:val="16"/>
          <w:color w:val="auto"/>
        </w:rPr>
        <w:t>On April 8, 2019, the Company entered into a five year, $500 million senior secured revolving credit facility (“Credit Facility”) with a syndicate of banks. The Credit Facility provides additional borrowing capacity to be used to fund ongoing working capital needs, letters of credit and for general corporate purposes, including potential future acquisitions and expansions.</w:t>
      </w:r>
    </w:p>
    <w:p>
      <w:pPr>
        <w:spacing w:after="0" w:line="158" w:lineRule="exact"/>
        <w:rPr>
          <w:sz w:val="20"/>
          <w:szCs w:val="20"/>
          <w:color w:val="auto"/>
        </w:rPr>
      </w:pPr>
    </w:p>
    <w:p>
      <w:pPr>
        <w:ind w:left="2" w:right="220"/>
        <w:spacing w:after="0" w:line="271" w:lineRule="auto"/>
        <w:rPr>
          <w:sz w:val="20"/>
          <w:szCs w:val="20"/>
          <w:color w:val="auto"/>
        </w:rPr>
      </w:pPr>
      <w:r>
        <w:rPr>
          <w:rFonts w:ascii="Arial" w:cs="Arial" w:eastAsia="Arial" w:hAnsi="Arial"/>
          <w:sz w:val="16"/>
          <w:szCs w:val="16"/>
          <w:color w:val="auto"/>
        </w:rPr>
        <w:t>Under the terms of the credit agreement that governs the Credit Facility, borrowings under the Credit Facility bear interest at a rate equal to, at the Company’s option, either (a) a base rate equal to the greatest of (i) the administrative agent’s prime rate, (ii) the federal funds effective rate plus ½ of 1.0% and (iii) one month LIBOR plus 1.0%, in each case plus 0.75%, or (b) LIBOR plus 1.75%, subject to a 0.00% floor. The credit agreement also includes a commitment fee of 0.25% for available but unborrowed amounts and other administrative fees that are payable quarterly. The Credit Facility is available until April 2024, provided the Company is in compliance with all covenants. Financial covenant requirements include maintaining minimum ratios related to interest coverage and leverage.</w:t>
      </w:r>
    </w:p>
    <w:p>
      <w:pPr>
        <w:spacing w:after="0" w:line="172" w:lineRule="exact"/>
        <w:rPr>
          <w:sz w:val="20"/>
          <w:szCs w:val="20"/>
          <w:color w:val="auto"/>
        </w:rPr>
      </w:pPr>
    </w:p>
    <w:p>
      <w:pPr>
        <w:ind w:left="2"/>
        <w:spacing w:after="0"/>
        <w:rPr>
          <w:sz w:val="20"/>
          <w:szCs w:val="20"/>
          <w:color w:val="auto"/>
        </w:rPr>
      </w:pPr>
      <w:r>
        <w:rPr>
          <w:rFonts w:ascii="Arial" w:cs="Arial" w:eastAsia="Arial" w:hAnsi="Arial"/>
          <w:sz w:val="17"/>
          <w:szCs w:val="17"/>
          <w:color w:val="auto"/>
        </w:rPr>
        <w:t>As of June 30, 2019, there were no amounts outstanding under the Credit Facility.</w:t>
      </w:r>
    </w:p>
    <w:p>
      <w:pPr>
        <w:spacing w:after="0" w:line="220" w:lineRule="exact"/>
        <w:rPr>
          <w:sz w:val="20"/>
          <w:szCs w:val="20"/>
          <w:color w:val="auto"/>
        </w:rPr>
      </w:pPr>
    </w:p>
    <w:p>
      <w:pPr>
        <w:ind w:left="642" w:hanging="642"/>
        <w:spacing w:after="0"/>
        <w:tabs>
          <w:tab w:leader="none" w:pos="642"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215" w:lineRule="exact"/>
        <w:rPr>
          <w:sz w:val="20"/>
          <w:szCs w:val="20"/>
          <w:color w:val="auto"/>
        </w:rPr>
      </w:pPr>
    </w:p>
    <w:p>
      <w:pPr>
        <w:ind w:left="2" w:right="20"/>
        <w:spacing w:after="0" w:line="257" w:lineRule="auto"/>
        <w:rPr>
          <w:sz w:val="20"/>
          <w:szCs w:val="20"/>
          <w:color w:val="auto"/>
        </w:rPr>
      </w:pPr>
      <w:r>
        <w:rPr>
          <w:rFonts w:ascii="Arial" w:cs="Arial" w:eastAsia="Arial" w:hAnsi="Arial"/>
          <w:sz w:val="17"/>
          <w:szCs w:val="17"/>
          <w:color w:val="auto"/>
        </w:rPr>
        <w:t>In April 2019, the Company completed the Reorganization Transactions and the IPO, which, among other things, resulted in the Corporation becoming the successor of TWM LLC for financial reporting purposes. As a result, earnings per share information for the pre-IPO period is not comparable to earnings per share information for the post-IPO period. Thus, earnings per share information is being presented separately for the pre-IPO and post-IPO periods.</w:t>
      </w:r>
    </w:p>
    <w:p>
      <w:pPr>
        <w:spacing w:after="0" w:line="200" w:lineRule="exact"/>
        <w:rPr>
          <w:sz w:val="20"/>
          <w:szCs w:val="20"/>
          <w:color w:val="auto"/>
        </w:rPr>
      </w:pPr>
    </w:p>
    <w:p>
      <w:pPr>
        <w:spacing w:after="0" w:line="386"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335915</wp:posOffset>
            </wp:positionV>
            <wp:extent cx="5753735"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2"/>
          </w:cols>
          <w:pgMar w:left="1418" w:top="127" w:right="1419" w:bottom="1440" w:gutter="0" w:footer="0" w:header="0"/>
        </w:sectPr>
      </w:pPr>
    </w:p>
    <w:bookmarkStart w:id="33" w:name="page34"/>
    <w:bookmarkEnd w:id="33"/>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left="2"/>
        <w:spacing w:after="0"/>
        <w:rPr>
          <w:sz w:val="20"/>
          <w:szCs w:val="20"/>
          <w:color w:val="auto"/>
        </w:rPr>
      </w:pPr>
      <w:r>
        <w:rPr>
          <w:rFonts w:ascii="Arial" w:cs="Arial" w:eastAsia="Arial" w:hAnsi="Arial"/>
          <w:sz w:val="15"/>
          <w:szCs w:val="15"/>
          <w:color w:val="auto"/>
        </w:rPr>
        <w:t>The following tables summarize the basic and diluted earnings per share calculations for Tradeweb Markets LLC (pre-IPO period)</w:t>
      </w:r>
    </w:p>
    <w:p>
      <w:pPr>
        <w:spacing w:after="0" w:line="42" w:lineRule="exact"/>
        <w:rPr>
          <w:sz w:val="20"/>
          <w:szCs w:val="20"/>
          <w:color w:val="auto"/>
        </w:rPr>
      </w:pPr>
    </w:p>
    <w:p>
      <w:pPr>
        <w:ind w:left="2"/>
        <w:spacing w:after="0"/>
        <w:rPr>
          <w:sz w:val="20"/>
          <w:szCs w:val="20"/>
          <w:color w:val="auto"/>
        </w:rPr>
      </w:pPr>
      <w:r>
        <w:rPr>
          <w:rFonts w:ascii="Arial" w:cs="Arial" w:eastAsia="Arial" w:hAnsi="Arial"/>
          <w:sz w:val="17"/>
          <w:szCs w:val="17"/>
          <w:color w:val="auto"/>
        </w:rPr>
        <w:t>and Tradeweb Markets Inc. (post-IPO period):</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21"/>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gridSpan w:val="4"/>
            <w:vMerge w:val="restart"/>
          </w:tcPr>
          <w:p>
            <w:pPr>
              <w:jc w:val="right"/>
              <w:ind w:right="673"/>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4"/>
            <w:vMerge w:val="restart"/>
          </w:tcPr>
          <w:p>
            <w:pPr>
              <w:jc w:val="right"/>
              <w:ind w:right="553"/>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0"/>
        </w:trPr>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4"/>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2"/>
          </w:tcPr>
          <w:p>
            <w:pPr>
              <w:jc w:val="center"/>
              <w:ind w:right="240"/>
              <w:spacing w:after="0" w:line="113" w:lineRule="exact"/>
              <w:rPr>
                <w:sz w:val="20"/>
                <w:szCs w:val="20"/>
                <w:color w:val="auto"/>
              </w:rPr>
            </w:pPr>
            <w:r>
              <w:rPr>
                <w:rFonts w:ascii="Arial" w:cs="Arial" w:eastAsia="Arial" w:hAnsi="Arial"/>
                <w:sz w:val="12"/>
                <w:szCs w:val="12"/>
                <w:b w:val="1"/>
                <w:bCs w:val="1"/>
                <w:color w:val="auto"/>
              </w:rPr>
              <w:t>Three Months</w:t>
            </w:r>
          </w:p>
        </w:tc>
        <w:tc>
          <w:tcPr>
            <w:tcW w:w="60" w:type="dxa"/>
            <w:vAlign w:val="bottom"/>
          </w:tcPr>
          <w:p>
            <w:pPr>
              <w:spacing w:after="0"/>
              <w:rPr>
                <w:sz w:val="9"/>
                <w:szCs w:val="9"/>
                <w:color w:val="auto"/>
              </w:rPr>
            </w:pPr>
          </w:p>
        </w:tc>
        <w:tc>
          <w:tcPr>
            <w:tcW w:w="860" w:type="dxa"/>
            <w:vAlign w:val="bottom"/>
          </w:tcPr>
          <w:p>
            <w:pPr>
              <w:jc w:val="center"/>
              <w:ind w:right="13"/>
              <w:spacing w:after="0" w:line="113" w:lineRule="exact"/>
              <w:rPr>
                <w:sz w:val="20"/>
                <w:szCs w:val="20"/>
                <w:color w:val="auto"/>
              </w:rPr>
            </w:pPr>
            <w:r>
              <w:rPr>
                <w:rFonts w:ascii="Arial" w:cs="Arial" w:eastAsia="Arial" w:hAnsi="Arial"/>
                <w:sz w:val="12"/>
                <w:szCs w:val="12"/>
                <w:b w:val="1"/>
                <w:bCs w:val="1"/>
                <w:color w:val="auto"/>
              </w:rPr>
              <w:t>Six Months</w:t>
            </w: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3"/>
          </w:tcPr>
          <w:p>
            <w:pPr>
              <w:jc w:val="center"/>
              <w:ind w:right="80"/>
              <w:spacing w:after="0" w:line="113" w:lineRule="exact"/>
              <w:rPr>
                <w:sz w:val="20"/>
                <w:szCs w:val="20"/>
                <w:color w:val="auto"/>
              </w:rPr>
            </w:pPr>
            <w:r>
              <w:rPr>
                <w:rFonts w:ascii="Arial" w:cs="Arial" w:eastAsia="Arial" w:hAnsi="Arial"/>
                <w:sz w:val="12"/>
                <w:szCs w:val="12"/>
                <w:b w:val="1"/>
                <w:bCs w:val="1"/>
                <w:color w:val="auto"/>
              </w:rPr>
              <w:t>Three Months</w:t>
            </w:r>
          </w:p>
        </w:tc>
        <w:tc>
          <w:tcPr>
            <w:tcW w:w="60" w:type="dxa"/>
            <w:vAlign w:val="bottom"/>
          </w:tcPr>
          <w:p>
            <w:pPr>
              <w:spacing w:after="0"/>
              <w:rPr>
                <w:sz w:val="9"/>
                <w:szCs w:val="9"/>
                <w:color w:val="auto"/>
              </w:rPr>
            </w:pPr>
          </w:p>
        </w:tc>
        <w:tc>
          <w:tcPr>
            <w:tcW w:w="860" w:type="dxa"/>
            <w:vAlign w:val="bottom"/>
          </w:tcPr>
          <w:p>
            <w:pPr>
              <w:jc w:val="center"/>
              <w:spacing w:after="0" w:line="113" w:lineRule="exact"/>
              <w:rPr>
                <w:sz w:val="20"/>
                <w:szCs w:val="20"/>
                <w:color w:val="auto"/>
              </w:rPr>
            </w:pPr>
            <w:r>
              <w:rPr>
                <w:rFonts w:ascii="Arial" w:cs="Arial" w:eastAsia="Arial" w:hAnsi="Arial"/>
                <w:sz w:val="12"/>
                <w:szCs w:val="12"/>
                <w:b w:val="1"/>
                <w:bCs w:val="1"/>
                <w:color w:val="auto"/>
                <w:w w:val="99"/>
              </w:rPr>
              <w:t>Six Months</w:t>
            </w:r>
          </w:p>
        </w:tc>
        <w:tc>
          <w:tcPr>
            <w:tcW w:w="0" w:type="dxa"/>
            <w:vAlign w:val="bottom"/>
          </w:tcPr>
          <w:p>
            <w:pPr>
              <w:spacing w:after="0"/>
              <w:rPr>
                <w:sz w:val="1"/>
                <w:szCs w:val="1"/>
                <w:color w:val="auto"/>
              </w:rPr>
            </w:pPr>
          </w:p>
        </w:tc>
      </w:tr>
      <w:tr>
        <w:trPr>
          <w:trHeight w:val="140"/>
        </w:trPr>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240"/>
              <w:spacing w:after="0" w:line="140"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8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4"/>
              </w:rPr>
              <w:t>Ended</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140"/>
              <w:spacing w:after="0" w:line="140"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8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0"/>
        </w:trPr>
        <w:tc>
          <w:tcPr>
            <w:tcW w:w="6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500" w:type="dxa"/>
            <w:vAlign w:val="bottom"/>
            <w:tcBorders>
              <w:bottom w:val="single" w:sz="8" w:color="CCEEFF"/>
            </w:tcBorders>
          </w:tcPr>
          <w:p>
            <w:pPr>
              <w:spacing w:after="0"/>
              <w:rPr>
                <w:sz w:val="13"/>
                <w:szCs w:val="13"/>
                <w:color w:val="auto"/>
              </w:rPr>
            </w:pPr>
          </w:p>
        </w:tc>
        <w:tc>
          <w:tcPr>
            <w:tcW w:w="24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5"/>
              </w:rPr>
              <w:t>June 30, 2019</w:t>
            </w: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June 30, 2019</w:t>
            </w:r>
          </w:p>
        </w:tc>
        <w:tc>
          <w:tcPr>
            <w:tcW w:w="12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5"/>
              </w:rPr>
              <w:t>June 30, 2018</w:t>
            </w: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June 30, 2018</w:t>
            </w:r>
          </w:p>
        </w:tc>
        <w:tc>
          <w:tcPr>
            <w:tcW w:w="0" w:type="dxa"/>
            <w:vAlign w:val="bottom"/>
          </w:tcPr>
          <w:p>
            <w:pPr>
              <w:spacing w:after="0"/>
              <w:rPr>
                <w:sz w:val="1"/>
                <w:szCs w:val="1"/>
                <w:color w:val="auto"/>
              </w:rPr>
            </w:pPr>
          </w:p>
        </w:tc>
      </w:tr>
      <w:tr>
        <w:trPr>
          <w:trHeight w:val="132"/>
        </w:trPr>
        <w:tc>
          <w:tcPr>
            <w:tcW w:w="4900" w:type="dxa"/>
            <w:vAlign w:val="bottom"/>
            <w:gridSpan w:val="5"/>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EPS: Pre-IPO net income attributable to Tradeweb Markets LLC</w:t>
            </w:r>
            <w:r>
              <w:rPr>
                <w:rFonts w:ascii="Arial" w:cs="Arial" w:eastAsia="Arial" w:hAnsi="Arial"/>
                <w:sz w:val="14"/>
                <w:szCs w:val="14"/>
                <w:b w:val="1"/>
                <w:bCs w:val="1"/>
                <w:color w:val="auto"/>
                <w:vertAlign w:val="superscript"/>
              </w:rPr>
              <w:t>(1)</w:t>
            </w:r>
          </w:p>
        </w:tc>
        <w:tc>
          <w:tcPr>
            <w:tcW w:w="60" w:type="dxa"/>
            <w:vAlign w:val="bottom"/>
            <w:shd w:val="clear" w:color="auto" w:fill="CCEEFF"/>
          </w:tcPr>
          <w:p>
            <w:pPr>
              <w:spacing w:after="0"/>
              <w:rPr>
                <w:sz w:val="11"/>
                <w:szCs w:val="11"/>
                <w:color w:val="auto"/>
              </w:rPr>
            </w:pPr>
          </w:p>
        </w:tc>
        <w:tc>
          <w:tcPr>
            <w:tcW w:w="4100" w:type="dxa"/>
            <w:vAlign w:val="bottom"/>
            <w:gridSpan w:val="11"/>
            <w:shd w:val="clear" w:color="auto" w:fill="CCEEFF"/>
          </w:tcPr>
          <w:p>
            <w:pPr>
              <w:jc w:val="right"/>
              <w:ind w:right="533"/>
              <w:spacing w:after="0" w:line="133" w:lineRule="exact"/>
              <w:rPr>
                <w:sz w:val="20"/>
                <w:szCs w:val="20"/>
                <w:color w:val="auto"/>
              </w:rPr>
            </w:pPr>
            <w:r>
              <w:rPr>
                <w:rFonts w:ascii="Arial" w:cs="Arial" w:eastAsia="Arial" w:hAnsi="Arial"/>
                <w:sz w:val="14"/>
                <w:szCs w:val="14"/>
                <w:b w:val="1"/>
                <w:bCs w:val="1"/>
                <w:color w:val="auto"/>
              </w:rPr>
              <w:t>(in thousands, except share and per share amounts)</w:t>
            </w:r>
          </w:p>
        </w:tc>
        <w:tc>
          <w:tcPr>
            <w:tcW w:w="0" w:type="dxa"/>
            <w:vAlign w:val="bottom"/>
          </w:tcPr>
          <w:p>
            <w:pPr>
              <w:spacing w:after="0"/>
              <w:rPr>
                <w:sz w:val="1"/>
                <w:szCs w:val="1"/>
                <w:color w:val="auto"/>
              </w:rPr>
            </w:pPr>
          </w:p>
        </w:tc>
      </w:tr>
      <w:tr>
        <w:trPr>
          <w:trHeight w:val="120"/>
        </w:trPr>
        <w:tc>
          <w:tcPr>
            <w:tcW w:w="4740" w:type="dxa"/>
            <w:vAlign w:val="bottom"/>
            <w:tcBorders>
              <w:top w:val="single" w:sz="8" w:color="auto"/>
            </w:tcBorders>
            <w:gridSpan w:val="4"/>
          </w:tcPr>
          <w:p>
            <w:pPr>
              <w:spacing w:after="0" w:line="120" w:lineRule="exact"/>
              <w:rPr>
                <w:sz w:val="20"/>
                <w:szCs w:val="20"/>
                <w:color w:val="auto"/>
              </w:rPr>
            </w:pPr>
            <w:r>
              <w:rPr>
                <w:rFonts w:ascii="Arial" w:cs="Arial" w:eastAsia="Arial" w:hAnsi="Arial"/>
                <w:sz w:val="12"/>
                <w:szCs w:val="12"/>
                <w:color w:val="auto"/>
              </w:rPr>
              <w:t>Numerator:</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900" w:type="dxa"/>
            <w:vAlign w:val="bottom"/>
            <w:gridSpan w:val="5"/>
            <w:shd w:val="clear" w:color="auto" w:fill="CCEEFF"/>
          </w:tcPr>
          <w:p>
            <w:pPr>
              <w:spacing w:after="0" w:line="133" w:lineRule="exact"/>
              <w:rPr>
                <w:sz w:val="20"/>
                <w:szCs w:val="20"/>
                <w:color w:val="auto"/>
              </w:rPr>
            </w:pPr>
            <w:r>
              <w:rPr>
                <w:rFonts w:ascii="Arial" w:cs="Arial" w:eastAsia="Arial" w:hAnsi="Arial"/>
                <w:sz w:val="14"/>
                <w:szCs w:val="14"/>
                <w:color w:val="auto"/>
              </w:rPr>
              <w:t>Pre-IPO net income attributable to Tradeweb Markets LLC</w:t>
            </w: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42,352</w:t>
            </w: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38,897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84,205</w:t>
            </w:r>
          </w:p>
        </w:tc>
        <w:tc>
          <w:tcPr>
            <w:tcW w:w="0" w:type="dxa"/>
            <w:vAlign w:val="bottom"/>
          </w:tcPr>
          <w:p>
            <w:pPr>
              <w:spacing w:after="0"/>
              <w:rPr>
                <w:sz w:val="1"/>
                <w:szCs w:val="1"/>
                <w:color w:val="auto"/>
              </w:rPr>
            </w:pPr>
          </w:p>
        </w:tc>
      </w:tr>
      <w:tr>
        <w:trPr>
          <w:trHeight w:val="140"/>
        </w:trPr>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60" w:type="dxa"/>
            <w:vAlign w:val="bottom"/>
            <w:tcBorders>
              <w:bottom w:val="single" w:sz="8" w:color="auto"/>
            </w:tcBorders>
            <w:gridSpan w:val="2"/>
            <w:shd w:val="clear" w:color="auto" w:fill="CCEEFF"/>
          </w:tcPr>
          <w:p>
            <w:pPr>
              <w:spacing w:after="0" w:line="127" w:lineRule="exact"/>
              <w:rPr>
                <w:sz w:val="20"/>
                <w:szCs w:val="20"/>
                <w:color w:val="auto"/>
              </w:rPr>
            </w:pPr>
            <w:r>
              <w:rPr>
                <w:rFonts w:ascii="Arial" w:cs="Arial" w:eastAsia="Arial" w:hAnsi="Arial"/>
                <w:sz w:val="14"/>
                <w:szCs w:val="14"/>
                <w:color w:val="auto"/>
                <w:w w:val="88"/>
              </w:rPr>
              <w:t>Denominator:</w:t>
            </w:r>
          </w:p>
        </w:tc>
        <w:tc>
          <w:tcPr>
            <w:tcW w:w="4140" w:type="dxa"/>
            <w:vAlign w:val="bottom"/>
            <w:tcBorders>
              <w:bottom w:val="single" w:sz="8" w:color="CCEEFF"/>
            </w:tcBorders>
            <w:gridSpan w:val="3"/>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900" w:type="dxa"/>
            <w:vAlign w:val="bottom"/>
            <w:gridSpan w:val="5"/>
          </w:tcPr>
          <w:p>
            <w:pPr>
              <w:spacing w:after="0" w:line="133" w:lineRule="exact"/>
              <w:rPr>
                <w:sz w:val="20"/>
                <w:szCs w:val="20"/>
                <w:color w:val="auto"/>
              </w:rPr>
            </w:pPr>
            <w:r>
              <w:rPr>
                <w:rFonts w:ascii="Arial" w:cs="Arial" w:eastAsia="Arial" w:hAnsi="Arial"/>
                <w:sz w:val="14"/>
                <w:szCs w:val="14"/>
                <w:color w:val="auto"/>
              </w:rPr>
              <w:t>Weighted average LLC Interests outstanding - Basic</w:t>
            </w: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4"/>
                <w:szCs w:val="14"/>
                <w:color w:val="auto"/>
              </w:rPr>
              <w:t>222,222,197</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4"/>
                <w:szCs w:val="14"/>
                <w:color w:val="auto"/>
              </w:rPr>
              <w:t>213,435,314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4"/>
                <w:szCs w:val="14"/>
                <w:color w:val="auto"/>
              </w:rPr>
              <w:t>213,435,314</w:t>
            </w:r>
          </w:p>
        </w:tc>
        <w:tc>
          <w:tcPr>
            <w:tcW w:w="0" w:type="dxa"/>
            <w:vAlign w:val="bottom"/>
          </w:tcPr>
          <w:p>
            <w:pPr>
              <w:spacing w:after="0"/>
              <w:rPr>
                <w:sz w:val="1"/>
                <w:szCs w:val="1"/>
                <w:color w:val="auto"/>
              </w:rPr>
            </w:pPr>
          </w:p>
        </w:tc>
      </w:tr>
      <w:tr>
        <w:trPr>
          <w:trHeight w:val="140"/>
        </w:trPr>
        <w:tc>
          <w:tcPr>
            <w:tcW w:w="4900" w:type="dxa"/>
            <w:vAlign w:val="bottom"/>
            <w:gridSpan w:val="5"/>
            <w:shd w:val="clear" w:color="auto" w:fill="CCEEFF"/>
          </w:tcPr>
          <w:p>
            <w:pPr>
              <w:ind w:left="100"/>
              <w:spacing w:after="0" w:line="140" w:lineRule="exact"/>
              <w:rPr>
                <w:sz w:val="20"/>
                <w:szCs w:val="20"/>
                <w:color w:val="auto"/>
              </w:rPr>
            </w:pPr>
            <w:r>
              <w:rPr>
                <w:rFonts w:ascii="Arial" w:cs="Arial" w:eastAsia="Arial" w:hAnsi="Arial"/>
                <w:sz w:val="14"/>
                <w:szCs w:val="14"/>
                <w:color w:val="auto"/>
              </w:rPr>
              <w:t>Dilutive effect of equity-settled PRSUs</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1,098,260</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4900" w:type="dxa"/>
            <w:vAlign w:val="bottom"/>
            <w:tcBorders>
              <w:bottom w:val="single" w:sz="8" w:color="CCEEFF"/>
            </w:tcBorders>
            <w:gridSpan w:val="5"/>
          </w:tcPr>
          <w:p>
            <w:pPr>
              <w:spacing w:after="0" w:line="133" w:lineRule="exact"/>
              <w:rPr>
                <w:sz w:val="20"/>
                <w:szCs w:val="20"/>
                <w:color w:val="auto"/>
              </w:rPr>
            </w:pPr>
            <w:r>
              <w:rPr>
                <w:rFonts w:ascii="Arial" w:cs="Arial" w:eastAsia="Arial" w:hAnsi="Arial"/>
                <w:sz w:val="14"/>
                <w:szCs w:val="14"/>
                <w:color w:val="auto"/>
              </w:rPr>
              <w:t>Weighted average LLC Interests outstanding - Diluted</w:t>
            </w:r>
          </w:p>
        </w:tc>
        <w:tc>
          <w:tcPr>
            <w:tcW w:w="6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223,320,457</w:t>
            </w:r>
          </w:p>
        </w:tc>
        <w:tc>
          <w:tcPr>
            <w:tcW w:w="120" w:type="dxa"/>
            <w:vAlign w:val="bottom"/>
            <w:tcBorders>
              <w:bottom w:val="single" w:sz="8" w:color="CCEEFF"/>
              <w:right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213,435,314</w:t>
            </w:r>
          </w:p>
        </w:tc>
        <w:tc>
          <w:tcPr>
            <w:tcW w:w="10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213,435,314</w:t>
            </w:r>
          </w:p>
        </w:tc>
        <w:tc>
          <w:tcPr>
            <w:tcW w:w="0" w:type="dxa"/>
            <w:vAlign w:val="bottom"/>
          </w:tcPr>
          <w:p>
            <w:pPr>
              <w:spacing w:after="0"/>
              <w:rPr>
                <w:sz w:val="1"/>
                <w:szCs w:val="1"/>
                <w:color w:val="auto"/>
              </w:rPr>
            </w:pPr>
          </w:p>
        </w:tc>
      </w:tr>
      <w:tr>
        <w:trPr>
          <w:trHeight w:val="140"/>
        </w:trPr>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00" w:type="dxa"/>
            <w:vAlign w:val="bottom"/>
            <w:gridSpan w:val="5"/>
          </w:tcPr>
          <w:p>
            <w:pPr>
              <w:spacing w:after="0" w:line="140" w:lineRule="exact"/>
              <w:rPr>
                <w:sz w:val="20"/>
                <w:szCs w:val="20"/>
                <w:color w:val="auto"/>
              </w:rPr>
            </w:pPr>
            <w:r>
              <w:rPr>
                <w:rFonts w:ascii="Arial" w:cs="Arial" w:eastAsia="Arial" w:hAnsi="Arial"/>
                <w:sz w:val="14"/>
                <w:szCs w:val="14"/>
                <w:color w:val="auto"/>
              </w:rPr>
              <w:t>Earnings per share - Basic</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40" w:lineRule="exact"/>
              <w:rPr>
                <w:sz w:val="20"/>
                <w:szCs w:val="20"/>
                <w:color w:val="auto"/>
              </w:rPr>
            </w:pPr>
            <w:r>
              <w:rPr>
                <w:rFonts w:ascii="Arial" w:cs="Arial" w:eastAsia="Arial" w:hAnsi="Arial"/>
                <w:sz w:val="14"/>
                <w:szCs w:val="14"/>
                <w:color w:val="auto"/>
              </w:rPr>
              <w:t>0.19</w:t>
            </w:r>
          </w:p>
        </w:tc>
        <w:tc>
          <w:tcPr>
            <w:tcW w:w="120" w:type="dxa"/>
            <w:vAlign w:val="bottom"/>
            <w:tcBorders>
              <w:right w:val="single" w:sz="8" w:color="auto"/>
            </w:tcBorders>
          </w:tcPr>
          <w:p>
            <w:pPr>
              <w:spacing w:after="0"/>
              <w:rPr>
                <w:sz w:val="12"/>
                <w:szCs w:val="12"/>
                <w:color w:val="auto"/>
              </w:rPr>
            </w:pPr>
          </w:p>
        </w:tc>
        <w:tc>
          <w:tcPr>
            <w:tcW w:w="12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0" w:lineRule="exact"/>
              <w:rPr>
                <w:sz w:val="20"/>
                <w:szCs w:val="20"/>
                <w:color w:val="auto"/>
              </w:rPr>
            </w:pPr>
            <w:r>
              <w:rPr>
                <w:rFonts w:ascii="Arial" w:cs="Arial" w:eastAsia="Arial" w:hAnsi="Arial"/>
                <w:sz w:val="14"/>
                <w:szCs w:val="14"/>
                <w:color w:val="auto"/>
              </w:rPr>
              <w:t>0.18</w:t>
            </w:r>
          </w:p>
        </w:tc>
        <w:tc>
          <w:tcPr>
            <w:tcW w:w="1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40" w:lineRule="exact"/>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145"/>
        </w:trPr>
        <w:tc>
          <w:tcPr>
            <w:tcW w:w="4900" w:type="dxa"/>
            <w:vAlign w:val="bottom"/>
            <w:tcBorders>
              <w:top w:val="single" w:sz="8" w:color="CCEEFF"/>
              <w:bottom w:val="single" w:sz="8" w:color="CCEEFF"/>
            </w:tcBorders>
            <w:gridSpan w:val="5"/>
            <w:shd w:val="clear" w:color="auto" w:fill="CCEEFF"/>
          </w:tcPr>
          <w:p>
            <w:pPr>
              <w:spacing w:after="0" w:line="140" w:lineRule="exact"/>
              <w:rPr>
                <w:sz w:val="20"/>
                <w:szCs w:val="20"/>
                <w:color w:val="auto"/>
              </w:rPr>
            </w:pPr>
            <w:r>
              <w:rPr>
                <w:rFonts w:ascii="Arial" w:cs="Arial" w:eastAsia="Arial" w:hAnsi="Arial"/>
                <w:sz w:val="14"/>
                <w:szCs w:val="14"/>
                <w:color w:val="auto"/>
              </w:rPr>
              <w:t>Earnings per share - Diluted</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0.19</w:t>
            </w:r>
          </w:p>
        </w:tc>
        <w:tc>
          <w:tcPr>
            <w:tcW w:w="120" w:type="dxa"/>
            <w:vAlign w:val="bottom"/>
            <w:tcBorders>
              <w:top w:val="single" w:sz="8" w:color="CCEEFF"/>
              <w:bottom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0.18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140"/>
        </w:trPr>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900" w:type="dxa"/>
            <w:vAlign w:val="bottom"/>
            <w:gridSpan w:val="5"/>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EPS: Post-IPO net income attributable to Tradeweb Markets Inc.</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4740" w:type="dxa"/>
            <w:vAlign w:val="bottom"/>
            <w:tcBorders>
              <w:top w:val="single" w:sz="8" w:color="auto"/>
            </w:tcBorders>
            <w:gridSpan w:val="4"/>
          </w:tcPr>
          <w:p>
            <w:pPr>
              <w:spacing w:after="0" w:line="120" w:lineRule="exact"/>
              <w:rPr>
                <w:sz w:val="20"/>
                <w:szCs w:val="20"/>
                <w:color w:val="auto"/>
              </w:rPr>
            </w:pPr>
            <w:r>
              <w:rPr>
                <w:rFonts w:ascii="Arial" w:cs="Arial" w:eastAsia="Arial" w:hAnsi="Arial"/>
                <w:sz w:val="12"/>
                <w:szCs w:val="12"/>
                <w:color w:val="auto"/>
              </w:rPr>
              <w:t>Numerator:</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900" w:type="dxa"/>
            <w:vAlign w:val="bottom"/>
            <w:gridSpan w:val="5"/>
            <w:shd w:val="clear" w:color="auto" w:fill="CCEEFF"/>
          </w:tcPr>
          <w:p>
            <w:pPr>
              <w:spacing w:after="0" w:line="133" w:lineRule="exact"/>
              <w:rPr>
                <w:sz w:val="20"/>
                <w:szCs w:val="20"/>
                <w:color w:val="auto"/>
              </w:rPr>
            </w:pPr>
            <w:r>
              <w:rPr>
                <w:rFonts w:ascii="Arial" w:cs="Arial" w:eastAsia="Arial" w:hAnsi="Arial"/>
                <w:sz w:val="14"/>
                <w:szCs w:val="14"/>
                <w:color w:val="auto"/>
              </w:rPr>
              <w:t>Post-IPO net income attributable to Tradeweb Markets Inc.</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12,828</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12,828</w:t>
            </w: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60" w:type="dxa"/>
            <w:vAlign w:val="bottom"/>
            <w:tcBorders>
              <w:bottom w:val="single" w:sz="8" w:color="auto"/>
            </w:tcBorders>
            <w:gridSpan w:val="2"/>
            <w:shd w:val="clear" w:color="auto" w:fill="CCEEFF"/>
          </w:tcPr>
          <w:p>
            <w:pPr>
              <w:spacing w:after="0" w:line="127" w:lineRule="exact"/>
              <w:rPr>
                <w:sz w:val="20"/>
                <w:szCs w:val="20"/>
                <w:color w:val="auto"/>
              </w:rPr>
            </w:pPr>
            <w:r>
              <w:rPr>
                <w:rFonts w:ascii="Arial" w:cs="Arial" w:eastAsia="Arial" w:hAnsi="Arial"/>
                <w:sz w:val="14"/>
                <w:szCs w:val="14"/>
                <w:color w:val="auto"/>
                <w:w w:val="88"/>
              </w:rPr>
              <w:t>Denominator:</w:t>
            </w:r>
          </w:p>
        </w:tc>
        <w:tc>
          <w:tcPr>
            <w:tcW w:w="4140" w:type="dxa"/>
            <w:vAlign w:val="bottom"/>
            <w:tcBorders>
              <w:bottom w:val="single" w:sz="8" w:color="CCEEFF"/>
            </w:tcBorders>
            <w:gridSpan w:val="3"/>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900" w:type="dxa"/>
            <w:vAlign w:val="bottom"/>
            <w:gridSpan w:val="5"/>
          </w:tcPr>
          <w:p>
            <w:pPr>
              <w:spacing w:after="0" w:line="133" w:lineRule="exact"/>
              <w:rPr>
                <w:sz w:val="20"/>
                <w:szCs w:val="20"/>
                <w:color w:val="auto"/>
              </w:rPr>
            </w:pPr>
            <w:r>
              <w:rPr>
                <w:rFonts w:ascii="Arial" w:cs="Arial" w:eastAsia="Arial" w:hAnsi="Arial"/>
                <w:sz w:val="14"/>
                <w:szCs w:val="14"/>
                <w:color w:val="auto"/>
                <w:w w:val="93"/>
              </w:rPr>
              <w:t>Weighted average shares of Class A and Class B common stock outstanding - Basic</w:t>
            </w:r>
          </w:p>
        </w:tc>
        <w:tc>
          <w:tcPr>
            <w:tcW w:w="6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4"/>
                <w:szCs w:val="14"/>
                <w:color w:val="auto"/>
              </w:rPr>
              <w:t>142,933,192</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4"/>
                <w:szCs w:val="14"/>
                <w:color w:val="auto"/>
              </w:rPr>
              <w:t>142,933,192</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900" w:type="dxa"/>
            <w:vAlign w:val="bottom"/>
            <w:gridSpan w:val="5"/>
            <w:shd w:val="clear" w:color="auto" w:fill="CCEEFF"/>
          </w:tcPr>
          <w:p>
            <w:pPr>
              <w:ind w:left="100"/>
              <w:spacing w:after="0" w:line="140" w:lineRule="exact"/>
              <w:rPr>
                <w:sz w:val="20"/>
                <w:szCs w:val="20"/>
                <w:color w:val="auto"/>
              </w:rPr>
            </w:pPr>
            <w:r>
              <w:rPr>
                <w:rFonts w:ascii="Arial" w:cs="Arial" w:eastAsia="Arial" w:hAnsi="Arial"/>
                <w:sz w:val="14"/>
                <w:szCs w:val="14"/>
                <w:color w:val="auto"/>
              </w:rPr>
              <w:t>Dilutive effect of equity-settled PRSUs</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2,214,480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2,214,480</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900" w:type="dxa"/>
            <w:vAlign w:val="bottom"/>
            <w:tcBorders>
              <w:bottom w:val="single" w:sz="8" w:color="CCEEFF"/>
            </w:tcBorders>
            <w:gridSpan w:val="5"/>
          </w:tcPr>
          <w:p>
            <w:pPr>
              <w:ind w:left="100"/>
              <w:spacing w:after="0" w:line="140" w:lineRule="exact"/>
              <w:rPr>
                <w:sz w:val="20"/>
                <w:szCs w:val="20"/>
                <w:color w:val="auto"/>
              </w:rPr>
            </w:pPr>
            <w:r>
              <w:rPr>
                <w:rFonts w:ascii="Arial" w:cs="Arial" w:eastAsia="Arial" w:hAnsi="Arial"/>
                <w:sz w:val="14"/>
                <w:szCs w:val="14"/>
                <w:color w:val="auto"/>
              </w:rPr>
              <w:t>Dilutive effect of options</w:t>
            </w: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5,699,511</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5,699,511</w:t>
            </w:r>
          </w:p>
        </w:tc>
        <w:tc>
          <w:tcPr>
            <w:tcW w:w="120" w:type="dxa"/>
            <w:vAlign w:val="bottom"/>
            <w:tcBorders>
              <w:bottom w:val="single" w:sz="8" w:color="CCEEFF"/>
              <w:right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900" w:type="dxa"/>
            <w:vAlign w:val="bottom"/>
            <w:tcBorders>
              <w:bottom w:val="single" w:sz="8" w:color="CCEEFF"/>
            </w:tcBorders>
            <w:gridSpan w:val="5"/>
            <w:shd w:val="clear" w:color="auto" w:fill="CCEEFF"/>
          </w:tcPr>
          <w:p>
            <w:pPr>
              <w:spacing w:after="0" w:line="133" w:lineRule="exact"/>
              <w:rPr>
                <w:sz w:val="20"/>
                <w:szCs w:val="20"/>
                <w:color w:val="auto"/>
              </w:rPr>
            </w:pPr>
            <w:r>
              <w:rPr>
                <w:rFonts w:ascii="Arial" w:cs="Arial" w:eastAsia="Arial" w:hAnsi="Arial"/>
                <w:sz w:val="14"/>
                <w:szCs w:val="14"/>
                <w:color w:val="auto"/>
                <w:w w:val="91"/>
              </w:rPr>
              <w:t>Weighted average shares of Class A and Class B common stock outstanding - Diluted</w:t>
            </w:r>
          </w:p>
        </w:tc>
        <w:tc>
          <w:tcPr>
            <w:tcW w:w="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150,847,183</w:t>
            </w: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150,847,183</w:t>
            </w: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900" w:type="dxa"/>
            <w:vAlign w:val="bottom"/>
            <w:tcBorders>
              <w:bottom w:val="single" w:sz="8" w:color="CCEEFF"/>
            </w:tcBorders>
            <w:gridSpan w:val="5"/>
            <w:shd w:val="clear" w:color="auto" w:fill="CCEEFF"/>
          </w:tcPr>
          <w:p>
            <w:pPr>
              <w:spacing w:after="0" w:line="140" w:lineRule="exact"/>
              <w:rPr>
                <w:sz w:val="20"/>
                <w:szCs w:val="20"/>
                <w:color w:val="auto"/>
              </w:rPr>
            </w:pPr>
            <w:r>
              <w:rPr>
                <w:rFonts w:ascii="Arial" w:cs="Arial" w:eastAsia="Arial" w:hAnsi="Arial"/>
                <w:sz w:val="14"/>
                <w:szCs w:val="14"/>
                <w:color w:val="auto"/>
              </w:rPr>
              <w:t>Earnings per share - Basic</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0.09</w:t>
            </w:r>
          </w:p>
        </w:tc>
        <w:tc>
          <w:tcPr>
            <w:tcW w:w="1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0.09</w:t>
            </w: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900" w:type="dxa"/>
            <w:vAlign w:val="bottom"/>
            <w:gridSpan w:val="5"/>
          </w:tcPr>
          <w:p>
            <w:pPr>
              <w:spacing w:after="0" w:line="125" w:lineRule="exact"/>
              <w:rPr>
                <w:sz w:val="20"/>
                <w:szCs w:val="20"/>
                <w:color w:val="auto"/>
              </w:rPr>
            </w:pPr>
            <w:r>
              <w:rPr>
                <w:rFonts w:ascii="Arial" w:cs="Arial" w:eastAsia="Arial" w:hAnsi="Arial"/>
                <w:sz w:val="14"/>
                <w:szCs w:val="14"/>
                <w:color w:val="auto"/>
              </w:rPr>
              <w:t>Earnings per share - Diluted</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4"/>
                <w:szCs w:val="14"/>
                <w:color w:val="auto"/>
              </w:rPr>
              <w:t>0.09</w:t>
            </w:r>
          </w:p>
        </w:tc>
        <w:tc>
          <w:tcPr>
            <w:tcW w:w="18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4"/>
                <w:szCs w:val="14"/>
                <w:color w:val="auto"/>
              </w:rPr>
              <w:t>0.09</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6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602" w:right="60" w:hanging="297"/>
        <w:spacing w:after="0" w:line="224" w:lineRule="auto"/>
        <w:tabs>
          <w:tab w:leader="none" w:pos="602" w:val="left"/>
        </w:tabs>
        <w:numPr>
          <w:ilvl w:val="0"/>
          <w:numId w:val="29"/>
        </w:numPr>
        <w:rPr>
          <w:rFonts w:ascii="Arial" w:cs="Arial" w:eastAsia="Arial" w:hAnsi="Arial"/>
          <w:sz w:val="14"/>
          <w:szCs w:val="14"/>
          <w:color w:val="auto"/>
        </w:rPr>
      </w:pPr>
      <w:r>
        <w:rPr>
          <w:rFonts w:ascii="Arial" w:cs="Arial" w:eastAsia="Arial" w:hAnsi="Arial"/>
          <w:sz w:val="14"/>
          <w:szCs w:val="14"/>
          <w:color w:val="auto"/>
        </w:rPr>
        <w:t>Earnings per share and weighted average shares outstanding for the pre-IPO periods have been computed to give effect to the Reorganization Transactions, including the amendment and restatement of the TWM LLC Agreement to, among other things, (i) provide for LLC Interests and (ii) exchange all of the original members’ existing membership interests for LLC interests.</w:t>
      </w:r>
    </w:p>
    <w:p>
      <w:pPr>
        <w:spacing w:after="0" w:line="178" w:lineRule="exact"/>
        <w:rPr>
          <w:sz w:val="20"/>
          <w:szCs w:val="20"/>
          <w:color w:val="auto"/>
        </w:rPr>
      </w:pPr>
    </w:p>
    <w:p>
      <w:pPr>
        <w:ind w:left="2" w:right="100"/>
        <w:spacing w:after="0" w:line="257" w:lineRule="auto"/>
        <w:rPr>
          <w:sz w:val="20"/>
          <w:szCs w:val="20"/>
          <w:color w:val="auto"/>
        </w:rPr>
      </w:pPr>
      <w:r>
        <w:rPr>
          <w:rFonts w:ascii="Arial" w:cs="Arial" w:eastAsia="Arial" w:hAnsi="Arial"/>
          <w:sz w:val="17"/>
          <w:szCs w:val="17"/>
          <w:color w:val="auto"/>
        </w:rPr>
        <w:t>For the three and six months ended June 30, 2019, there were approximately 340 shares that were anti-dilutive and thus excluded from the computation of diluted earnings per share. For the three and six months ended June 30, 2018, there were approximately 8,045,000 and 6,789,000 shares, respectively, that were anti-dilutive and thus excluded from the computation of diluted earnings per share.</w:t>
      </w:r>
    </w:p>
    <w:p>
      <w:pPr>
        <w:spacing w:after="0" w:line="179" w:lineRule="exact"/>
        <w:rPr>
          <w:sz w:val="20"/>
          <w:szCs w:val="20"/>
          <w:color w:val="auto"/>
        </w:rPr>
      </w:pPr>
    </w:p>
    <w:p>
      <w:pPr>
        <w:ind w:left="2" w:right="20"/>
        <w:spacing w:after="0" w:line="257" w:lineRule="auto"/>
        <w:rPr>
          <w:sz w:val="20"/>
          <w:szCs w:val="20"/>
          <w:color w:val="auto"/>
        </w:rPr>
      </w:pPr>
      <w:r>
        <w:rPr>
          <w:rFonts w:ascii="Arial" w:cs="Arial" w:eastAsia="Arial" w:hAnsi="Arial"/>
          <w:sz w:val="17"/>
          <w:szCs w:val="17"/>
          <w:color w:val="auto"/>
        </w:rPr>
        <w:t>LLC Interests held by the Continuing LLC Owners are redeemable, at the election of such holders, for shares of Class A or Class B common stock of Tradeweb Markets Inc. After evaluating the potential dilutive effect under the if-converted method, the 79,289,005 LLC Interests for the assumed exchange of non-controlling interests were determined to be anti-dilutive and thus were excluded from the computation of diluted earnings per share for the post-IPO periods.</w:t>
      </w:r>
    </w:p>
    <w:p>
      <w:pPr>
        <w:spacing w:after="0" w:line="179" w:lineRule="exact"/>
        <w:rPr>
          <w:sz w:val="20"/>
          <w:szCs w:val="20"/>
          <w:color w:val="auto"/>
        </w:rPr>
      </w:pPr>
    </w:p>
    <w:p>
      <w:pPr>
        <w:ind w:left="2" w:right="680"/>
        <w:spacing w:after="0" w:line="273" w:lineRule="auto"/>
        <w:rPr>
          <w:sz w:val="20"/>
          <w:szCs w:val="20"/>
          <w:color w:val="auto"/>
        </w:rPr>
      </w:pPr>
      <w:r>
        <w:rPr>
          <w:rFonts w:ascii="Arial" w:cs="Arial" w:eastAsia="Arial" w:hAnsi="Arial"/>
          <w:sz w:val="17"/>
          <w:szCs w:val="17"/>
          <w:color w:val="auto"/>
        </w:rPr>
        <w:t>Shares of Class C and Class D common stock do not have economic rights in Tradeweb Markets Inc. and, therefore, are not participating securities for purposes of the computation of earnings per share.</w:t>
      </w:r>
    </w:p>
    <w:p>
      <w:pPr>
        <w:spacing w:after="0" w:line="174" w:lineRule="exact"/>
        <w:rPr>
          <w:sz w:val="20"/>
          <w:szCs w:val="20"/>
          <w:color w:val="auto"/>
        </w:rPr>
      </w:pPr>
    </w:p>
    <w:p>
      <w:pPr>
        <w:ind w:left="642" w:hanging="642"/>
        <w:spacing w:after="0"/>
        <w:tabs>
          <w:tab w:leader="none" w:pos="642"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Regulatory Capital Requirements</w:t>
      </w:r>
    </w:p>
    <w:p>
      <w:pPr>
        <w:spacing w:after="0" w:line="215" w:lineRule="exact"/>
        <w:rPr>
          <w:sz w:val="20"/>
          <w:szCs w:val="20"/>
          <w:color w:val="auto"/>
        </w:rPr>
      </w:pPr>
    </w:p>
    <w:p>
      <w:pPr>
        <w:jc w:val="both"/>
        <w:ind w:left="2" w:right="40"/>
        <w:spacing w:after="0" w:line="207" w:lineRule="exact"/>
        <w:rPr>
          <w:sz w:val="20"/>
          <w:szCs w:val="20"/>
          <w:color w:val="auto"/>
        </w:rPr>
      </w:pPr>
      <w:r>
        <w:rPr>
          <w:rFonts w:ascii="Arial" w:cs="Arial" w:eastAsia="Arial" w:hAnsi="Arial"/>
          <w:sz w:val="15"/>
          <w:szCs w:val="15"/>
          <w:color w:val="auto"/>
        </w:rPr>
        <w:t>TWL, DW and TWD are subject to the Uniform Net Capital Rule 15c3</w:t>
      </w:r>
      <w:r>
        <w:rPr>
          <w:rFonts w:ascii="MS PGothic" w:cs="MS PGothic" w:eastAsia="MS PGothic" w:hAnsi="MS PGothic"/>
          <w:sz w:val="15"/>
          <w:szCs w:val="15"/>
          <w:color w:val="auto"/>
        </w:rPr>
        <w:t>‑</w:t>
      </w:r>
      <w:r>
        <w:rPr>
          <w:rFonts w:ascii="Arial" w:cs="Arial" w:eastAsia="Arial" w:hAnsi="Arial"/>
          <w:sz w:val="15"/>
          <w:szCs w:val="15"/>
          <w:color w:val="auto"/>
        </w:rPr>
        <w:t>1 under the Securities Exchange Act of 1934. TEL is subject to certain financial resource requirements with the FCA in the UK, TWJ is subject to certain financial resource requirements with the FCA in Japan and TWEU is subject to certain finance resource requirements with the AFM in the Netherlands.</w:t>
      </w:r>
    </w:p>
    <w:p>
      <w:pPr>
        <w:spacing w:after="0" w:line="396"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335915</wp:posOffset>
            </wp:positionV>
            <wp:extent cx="5753735" cy="24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2"/>
          </w:cols>
          <w:pgMar w:left="1418" w:top="127" w:right="1419" w:bottom="1440" w:gutter="0" w:footer="0" w:header="0"/>
        </w:sectPr>
      </w:pPr>
    </w:p>
    <w:bookmarkStart w:id="34" w:name="page35"/>
    <w:bookmarkEnd w:id="34"/>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left="2"/>
        <w:spacing w:after="0" w:line="273" w:lineRule="auto"/>
        <w:rPr>
          <w:sz w:val="20"/>
          <w:szCs w:val="20"/>
          <w:color w:val="auto"/>
        </w:rPr>
      </w:pPr>
      <w:r>
        <w:rPr>
          <w:rFonts w:ascii="Arial" w:cs="Arial" w:eastAsia="Arial" w:hAnsi="Arial"/>
          <w:sz w:val="17"/>
          <w:szCs w:val="17"/>
          <w:color w:val="auto"/>
        </w:rPr>
        <w:t>At June 30, 2019 and December 31, 2018, the regulatory capital requirements and regulatory capital for TWL, DW, TWD, TEL, TWJ and TWEU were as follows (in thousands):</w:t>
      </w:r>
    </w:p>
    <w:p>
      <w:pPr>
        <w:spacing w:after="0" w:line="169"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 June 30, 2019</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TWL</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4"/>
          </w:tcPr>
          <w:p>
            <w:pPr>
              <w:jc w:val="right"/>
              <w:ind w:right="186"/>
              <w:spacing w:after="0"/>
              <w:rPr>
                <w:sz w:val="20"/>
                <w:szCs w:val="20"/>
                <w:color w:val="auto"/>
              </w:rPr>
            </w:pPr>
            <w:r>
              <w:rPr>
                <w:rFonts w:ascii="Arial" w:cs="Arial" w:eastAsia="Arial" w:hAnsi="Arial"/>
                <w:sz w:val="14"/>
                <w:szCs w:val="14"/>
                <w:b w:val="1"/>
                <w:bCs w:val="1"/>
                <w:color w:val="auto"/>
              </w:rPr>
              <w:t>DW</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ind w:right="146"/>
              <w:spacing w:after="0"/>
              <w:rPr>
                <w:sz w:val="20"/>
                <w:szCs w:val="20"/>
                <w:color w:val="auto"/>
              </w:rPr>
            </w:pPr>
            <w:r>
              <w:rPr>
                <w:rFonts w:ascii="Arial" w:cs="Arial" w:eastAsia="Arial" w:hAnsi="Arial"/>
                <w:sz w:val="14"/>
                <w:szCs w:val="14"/>
                <w:b w:val="1"/>
                <w:bCs w:val="1"/>
                <w:color w:val="auto"/>
              </w:rPr>
              <w:t>TWD</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TEL</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TWJ</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TWEU</w:t>
            </w:r>
          </w:p>
        </w:tc>
      </w:tr>
      <w:tr>
        <w:trPr>
          <w:trHeight w:val="196"/>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Regulatory Capital</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21,837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99"/>
              </w:rPr>
              <w:t>42,786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center"/>
              <w:ind w:right="15"/>
              <w:spacing w:after="0"/>
              <w:rPr>
                <w:sz w:val="20"/>
                <w:szCs w:val="20"/>
                <w:color w:val="auto"/>
              </w:rPr>
            </w:pPr>
            <w:r>
              <w:rPr>
                <w:rFonts w:ascii="Arial" w:cs="Arial" w:eastAsia="Arial" w:hAnsi="Arial"/>
                <w:sz w:val="17"/>
                <w:szCs w:val="17"/>
                <w:color w:val="auto"/>
                <w:w w:val="84"/>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9"/>
              </w:rPr>
              <w:t>25,858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92"/>
              </w:rPr>
              <w:t>47,555</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12,286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6,472</w:t>
            </w:r>
          </w:p>
        </w:tc>
      </w:tr>
      <w:tr>
        <w:trPr>
          <w:trHeight w:val="203"/>
        </w:trPr>
        <w:tc>
          <w:tcPr>
            <w:tcW w:w="32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Regulatory Capital Requirement</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1,615</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89"/>
              </w:rPr>
              <w:t>1,559</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84"/>
              </w:rPr>
              <w:t>386</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w w:val="92"/>
              </w:rPr>
              <w:t>17,515</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4,368</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6,472</w:t>
            </w:r>
          </w:p>
        </w:tc>
      </w:tr>
      <w:tr>
        <w:trPr>
          <w:trHeight w:val="201"/>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Excess Regulatory Capital</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20,222</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w w:val="99"/>
              </w:rPr>
              <w:t>41,227</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center"/>
              <w:ind w:right="15"/>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99"/>
              </w:rPr>
              <w:t>25,472</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7"/>
                <w:szCs w:val="17"/>
                <w:color w:val="auto"/>
                <w:w w:val="92"/>
              </w:rPr>
              <w:t>30,040</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7,918</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356"/>
        </w:trPr>
        <w:tc>
          <w:tcPr>
            <w:tcW w:w="3280" w:type="dxa"/>
            <w:vAlign w:val="bottom"/>
          </w:tcPr>
          <w:p>
            <w:pPr>
              <w:spacing w:after="0"/>
              <w:rPr>
                <w:sz w:val="20"/>
                <w:szCs w:val="20"/>
                <w:color w:val="auto"/>
              </w:rPr>
            </w:pPr>
            <w:r>
              <w:rPr>
                <w:rFonts w:ascii="Arial" w:cs="Arial" w:eastAsia="Arial" w:hAnsi="Arial"/>
                <w:sz w:val="14"/>
                <w:szCs w:val="14"/>
                <w:b w:val="1"/>
                <w:bCs w:val="1"/>
                <w:color w:val="auto"/>
              </w:rPr>
              <w:t>As of December 31, 2018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3"/>
          </w:tcPr>
          <w:p>
            <w:pPr>
              <w:jc w:val="right"/>
              <w:ind w:right="15"/>
              <w:spacing w:after="0"/>
              <w:rPr>
                <w:sz w:val="20"/>
                <w:szCs w:val="20"/>
                <w:color w:val="auto"/>
              </w:rPr>
            </w:pPr>
            <w:r>
              <w:rPr>
                <w:rFonts w:ascii="Arial" w:cs="Arial" w:eastAsia="Arial" w:hAnsi="Arial"/>
                <w:sz w:val="14"/>
                <w:szCs w:val="14"/>
                <w:b w:val="1"/>
                <w:bCs w:val="1"/>
                <w:color w:val="auto"/>
              </w:rPr>
              <w:t>TWL</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DW</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4"/>
          </w:tcPr>
          <w:p>
            <w:pPr>
              <w:ind w:left="180"/>
              <w:spacing w:after="0"/>
              <w:rPr>
                <w:sz w:val="20"/>
                <w:szCs w:val="20"/>
                <w:color w:val="auto"/>
              </w:rPr>
            </w:pPr>
            <w:r>
              <w:rPr>
                <w:rFonts w:ascii="Arial" w:cs="Arial" w:eastAsia="Arial" w:hAnsi="Arial"/>
                <w:sz w:val="14"/>
                <w:szCs w:val="14"/>
                <w:b w:val="1"/>
                <w:bCs w:val="1"/>
                <w:color w:val="auto"/>
              </w:rPr>
              <w:t>TWD</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TEL</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220"/>
              <w:spacing w:after="0"/>
              <w:rPr>
                <w:sz w:val="20"/>
                <w:szCs w:val="20"/>
                <w:color w:val="auto"/>
              </w:rPr>
            </w:pPr>
            <w:r>
              <w:rPr>
                <w:rFonts w:ascii="Arial" w:cs="Arial" w:eastAsia="Arial" w:hAnsi="Arial"/>
                <w:sz w:val="14"/>
                <w:szCs w:val="14"/>
                <w:b w:val="1"/>
                <w:bCs w:val="1"/>
                <w:color w:val="auto"/>
              </w:rPr>
              <w:t>TWJ</w:t>
            </w:r>
          </w:p>
        </w:tc>
      </w:tr>
      <w:tr>
        <w:trPr>
          <w:trHeight w:val="196"/>
        </w:trPr>
        <w:tc>
          <w:tcPr>
            <w:tcW w:w="3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Regulatory Capital</w:t>
            </w:r>
          </w:p>
        </w:tc>
        <w:tc>
          <w:tcPr>
            <w:tcW w:w="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88"/>
              </w:rPr>
              <w:t>18,986</w:t>
            </w: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41,164</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24,042</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8"/>
              </w:rPr>
              <w:t>46,157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10,592</w:t>
            </w:r>
          </w:p>
        </w:tc>
      </w:tr>
      <w:tr>
        <w:trPr>
          <w:trHeight w:val="203"/>
        </w:trPr>
        <w:tc>
          <w:tcPr>
            <w:tcW w:w="32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Regulatory Capital Requirement</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2,698</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1,803</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599</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17,493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3,413</w:t>
            </w:r>
          </w:p>
        </w:tc>
      </w:tr>
      <w:tr>
        <w:trPr>
          <w:trHeight w:val="201"/>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Excess Regulatory Capital</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88"/>
              </w:rPr>
              <w:t>16,288</w:t>
            </w: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39,361</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23,443</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8"/>
              </w:rPr>
              <w:t>28,664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7,179</w:t>
            </w:r>
          </w:p>
        </w:tc>
      </w:tr>
    </w:tbl>
    <w:p>
      <w:pPr>
        <w:spacing w:after="0" w:line="191" w:lineRule="exact"/>
        <w:rPr>
          <w:sz w:val="20"/>
          <w:szCs w:val="20"/>
          <w:color w:val="auto"/>
        </w:rPr>
      </w:pPr>
    </w:p>
    <w:p>
      <w:pPr>
        <w:ind w:left="2" w:right="100"/>
        <w:spacing w:after="0" w:line="261" w:lineRule="auto"/>
        <w:rPr>
          <w:sz w:val="20"/>
          <w:szCs w:val="20"/>
          <w:color w:val="auto"/>
        </w:rPr>
      </w:pPr>
      <w:r>
        <w:rPr>
          <w:rFonts w:ascii="Arial" w:cs="Arial" w:eastAsia="Arial" w:hAnsi="Arial"/>
          <w:sz w:val="17"/>
          <w:szCs w:val="17"/>
          <w:color w:val="auto"/>
        </w:rPr>
        <w:t>As SEFs, TW SEF and DW SEF are required to maintain adequate financial resources and liquid financial assets in accordance with CFTC regulations. The required and maintained financial resources and liquid financial assets at June 30, 2019 and December 31, 2018 are as follows (in thousands):</w:t>
      </w:r>
    </w:p>
    <w:p>
      <w:pPr>
        <w:spacing w:after="0" w:line="180" w:lineRule="exact"/>
        <w:rPr>
          <w:sz w:val="20"/>
          <w:szCs w:val="20"/>
          <w:color w:val="auto"/>
        </w:rPr>
      </w:pPr>
    </w:p>
    <w:tbl>
      <w:tblPr>
        <w:tblLayout w:type="fixed"/>
        <w:tblInd w:w="90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ind w:left="200"/>
              <w:spacing w:after="0"/>
              <w:rPr>
                <w:sz w:val="20"/>
                <w:szCs w:val="20"/>
                <w:color w:val="auto"/>
              </w:rPr>
            </w:pPr>
            <w:r>
              <w:rPr>
                <w:rFonts w:ascii="Arial" w:cs="Arial" w:eastAsia="Arial" w:hAnsi="Arial"/>
                <w:sz w:val="14"/>
                <w:szCs w:val="14"/>
                <w:b w:val="1"/>
                <w:bCs w:val="1"/>
                <w:color w:val="auto"/>
              </w:rPr>
              <w:t>As of June 30, 2019</w:t>
            </w:r>
          </w:p>
        </w:tc>
        <w:tc>
          <w:tcPr>
            <w:tcW w:w="100" w:type="dxa"/>
            <w:vAlign w:val="bottom"/>
          </w:tcPr>
          <w:p>
            <w:pPr>
              <w:spacing w:after="0"/>
              <w:rPr>
                <w:sz w:val="14"/>
                <w:szCs w:val="14"/>
                <w:color w:val="auto"/>
              </w:rPr>
            </w:pPr>
          </w:p>
        </w:tc>
        <w:tc>
          <w:tcPr>
            <w:tcW w:w="1660" w:type="dxa"/>
            <w:vAlign w:val="bottom"/>
            <w:gridSpan w:val="4"/>
          </w:tcPr>
          <w:p>
            <w:pPr>
              <w:jc w:val="right"/>
              <w:ind w:right="78"/>
              <w:spacing w:after="0"/>
              <w:rPr>
                <w:sz w:val="20"/>
                <w:szCs w:val="20"/>
                <w:color w:val="auto"/>
              </w:rPr>
            </w:pPr>
            <w:r>
              <w:rPr>
                <w:rFonts w:ascii="Arial" w:cs="Arial" w:eastAsia="Arial" w:hAnsi="Arial"/>
                <w:sz w:val="14"/>
                <w:szCs w:val="14"/>
                <w:b w:val="1"/>
                <w:bCs w:val="1"/>
                <w:color w:val="auto"/>
                <w:w w:val="89"/>
              </w:rPr>
              <w:t>As of December 31, 2018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40"/>
              <w:spacing w:after="0" w:line="133" w:lineRule="exact"/>
              <w:rPr>
                <w:sz w:val="20"/>
                <w:szCs w:val="20"/>
                <w:color w:val="auto"/>
              </w:rPr>
            </w:pPr>
            <w:r>
              <w:rPr>
                <w:rFonts w:ascii="Arial" w:cs="Arial" w:eastAsia="Arial" w:hAnsi="Arial"/>
                <w:sz w:val="14"/>
                <w:szCs w:val="14"/>
                <w:b w:val="1"/>
                <w:bCs w:val="1"/>
                <w:color w:val="auto"/>
                <w:w w:val="94"/>
              </w:rPr>
              <w:t>TW SEF</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58"/>
              <w:spacing w:after="0" w:line="133" w:lineRule="exact"/>
              <w:rPr>
                <w:sz w:val="20"/>
                <w:szCs w:val="20"/>
                <w:color w:val="auto"/>
              </w:rPr>
            </w:pPr>
            <w:r>
              <w:rPr>
                <w:rFonts w:ascii="Arial" w:cs="Arial" w:eastAsia="Arial" w:hAnsi="Arial"/>
                <w:sz w:val="14"/>
                <w:szCs w:val="14"/>
                <w:b w:val="1"/>
                <w:bCs w:val="1"/>
                <w:color w:val="auto"/>
                <w:w w:val="95"/>
              </w:rPr>
              <w:t>DW SEF</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ind w:left="40"/>
              <w:spacing w:after="0" w:line="133" w:lineRule="exact"/>
              <w:rPr>
                <w:sz w:val="20"/>
                <w:szCs w:val="20"/>
                <w:color w:val="auto"/>
              </w:rPr>
            </w:pPr>
            <w:r>
              <w:rPr>
                <w:rFonts w:ascii="Arial" w:cs="Arial" w:eastAsia="Arial" w:hAnsi="Arial"/>
                <w:sz w:val="14"/>
                <w:szCs w:val="14"/>
                <w:b w:val="1"/>
                <w:bCs w:val="1"/>
                <w:color w:val="auto"/>
              </w:rPr>
              <w:t>TW SEF</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58"/>
              <w:spacing w:after="0" w:line="133" w:lineRule="exact"/>
              <w:rPr>
                <w:sz w:val="20"/>
                <w:szCs w:val="20"/>
                <w:color w:val="auto"/>
              </w:rPr>
            </w:pPr>
            <w:r>
              <w:rPr>
                <w:rFonts w:ascii="Arial" w:cs="Arial" w:eastAsia="Arial" w:hAnsi="Arial"/>
                <w:sz w:val="14"/>
                <w:szCs w:val="14"/>
                <w:b w:val="1"/>
                <w:bCs w:val="1"/>
                <w:color w:val="auto"/>
                <w:w w:val="95"/>
              </w:rPr>
              <w:t>DW SEF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Financial Resources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30,137</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15,032</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31,232</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Required Financial Resources</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10,500</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5,589</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10,500</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Excess Financial Resources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19,637</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9,443</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20,732</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12,668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Liquid Financial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16,662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Required Liquid Financial Assets</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5,250</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2,795</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5,250</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Excess Liquid Financial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11,711</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5,924</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11,412</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9,303</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642" w:hanging="642"/>
        <w:spacing w:after="0"/>
        <w:tabs>
          <w:tab w:leader="none" w:pos="642"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Business Segment and Geographic Information</w:t>
      </w:r>
    </w:p>
    <w:p>
      <w:pPr>
        <w:spacing w:after="0" w:line="215" w:lineRule="exact"/>
        <w:rPr>
          <w:sz w:val="20"/>
          <w:szCs w:val="20"/>
          <w:color w:val="auto"/>
        </w:rPr>
      </w:pPr>
    </w:p>
    <w:p>
      <w:pPr>
        <w:ind w:left="2" w:right="20"/>
        <w:spacing w:after="0" w:line="257" w:lineRule="auto"/>
        <w:rPr>
          <w:sz w:val="20"/>
          <w:szCs w:val="20"/>
          <w:color w:val="auto"/>
        </w:rPr>
      </w:pPr>
      <w:r>
        <w:rPr>
          <w:rFonts w:ascii="Arial" w:cs="Arial" w:eastAsia="Arial" w:hAnsi="Arial"/>
          <w:sz w:val="17"/>
          <w:szCs w:val="17"/>
          <w:color w:val="auto"/>
        </w:rPr>
        <w:t>The Company operates electronic marketplaces for the trading of products across the rates, credit, equities and money markets asset classes and provides related pre-trade pricing and post-trade processing services. The Company’s operations constitute a single business segment because of the integrated nature of these marketplaces and services. Information regarding revenue by client sector is as follows (in thousands):</w:t>
      </w:r>
    </w:p>
    <w:p>
      <w:pPr>
        <w:spacing w:after="0" w:line="183" w:lineRule="exact"/>
        <w:rPr>
          <w:sz w:val="20"/>
          <w:szCs w:val="20"/>
          <w:color w:val="auto"/>
        </w:rPr>
      </w:pPr>
    </w:p>
    <w:tbl>
      <w:tblPr>
        <w:tblLayout w:type="fixed"/>
        <w:tblInd w:w="902" w:type="dxa"/>
        <w:tblCellMar>
          <w:top w:w="0" w:type="dxa"/>
          <w:left w:w="0" w:type="dxa"/>
          <w:bottom w:w="0" w:type="dxa"/>
          <w:right w:w="0" w:type="dxa"/>
        </w:tblCellMar>
      </w:tblPr>
      <w:tr>
        <w:trPr>
          <w:trHeight w:val="21"/>
        </w:trPr>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79"/>
              </w:rPr>
              <w:t>Successor</w:t>
            </w:r>
          </w:p>
        </w:tc>
        <w:tc>
          <w:tcPr>
            <w:tcW w:w="80" w:type="dxa"/>
            <w:vAlign w:val="bottom"/>
          </w:tcPr>
          <w:p>
            <w:pPr>
              <w:spacing w:after="0" w:line="20" w:lineRule="exact"/>
              <w:rPr>
                <w:sz w:val="1"/>
                <w:szCs w:val="1"/>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79"/>
              </w:rPr>
              <w:t>Successor</w:t>
            </w:r>
          </w:p>
        </w:tc>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3"/>
              </w:rPr>
              <w:t>Predecessor</w:t>
            </w:r>
          </w:p>
        </w:tc>
        <w:tc>
          <w:tcPr>
            <w:tcW w:w="80" w:type="dxa"/>
            <w:vAlign w:val="bottom"/>
          </w:tcPr>
          <w:p>
            <w:pPr>
              <w:spacing w:after="0" w:line="20" w:lineRule="exact"/>
              <w:rPr>
                <w:sz w:val="1"/>
                <w:szCs w:val="1"/>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line="20" w:lineRule="exact"/>
              <w:rPr>
                <w:sz w:val="1"/>
                <w:szCs w:val="1"/>
                <w:color w:val="auto"/>
              </w:rPr>
            </w:pPr>
          </w:p>
        </w:tc>
      </w:tr>
      <w:tr>
        <w:trPr>
          <w:trHeight w:val="140"/>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840" w:type="dxa"/>
            <w:vAlign w:val="bottom"/>
          </w:tcPr>
          <w:p>
            <w:pPr>
              <w:spacing w:after="0"/>
              <w:rPr>
                <w:sz w:val="9"/>
                <w:szCs w:val="9"/>
                <w:color w:val="auto"/>
              </w:rPr>
            </w:pPr>
          </w:p>
        </w:tc>
        <w:tc>
          <w:tcPr>
            <w:tcW w:w="960" w:type="dxa"/>
            <w:vAlign w:val="bottom"/>
            <w:tcBorders>
              <w:top w:val="single" w:sz="8" w:color="auto"/>
            </w:tcBorders>
            <w:gridSpan w:val="2"/>
          </w:tcPr>
          <w:p>
            <w:pPr>
              <w:jc w:val="center"/>
              <w:spacing w:after="0" w:line="113" w:lineRule="exact"/>
              <w:rPr>
                <w:sz w:val="20"/>
                <w:szCs w:val="20"/>
                <w:color w:val="auto"/>
              </w:rPr>
            </w:pPr>
            <w:r>
              <w:rPr>
                <w:rFonts w:ascii="Arial" w:cs="Arial" w:eastAsia="Arial" w:hAnsi="Arial"/>
                <w:sz w:val="12"/>
                <w:szCs w:val="12"/>
                <w:b w:val="1"/>
                <w:bCs w:val="1"/>
                <w:color w:val="auto"/>
              </w:rPr>
              <w:t>Three Months</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center"/>
              <w:ind w:right="21"/>
              <w:spacing w:after="0" w:line="113" w:lineRule="exact"/>
              <w:rPr>
                <w:sz w:val="20"/>
                <w:szCs w:val="20"/>
                <w:color w:val="auto"/>
              </w:rPr>
            </w:pPr>
            <w:r>
              <w:rPr>
                <w:rFonts w:ascii="Arial" w:cs="Arial" w:eastAsia="Arial" w:hAnsi="Arial"/>
                <w:sz w:val="12"/>
                <w:szCs w:val="12"/>
                <w:b w:val="1"/>
                <w:bCs w:val="1"/>
                <w:color w:val="auto"/>
              </w:rPr>
              <w:t>Six Months</w:t>
            </w:r>
          </w:p>
        </w:tc>
        <w:tc>
          <w:tcPr>
            <w:tcW w:w="12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Borders>
              <w:top w:val="single" w:sz="8" w:color="auto"/>
            </w:tcBorders>
            <w:gridSpan w:val="2"/>
          </w:tcPr>
          <w:p>
            <w:pPr>
              <w:jc w:val="center"/>
              <w:spacing w:after="0" w:line="113" w:lineRule="exact"/>
              <w:rPr>
                <w:sz w:val="20"/>
                <w:szCs w:val="20"/>
                <w:color w:val="auto"/>
              </w:rPr>
            </w:pPr>
            <w:r>
              <w:rPr>
                <w:rFonts w:ascii="Arial" w:cs="Arial" w:eastAsia="Arial" w:hAnsi="Arial"/>
                <w:sz w:val="12"/>
                <w:szCs w:val="12"/>
                <w:b w:val="1"/>
                <w:bCs w:val="1"/>
                <w:color w:val="auto"/>
              </w:rPr>
              <w:t>Three Months</w:t>
            </w: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center"/>
              <w:ind w:right="1"/>
              <w:spacing w:after="0" w:line="113" w:lineRule="exact"/>
              <w:rPr>
                <w:sz w:val="20"/>
                <w:szCs w:val="20"/>
                <w:color w:val="auto"/>
              </w:rPr>
            </w:pPr>
            <w:r>
              <w:rPr>
                <w:rFonts w:ascii="Arial" w:cs="Arial" w:eastAsia="Arial" w:hAnsi="Arial"/>
                <w:sz w:val="12"/>
                <w:szCs w:val="12"/>
                <w:b w:val="1"/>
                <w:bCs w:val="1"/>
                <w:color w:val="auto"/>
              </w:rPr>
              <w:t>Six Months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0"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84"/>
              </w:rPr>
              <w:t>Ended</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92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0"/>
        </w:trPr>
        <w:tc>
          <w:tcPr>
            <w:tcW w:w="2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June 30, 2019</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June 30, 2019</w:t>
            </w:r>
          </w:p>
        </w:tc>
        <w:tc>
          <w:tcPr>
            <w:tcW w:w="20" w:type="dxa"/>
            <w:vAlign w:val="bottom"/>
            <w:shd w:val="clear" w:color="auto" w:fill="000000"/>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June 30, 2018</w:t>
            </w:r>
          </w:p>
        </w:tc>
        <w:tc>
          <w:tcPr>
            <w:tcW w:w="80" w:type="dxa"/>
            <w:vAlign w:val="bottom"/>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June 30, 2018</w:t>
            </w:r>
          </w:p>
        </w:tc>
        <w:tc>
          <w:tcPr>
            <w:tcW w:w="0" w:type="dxa"/>
            <w:vAlign w:val="bottom"/>
          </w:tcPr>
          <w:p>
            <w:pPr>
              <w:spacing w:after="0"/>
              <w:rPr>
                <w:sz w:val="1"/>
                <w:szCs w:val="1"/>
                <w:color w:val="auto"/>
              </w:rPr>
            </w:pPr>
          </w:p>
        </w:tc>
      </w:tr>
      <w:tr>
        <w:trPr>
          <w:trHeight w:val="196"/>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revenue:</w:t>
            </w: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Pr>
          <w:p>
            <w:pPr>
              <w:ind w:left="100"/>
              <w:spacing w:after="0"/>
              <w:rPr>
                <w:sz w:val="20"/>
                <w:szCs w:val="20"/>
                <w:color w:val="auto"/>
              </w:rPr>
            </w:pPr>
            <w:r>
              <w:rPr>
                <w:rFonts w:ascii="Arial" w:cs="Arial" w:eastAsia="Arial" w:hAnsi="Arial"/>
                <w:sz w:val="17"/>
                <w:szCs w:val="17"/>
                <w:color w:val="auto"/>
              </w:rPr>
              <w:t>Institutional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111,057</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220,309</w:t>
            </w: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102,095</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204,415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Wholesale</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41,945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81,376</w:t>
            </w: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32,265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Pr>
          <w:p>
            <w:pPr>
              <w:ind w:left="100"/>
              <w:spacing w:after="0"/>
              <w:rPr>
                <w:sz w:val="20"/>
                <w:szCs w:val="20"/>
                <w:color w:val="auto"/>
              </w:rPr>
            </w:pPr>
            <w:r>
              <w:rPr>
                <w:rFonts w:ascii="Arial" w:cs="Arial" w:eastAsia="Arial" w:hAnsi="Arial"/>
                <w:sz w:val="17"/>
                <w:szCs w:val="17"/>
                <w:color w:val="auto"/>
              </w:rPr>
              <w:t>Retail</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19,939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41,145</w:t>
            </w: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20,918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39,954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Market Data</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17,544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34,447</w:t>
            </w: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15,737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Pr>
          <w:p>
            <w:pPr>
              <w:ind w:left="100"/>
              <w:spacing w:after="0"/>
              <w:rPr>
                <w:sz w:val="20"/>
                <w:szCs w:val="20"/>
                <w:color w:val="auto"/>
              </w:rPr>
            </w:pPr>
            <w:r>
              <w:rPr>
                <w:rFonts w:ascii="Arial" w:cs="Arial" w:eastAsia="Arial" w:hAnsi="Arial"/>
                <w:sz w:val="17"/>
                <w:szCs w:val="17"/>
                <w:color w:val="auto"/>
              </w:rPr>
              <w:t>Contingent consideration</w:t>
            </w:r>
          </w:p>
        </w:tc>
        <w:tc>
          <w:tcPr>
            <w:tcW w:w="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(19,297)</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(29,367)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revenue</w:t>
            </w: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190,485</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377,277</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151,718</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311,151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Operating expenses</w:t>
            </w: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159,530</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300,045</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111,556</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223,634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30,955</w:t>
            </w: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77,232</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40,162</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87,517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2" w:right="380"/>
        <w:spacing w:after="0" w:line="285" w:lineRule="auto"/>
        <w:rPr>
          <w:sz w:val="20"/>
          <w:szCs w:val="20"/>
          <w:color w:val="auto"/>
        </w:rPr>
      </w:pPr>
      <w:r>
        <w:rPr>
          <w:rFonts w:ascii="Arial" w:cs="Arial" w:eastAsia="Arial" w:hAnsi="Arial"/>
          <w:sz w:val="16"/>
          <w:szCs w:val="16"/>
          <w:color w:val="auto"/>
        </w:rPr>
        <w:t>The Company operates in the U.S. and internationally, primarily in Europe and Asia. Revenues are attributed to geographic area based on the jurisdiction where the underlying transactions take place. The results by geographic region are not meaningful in understanding the Company's business. Long-lived assets are attributed to the geographic area</w:t>
      </w:r>
    </w:p>
    <w:p>
      <w:pPr>
        <w:spacing w:after="0" w:line="361"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335915</wp:posOffset>
            </wp:positionV>
            <wp:extent cx="5753735" cy="24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2"/>
          </w:cols>
          <w:pgMar w:left="1418" w:top="127" w:right="1419" w:bottom="1440" w:gutter="0" w:footer="0" w:header="0"/>
        </w:sectPr>
      </w:pPr>
    </w:p>
    <w:bookmarkStart w:id="35" w:name="page36"/>
    <w:bookmarkEnd w:id="35"/>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left="2" w:right="219"/>
        <w:spacing w:after="0" w:line="305" w:lineRule="auto"/>
        <w:rPr>
          <w:sz w:val="20"/>
          <w:szCs w:val="20"/>
          <w:color w:val="auto"/>
        </w:rPr>
      </w:pPr>
      <w:r>
        <w:rPr>
          <w:rFonts w:ascii="Arial" w:cs="Arial" w:eastAsia="Arial" w:hAnsi="Arial"/>
          <w:sz w:val="16"/>
          <w:szCs w:val="16"/>
          <w:color w:val="auto"/>
        </w:rPr>
        <w:t>based on the location of the particular subsidiary. Information regarding revenue for the three and six months ended June 30, 2019 and 2018 and long-lived assets as of June 30, 2019 and December 31, 2018 is as follows (in thousands):</w:t>
      </w:r>
    </w:p>
    <w:p>
      <w:pPr>
        <w:spacing w:after="0" w:line="146" w:lineRule="exact"/>
        <w:rPr>
          <w:sz w:val="20"/>
          <w:szCs w:val="20"/>
          <w:color w:val="auto"/>
        </w:rPr>
      </w:pPr>
    </w:p>
    <w:tbl>
      <w:tblPr>
        <w:tblLayout w:type="fixed"/>
        <w:tblInd w:w="902" w:type="dxa"/>
        <w:tblCellMar>
          <w:top w:w="0" w:type="dxa"/>
          <w:left w:w="0" w:type="dxa"/>
          <w:bottom w:w="0" w:type="dxa"/>
          <w:right w:w="0" w:type="dxa"/>
        </w:tblCellMar>
      </w:tblPr>
      <w:tr>
        <w:trPr>
          <w:trHeight w:val="21"/>
        </w:trPr>
        <w:tc>
          <w:tcPr>
            <w:tcW w:w="2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79"/>
              </w:rPr>
              <w:t>Successor</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79"/>
              </w:rPr>
              <w:t>Successor</w:t>
            </w:r>
          </w:p>
        </w:tc>
        <w:tc>
          <w:tcPr>
            <w:tcW w:w="140" w:type="dxa"/>
            <w:vAlign w:val="bottom"/>
          </w:tcPr>
          <w:p>
            <w:pPr>
              <w:spacing w:after="0" w:line="20" w:lineRule="exact"/>
              <w:rPr>
                <w:sz w:val="1"/>
                <w:szCs w:val="1"/>
                <w:color w:val="auto"/>
              </w:rPr>
            </w:pPr>
          </w:p>
        </w:tc>
        <w:tc>
          <w:tcPr>
            <w:tcW w:w="104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83"/>
              </w:rPr>
              <w:t>Predecessor</w:t>
            </w:r>
          </w:p>
        </w:tc>
        <w:tc>
          <w:tcPr>
            <w:tcW w:w="100" w:type="dxa"/>
            <w:vAlign w:val="bottom"/>
          </w:tcPr>
          <w:p>
            <w:pPr>
              <w:spacing w:after="0" w:line="20" w:lineRule="exact"/>
              <w:rPr>
                <w:sz w:val="1"/>
                <w:szCs w:val="1"/>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line="20" w:lineRule="exact"/>
              <w:rPr>
                <w:sz w:val="1"/>
                <w:szCs w:val="1"/>
                <w:color w:val="auto"/>
              </w:rPr>
            </w:pPr>
          </w:p>
        </w:tc>
      </w:tr>
      <w:tr>
        <w:trPr>
          <w:trHeight w:val="140"/>
        </w:trPr>
        <w:tc>
          <w:tcPr>
            <w:tcW w:w="2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Borders>
              <w:left w:val="single" w:sz="8" w:color="auto"/>
            </w:tcBorders>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Borders>
              <w:top w:val="single" w:sz="8" w:color="auto"/>
            </w:tcBorders>
            <w:gridSpan w:val="2"/>
          </w:tcPr>
          <w:p>
            <w:pPr>
              <w:jc w:val="center"/>
              <w:spacing w:after="0" w:line="113" w:lineRule="exact"/>
              <w:rPr>
                <w:sz w:val="20"/>
                <w:szCs w:val="20"/>
                <w:color w:val="auto"/>
              </w:rPr>
            </w:pPr>
            <w:r>
              <w:rPr>
                <w:rFonts w:ascii="Arial" w:cs="Arial" w:eastAsia="Arial" w:hAnsi="Arial"/>
                <w:sz w:val="12"/>
                <w:szCs w:val="12"/>
                <w:b w:val="1"/>
                <w:bCs w:val="1"/>
                <w:color w:val="auto"/>
              </w:rPr>
              <w:t>Three Months</w:t>
            </w:r>
          </w:p>
        </w:tc>
        <w:tc>
          <w:tcPr>
            <w:tcW w:w="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1"/>
              <w:spacing w:after="0" w:line="113" w:lineRule="exact"/>
              <w:rPr>
                <w:sz w:val="20"/>
                <w:szCs w:val="20"/>
                <w:color w:val="auto"/>
              </w:rPr>
            </w:pPr>
            <w:r>
              <w:rPr>
                <w:rFonts w:ascii="Arial" w:cs="Arial" w:eastAsia="Arial" w:hAnsi="Arial"/>
                <w:sz w:val="12"/>
                <w:szCs w:val="12"/>
                <w:b w:val="1"/>
                <w:bCs w:val="1"/>
                <w:color w:val="auto"/>
              </w:rPr>
              <w:t>Six Months</w:t>
            </w:r>
          </w:p>
        </w:tc>
        <w:tc>
          <w:tcPr>
            <w:tcW w:w="160" w:type="dxa"/>
            <w:vAlign w:val="bottom"/>
          </w:tcPr>
          <w:p>
            <w:pPr>
              <w:spacing w:after="0"/>
              <w:rPr>
                <w:sz w:val="9"/>
                <w:szCs w:val="9"/>
                <w:color w:val="auto"/>
              </w:rPr>
            </w:pPr>
          </w:p>
        </w:tc>
        <w:tc>
          <w:tcPr>
            <w:tcW w:w="140" w:type="dxa"/>
            <w:vAlign w:val="bottom"/>
            <w:tcBorders>
              <w:left w:val="single" w:sz="8" w:color="auto"/>
            </w:tcBorders>
          </w:tcPr>
          <w:p>
            <w:pPr>
              <w:spacing w:after="0"/>
              <w:rPr>
                <w:sz w:val="9"/>
                <w:szCs w:val="9"/>
                <w:color w:val="auto"/>
              </w:rPr>
            </w:pPr>
          </w:p>
        </w:tc>
        <w:tc>
          <w:tcPr>
            <w:tcW w:w="900" w:type="dxa"/>
            <w:vAlign w:val="bottom"/>
            <w:tcBorders>
              <w:top w:val="single" w:sz="8" w:color="auto"/>
            </w:tcBorders>
            <w:gridSpan w:val="4"/>
          </w:tcPr>
          <w:p>
            <w:pPr>
              <w:jc w:val="center"/>
              <w:spacing w:after="0" w:line="113" w:lineRule="exact"/>
              <w:rPr>
                <w:sz w:val="20"/>
                <w:szCs w:val="20"/>
                <w:color w:val="auto"/>
              </w:rPr>
            </w:pPr>
            <w:r>
              <w:rPr>
                <w:rFonts w:ascii="Arial" w:cs="Arial" w:eastAsia="Arial" w:hAnsi="Arial"/>
                <w:sz w:val="12"/>
                <w:szCs w:val="12"/>
                <w:b w:val="1"/>
                <w:bCs w:val="1"/>
                <w:color w:val="auto"/>
              </w:rPr>
              <w:t>Three Months</w:t>
            </w: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Six Months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20"/>
              <w:spacing w:after="0" w:line="140"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40"/>
              <w:spacing w:after="0" w:line="140"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4"/>
          </w:tcPr>
          <w:p>
            <w:pPr>
              <w:jc w:val="center"/>
              <w:ind w:right="300"/>
              <w:spacing w:after="0" w:line="140"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0"/>
        </w:trPr>
        <w:tc>
          <w:tcPr>
            <w:tcW w:w="2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June 30, 2019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June 30, 2019</w:t>
            </w:r>
          </w:p>
        </w:tc>
        <w:tc>
          <w:tcPr>
            <w:tcW w:w="140" w:type="dxa"/>
            <w:vAlign w:val="bottom"/>
            <w:tcBorders>
              <w:left w:val="single" w:sz="8" w:color="auto"/>
            </w:tcBorders>
          </w:tcPr>
          <w:p>
            <w:pPr>
              <w:spacing w:after="0"/>
              <w:rPr>
                <w:sz w:val="13"/>
                <w:szCs w:val="13"/>
                <w:color w:val="auto"/>
              </w:rPr>
            </w:pPr>
          </w:p>
        </w:tc>
        <w:tc>
          <w:tcPr>
            <w:tcW w:w="10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June 30, 2018</w:t>
            </w: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 2018</w:t>
            </w:r>
          </w:p>
        </w:tc>
        <w:tc>
          <w:tcPr>
            <w:tcW w:w="0" w:type="dxa"/>
            <w:vAlign w:val="bottom"/>
          </w:tcPr>
          <w:p>
            <w:pPr>
              <w:spacing w:after="0"/>
              <w:rPr>
                <w:sz w:val="1"/>
                <w:szCs w:val="1"/>
                <w:color w:val="auto"/>
              </w:rPr>
            </w:pPr>
          </w:p>
        </w:tc>
      </w:tr>
      <w:tr>
        <w:trPr>
          <w:trHeight w:val="196"/>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Revenue:</w:t>
            </w: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left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100"/>
              <w:spacing w:after="0"/>
              <w:rPr>
                <w:sz w:val="20"/>
                <w:szCs w:val="20"/>
                <w:color w:val="auto"/>
              </w:rPr>
            </w:pPr>
            <w:r>
              <w:rPr>
                <w:rFonts w:ascii="Arial" w:cs="Arial" w:eastAsia="Arial" w:hAnsi="Arial"/>
                <w:sz w:val="17"/>
                <w:szCs w:val="17"/>
                <w:color w:val="auto"/>
              </w:rPr>
              <w:t>U.S.</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122,693</w:t>
            </w:r>
          </w:p>
        </w:tc>
        <w:tc>
          <w:tcPr>
            <w:tcW w:w="2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242,090</w:t>
            </w:r>
          </w:p>
        </w:tc>
        <w:tc>
          <w:tcPr>
            <w:tcW w:w="160" w:type="dxa"/>
            <w:vAlign w:val="bottom"/>
          </w:tcPr>
          <w:p>
            <w:pPr>
              <w:spacing w:after="0"/>
              <w:rPr>
                <w:sz w:val="17"/>
                <w:szCs w:val="17"/>
                <w:color w:val="auto"/>
              </w:rPr>
            </w:pPr>
          </w:p>
        </w:tc>
        <w:tc>
          <w:tcPr>
            <w:tcW w:w="300" w:type="dxa"/>
            <w:vAlign w:val="bottom"/>
            <w:tcBorders>
              <w:left w:val="single" w:sz="8" w:color="auto"/>
            </w:tcBorders>
            <w:gridSpan w:val="2"/>
          </w:tcPr>
          <w:p>
            <w:pPr>
              <w:jc w:val="right"/>
              <w:ind w:right="12"/>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109,540</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217,322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International</w:t>
            </w:r>
          </w:p>
        </w:tc>
        <w:tc>
          <w:tcPr>
            <w:tcW w:w="6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67,792</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135,187</w:t>
            </w:r>
          </w:p>
        </w:tc>
        <w:tc>
          <w:tcPr>
            <w:tcW w:w="160" w:type="dxa"/>
            <w:vAlign w:val="bottom"/>
            <w:shd w:val="clear" w:color="auto" w:fill="CCEEFF"/>
          </w:tcPr>
          <w:p>
            <w:pPr>
              <w:spacing w:after="0"/>
              <w:rPr>
                <w:sz w:val="17"/>
                <w:szCs w:val="17"/>
                <w:color w:val="auto"/>
              </w:rPr>
            </w:pPr>
          </w:p>
        </w:tc>
        <w:tc>
          <w:tcPr>
            <w:tcW w:w="140" w:type="dxa"/>
            <w:vAlign w:val="bottom"/>
            <w:tcBorders>
              <w:left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61,475</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123,196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80" w:type="dxa"/>
            <w:vAlign w:val="bottom"/>
          </w:tcPr>
          <w:p>
            <w:pPr>
              <w:ind w:left="200"/>
              <w:spacing w:after="0"/>
              <w:rPr>
                <w:sz w:val="20"/>
                <w:szCs w:val="20"/>
                <w:color w:val="auto"/>
              </w:rPr>
            </w:pPr>
            <w:r>
              <w:rPr>
                <w:rFonts w:ascii="Arial" w:cs="Arial" w:eastAsia="Arial" w:hAnsi="Arial"/>
                <w:sz w:val="17"/>
                <w:szCs w:val="17"/>
                <w:color w:val="auto"/>
              </w:rPr>
              <w:t>Gross revenue</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190,485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377,277</w:t>
            </w:r>
          </w:p>
        </w:tc>
        <w:tc>
          <w:tcPr>
            <w:tcW w:w="160" w:type="dxa"/>
            <w:vAlign w:val="bottom"/>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171,015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340,518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Contingent consideration</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lef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(19,297)</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80" w:type="dxa"/>
            <w:vAlign w:val="bottom"/>
          </w:tcPr>
          <w:p>
            <w:pPr>
              <w:spacing w:after="0"/>
              <w:rPr>
                <w:sz w:val="20"/>
                <w:szCs w:val="20"/>
                <w:color w:val="auto"/>
              </w:rPr>
            </w:pPr>
            <w:r>
              <w:rPr>
                <w:rFonts w:ascii="Arial" w:cs="Arial" w:eastAsia="Arial" w:hAnsi="Arial"/>
                <w:sz w:val="17"/>
                <w:szCs w:val="17"/>
                <w:color w:val="auto"/>
              </w:rPr>
              <w:t>Total</w:t>
            </w:r>
          </w:p>
        </w:tc>
        <w:tc>
          <w:tcPr>
            <w:tcW w:w="6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190,485</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377,277</w:t>
            </w:r>
          </w:p>
        </w:tc>
        <w:tc>
          <w:tcPr>
            <w:tcW w:w="160" w:type="dxa"/>
            <w:vAlign w:val="bottom"/>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151,718</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311,151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6"/>
        </w:trPr>
        <w:tc>
          <w:tcPr>
            <w:tcW w:w="2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w w:val="85"/>
              </w:rPr>
              <w:t>June 30, 2019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5"/>
          </w:tcPr>
          <w:p>
            <w:pPr>
              <w:ind w:left="18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96"/>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Long-lived assets</w:t>
            </w: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lef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100"/>
              <w:spacing w:after="0"/>
              <w:rPr>
                <w:sz w:val="20"/>
                <w:szCs w:val="20"/>
                <w:color w:val="auto"/>
              </w:rPr>
            </w:pPr>
            <w:r>
              <w:rPr>
                <w:rFonts w:ascii="Arial" w:cs="Arial" w:eastAsia="Arial" w:hAnsi="Arial"/>
                <w:sz w:val="17"/>
                <w:szCs w:val="17"/>
                <w:color w:val="auto"/>
              </w:rPr>
              <w:t>U.S.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7"/>
                <w:szCs w:val="17"/>
                <w:color w:val="auto"/>
              </w:rPr>
            </w:pPr>
          </w:p>
        </w:tc>
        <w:tc>
          <w:tcPr>
            <w:tcW w:w="1240" w:type="dxa"/>
            <w:vAlign w:val="bottom"/>
            <w:gridSpan w:val="4"/>
          </w:tcPr>
          <w:p>
            <w:pPr>
              <w:jc w:val="right"/>
              <w:spacing w:after="0"/>
              <w:rPr>
                <w:sz w:val="20"/>
                <w:szCs w:val="20"/>
                <w:color w:val="auto"/>
              </w:rPr>
            </w:pPr>
            <w:r>
              <w:rPr>
                <w:rFonts w:ascii="Arial" w:cs="Arial" w:eastAsia="Arial" w:hAnsi="Arial"/>
                <w:sz w:val="17"/>
                <w:szCs w:val="17"/>
                <w:color w:val="auto"/>
              </w:rPr>
              <w:t>4,251,030</w:t>
            </w:r>
          </w:p>
        </w:tc>
        <w:tc>
          <w:tcPr>
            <w:tcW w:w="740" w:type="dxa"/>
            <w:vAlign w:val="bottom"/>
            <w:gridSpan w:val="3"/>
          </w:tcPr>
          <w:p>
            <w:pPr>
              <w:jc w:val="center"/>
              <w:ind w:right="69"/>
              <w:spacing w:after="0"/>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5"/>
              </w:rPr>
              <w:t>4,276,568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International</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13,413</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80" w:type="dxa"/>
            <w:vAlign w:val="bottom"/>
          </w:tcPr>
          <w:p>
            <w:pPr>
              <w:spacing w:after="0"/>
              <w:rPr>
                <w:sz w:val="20"/>
                <w:szCs w:val="20"/>
                <w:color w:val="auto"/>
              </w:rPr>
            </w:pPr>
            <w:r>
              <w:rPr>
                <w:rFonts w:ascii="Arial" w:cs="Arial" w:eastAsia="Arial" w:hAnsi="Arial"/>
                <w:sz w:val="17"/>
                <w:szCs w:val="17"/>
                <w:color w:val="auto"/>
              </w:rPr>
              <w:t>Total</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4,264,443</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center"/>
              <w:ind w:right="329"/>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4,284,355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642" w:hanging="642"/>
        <w:spacing w:after="0"/>
        <w:tabs>
          <w:tab w:leader="none" w:pos="642"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215" w:lineRule="exact"/>
        <w:rPr>
          <w:sz w:val="20"/>
          <w:szCs w:val="20"/>
          <w:color w:val="auto"/>
        </w:rPr>
      </w:pPr>
    </w:p>
    <w:p>
      <w:pPr>
        <w:ind w:left="2" w:right="19"/>
        <w:spacing w:after="0" w:line="302" w:lineRule="auto"/>
        <w:rPr>
          <w:sz w:val="20"/>
          <w:szCs w:val="20"/>
          <w:color w:val="auto"/>
        </w:rPr>
      </w:pPr>
      <w:r>
        <w:rPr>
          <w:rFonts w:ascii="Arial" w:cs="Arial" w:eastAsia="Arial" w:hAnsi="Arial"/>
          <w:sz w:val="15"/>
          <w:szCs w:val="15"/>
          <w:color w:val="auto"/>
        </w:rPr>
        <w:t>On August 1, 2019, London Stock Exchange Group plc announced that it has agreed definitive terms with a consortium including certain investment funds affiliated with Blackstone as well as Thomson Reuters to acquire Refinitiv in an all share transaction for a total enterprise value of approximately $27 billion. The transaction is subject to customary regulatory and shareholder approvals, and is expected to close during the second half of 2020. Refinitiv currently holds a 54% economic interest in the Company.</w:t>
      </w:r>
    </w:p>
    <w:p>
      <w:pPr>
        <w:spacing w:after="0" w:line="148" w:lineRule="exact"/>
        <w:rPr>
          <w:sz w:val="20"/>
          <w:szCs w:val="20"/>
          <w:color w:val="auto"/>
        </w:rPr>
      </w:pPr>
    </w:p>
    <w:p>
      <w:pPr>
        <w:jc w:val="both"/>
        <w:ind w:left="2" w:right="59"/>
        <w:spacing w:after="0" w:line="261" w:lineRule="auto"/>
        <w:rPr>
          <w:sz w:val="20"/>
          <w:szCs w:val="20"/>
          <w:color w:val="auto"/>
        </w:rPr>
      </w:pPr>
      <w:r>
        <w:rPr>
          <w:rFonts w:ascii="Arial" w:cs="Arial" w:eastAsia="Arial" w:hAnsi="Arial"/>
          <w:sz w:val="17"/>
          <w:szCs w:val="17"/>
          <w:color w:val="auto"/>
        </w:rPr>
        <w:t>On August 7, 2019, the board of directors of Tradeweb Markets Inc. declared a cash dividend of $0.08 per share of Class A common stock and Class B common stock for the third quarter of 2019. This dividend will be payable on September 16, 2019 to stockholders of record as of September 3, 2019.</w:t>
      </w:r>
    </w:p>
    <w:p>
      <w:pPr>
        <w:spacing w:after="0" w:line="176" w:lineRule="exact"/>
        <w:rPr>
          <w:sz w:val="20"/>
          <w:szCs w:val="20"/>
          <w:color w:val="auto"/>
        </w:rPr>
      </w:pPr>
    </w:p>
    <w:p>
      <w:pPr>
        <w:ind w:left="2" w:right="619"/>
        <w:spacing w:after="0" w:line="341" w:lineRule="auto"/>
        <w:rPr>
          <w:sz w:val="20"/>
          <w:szCs w:val="20"/>
          <w:color w:val="auto"/>
        </w:rPr>
      </w:pPr>
      <w:r>
        <w:rPr>
          <w:rFonts w:ascii="Arial" w:cs="Arial" w:eastAsia="Arial" w:hAnsi="Arial"/>
          <w:sz w:val="15"/>
          <w:szCs w:val="15"/>
          <w:color w:val="auto"/>
        </w:rPr>
        <w:t>On August 6, 2019, Tradeweb Markets Inc., as the sole manager, approved a distribution by TWM LLC to its equityholders, including Tradeweb Markets Inc., in an aggregate amount of $33.0 million payable on September 13, 2019.</w:t>
      </w:r>
    </w:p>
    <w:p>
      <w:pPr>
        <w:spacing w:after="0" w:line="323" w:lineRule="exact"/>
        <w:rPr>
          <w:sz w:val="20"/>
          <w:szCs w:val="20"/>
          <w:color w:val="auto"/>
        </w:rPr>
      </w:pPr>
    </w:p>
    <w:p>
      <w:pPr>
        <w:jc w:val="center"/>
        <w:ind w:right="-22"/>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335915</wp:posOffset>
            </wp:positionV>
            <wp:extent cx="5753735" cy="24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42"/>
          </w:cols>
          <w:pgMar w:left="1418" w:top="127" w:right="1440" w:bottom="1440" w:gutter="0" w:footer="0" w:header="0"/>
        </w:sectPr>
      </w:pPr>
    </w:p>
    <w:bookmarkStart w:id="36" w:name="page37"/>
    <w:bookmarkEnd w:id="3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2" w:lineRule="exact"/>
        <w:rPr>
          <w:sz w:val="20"/>
          <w:szCs w:val="20"/>
          <w:color w:val="auto"/>
        </w:rPr>
      </w:pPr>
    </w:p>
    <w:p>
      <w:pPr>
        <w:ind w:right="580"/>
        <w:spacing w:after="0" w:line="278" w:lineRule="auto"/>
        <w:rPr>
          <w:sz w:val="20"/>
          <w:szCs w:val="20"/>
          <w:color w:val="auto"/>
        </w:rPr>
      </w:pPr>
      <w:r>
        <w:rPr>
          <w:rFonts w:ascii="Arial" w:cs="Arial" w:eastAsia="Arial" w:hAnsi="Arial"/>
          <w:sz w:val="17"/>
          <w:szCs w:val="17"/>
          <w:b w:val="1"/>
          <w:bCs w:val="1"/>
          <w:color w:val="auto"/>
        </w:rPr>
        <w:t>ITEM 2. — MANAGEMENT’S DISCUSSION AND ANALYSIS OF FINANCIAL CONDITION AND RESULTS OF OPERATIONS</w:t>
      </w:r>
    </w:p>
    <w:p>
      <w:pPr>
        <w:spacing w:after="0" w:line="161" w:lineRule="exact"/>
        <w:rPr>
          <w:sz w:val="20"/>
          <w:szCs w:val="20"/>
          <w:color w:val="auto"/>
        </w:rPr>
      </w:pPr>
    </w:p>
    <w:p>
      <w:pPr>
        <w:ind w:firstLine="305"/>
        <w:spacing w:after="0" w:line="205" w:lineRule="exact"/>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related notes included elsewhere in this Quarterly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Q.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 titled “Cautionary Note Regarding Forward-Looking Statements” included elsewhere in this Quarterly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Q.</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5" w:lineRule="exact"/>
        <w:rPr>
          <w:sz w:val="20"/>
          <w:szCs w:val="20"/>
          <w:color w:val="auto"/>
        </w:rPr>
      </w:pPr>
    </w:p>
    <w:p>
      <w:pPr>
        <w:ind w:firstLine="305"/>
        <w:spacing w:after="0" w:line="291" w:lineRule="auto"/>
        <w:rPr>
          <w:sz w:val="20"/>
          <w:szCs w:val="20"/>
          <w:color w:val="auto"/>
        </w:rPr>
      </w:pPr>
      <w:r>
        <w:rPr>
          <w:rFonts w:ascii="Arial" w:cs="Arial" w:eastAsia="Arial" w:hAnsi="Arial"/>
          <w:sz w:val="15"/>
          <w:szCs w:val="15"/>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money markets and equities. We are a global company serving clients in 69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57" w:lineRule="exact"/>
        <w:rPr>
          <w:sz w:val="20"/>
          <w:szCs w:val="20"/>
          <w:color w:val="auto"/>
        </w:rPr>
      </w:pPr>
    </w:p>
    <w:p>
      <w:pPr>
        <w:ind w:right="280" w:firstLine="305"/>
        <w:spacing w:after="0" w:line="257" w:lineRule="auto"/>
        <w:rPr>
          <w:sz w:val="20"/>
          <w:szCs w:val="20"/>
          <w:color w:val="auto"/>
        </w:rPr>
      </w:pPr>
      <w:r>
        <w:rPr>
          <w:rFonts w:ascii="Arial" w:cs="Arial" w:eastAsia="Arial" w:hAnsi="Arial"/>
          <w:sz w:val="17"/>
          <w:szCs w:val="17"/>
          <w:color w:val="auto"/>
        </w:rPr>
        <w:t>Our institutional client sector serves institutional investors in 37 markets across 24 currencies, and in 69 countries around the globe.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79" w:lineRule="exact"/>
        <w:rPr>
          <w:sz w:val="20"/>
          <w:szCs w:val="20"/>
          <w:color w:val="auto"/>
        </w:rPr>
      </w:pPr>
    </w:p>
    <w:p>
      <w:pPr>
        <w:ind w:right="160" w:firstLine="305"/>
        <w:spacing w:after="0" w:line="255" w:lineRule="auto"/>
        <w:rPr>
          <w:sz w:val="20"/>
          <w:szCs w:val="20"/>
          <w:color w:val="auto"/>
        </w:rPr>
      </w:pPr>
      <w:r>
        <w:rPr>
          <w:rFonts w:ascii="Arial" w:cs="Arial" w:eastAsia="Arial" w:hAnsi="Arial"/>
          <w:sz w:val="17"/>
          <w:szCs w:val="17"/>
          <w:color w:val="auto"/>
        </w:rPr>
        <w:t>In our wholesale client sector, we provide a broad range of electronic, voice and hybrid platforms to more than 300 dealers and financial institutions with more than 90 actively trading on our electronic or hybrid markets with our Dealerweb platform. This platform was launched in 2008 following the acquisition of inter-dealer broker Hilliard Farber &amp; Co., Inc. In 2011, we acquired the brokerage assets of Rafferty Capital Markets. Today, Dealerweb actively competes across a range of rates, credit, derivatives and equity markets.</w:t>
      </w:r>
    </w:p>
    <w:p>
      <w:pPr>
        <w:spacing w:after="0" w:line="182" w:lineRule="exact"/>
        <w:rPr>
          <w:sz w:val="20"/>
          <w:szCs w:val="20"/>
          <w:color w:val="auto"/>
        </w:rPr>
      </w:pPr>
    </w:p>
    <w:p>
      <w:pPr>
        <w:ind w:right="160" w:firstLine="305"/>
        <w:spacing w:after="0" w:line="302" w:lineRule="auto"/>
        <w:rPr>
          <w:sz w:val="20"/>
          <w:szCs w:val="20"/>
          <w:color w:val="auto"/>
        </w:rPr>
      </w:pPr>
      <w:r>
        <w:rPr>
          <w:rFonts w:ascii="Arial" w:cs="Arial" w:eastAsia="Arial" w:hAnsi="Arial"/>
          <w:sz w:val="15"/>
          <w:szCs w:val="15"/>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148" w:lineRule="exact"/>
        <w:rPr>
          <w:sz w:val="20"/>
          <w:szCs w:val="20"/>
          <w:color w:val="auto"/>
        </w:rPr>
      </w:pPr>
    </w:p>
    <w:p>
      <w:pPr>
        <w:ind w:right="20" w:firstLine="305"/>
        <w:spacing w:after="0" w:line="253" w:lineRule="auto"/>
        <w:rPr>
          <w:sz w:val="20"/>
          <w:szCs w:val="20"/>
          <w:color w:val="auto"/>
        </w:rPr>
      </w:pPr>
      <w:r>
        <w:rPr>
          <w:rFonts w:ascii="Arial" w:cs="Arial" w:eastAsia="Arial" w:hAnsi="Arial"/>
          <w:sz w:val="17"/>
          <w:szCs w:val="17"/>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7" w:name="page38"/>
    <w:bookmarkEnd w:id="3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Trends and Other Factors Impacting Our Performance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Economic Environment</w:t>
      </w:r>
    </w:p>
    <w:p>
      <w:pPr>
        <w:spacing w:after="0" w:line="211" w:lineRule="exact"/>
        <w:rPr>
          <w:sz w:val="20"/>
          <w:szCs w:val="20"/>
          <w:color w:val="auto"/>
        </w:rPr>
      </w:pPr>
    </w:p>
    <w:p>
      <w:pPr>
        <w:ind w:right="60" w:firstLine="305"/>
        <w:spacing w:after="0" w:line="257" w:lineRule="auto"/>
        <w:rPr>
          <w:sz w:val="20"/>
          <w:szCs w:val="20"/>
          <w:color w:val="auto"/>
        </w:rPr>
      </w:pPr>
      <w:r>
        <w:rPr>
          <w:rFonts w:ascii="Arial" w:cs="Arial" w:eastAsia="Arial" w:hAnsi="Arial"/>
          <w:sz w:val="17"/>
          <w:szCs w:val="17"/>
          <w:color w:val="auto"/>
        </w:rPr>
        <w:t>Our business is impacted by the overall market activity and, in particular, trading volumes and market volatility. Lower volatility is correlated to lower liquidity, which may result in lower trading volume for our clients and may negatively impact our operating performance. As a result, our business is sensitive to slow trading environments and the continuity of conservative monetary policies of central banks internationally, which tend to lessen volatility.</w:t>
      </w:r>
    </w:p>
    <w:p>
      <w:pPr>
        <w:spacing w:after="0" w:line="179" w:lineRule="exact"/>
        <w:rPr>
          <w:sz w:val="20"/>
          <w:szCs w:val="20"/>
          <w:color w:val="auto"/>
        </w:rPr>
      </w:pPr>
    </w:p>
    <w:p>
      <w:pPr>
        <w:ind w:right="100" w:firstLine="305"/>
        <w:spacing w:after="0" w:line="312" w:lineRule="auto"/>
        <w:rPr>
          <w:sz w:val="20"/>
          <w:szCs w:val="20"/>
          <w:color w:val="auto"/>
        </w:rPr>
      </w:pPr>
      <w:r>
        <w:rPr>
          <w:rFonts w:ascii="Arial" w:cs="Arial" w:eastAsia="Arial" w:hAnsi="Arial"/>
          <w:sz w:val="15"/>
          <w:szCs w:val="15"/>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Environment</w:t>
      </w:r>
    </w:p>
    <w:p>
      <w:pPr>
        <w:spacing w:after="0" w:line="211" w:lineRule="exact"/>
        <w:rPr>
          <w:sz w:val="20"/>
          <w:szCs w:val="20"/>
          <w:color w:val="auto"/>
        </w:rPr>
      </w:pPr>
    </w:p>
    <w:p>
      <w:pPr>
        <w:ind w:firstLine="305"/>
        <w:spacing w:after="0" w:line="286" w:lineRule="auto"/>
        <w:rPr>
          <w:sz w:val="20"/>
          <w:szCs w:val="20"/>
          <w:color w:val="auto"/>
        </w:rPr>
      </w:pPr>
      <w:r>
        <w:rPr>
          <w:rFonts w:ascii="Arial" w:cs="Arial" w:eastAsia="Arial" w:hAnsi="Arial"/>
          <w:sz w:val="15"/>
          <w:szCs w:val="15"/>
          <w:color w:val="auto"/>
        </w:rPr>
        <w:t>Our business is subject to extensive regulations in the United States and internationally, which may expose us to significant regulatory risk and cause additional legal costs to ensure compliance. The existing legal framework that governs the financial markets is periodically reviewed and amended, resulting in enforcement of new laws and regulations that apply to our business. The current regulatory environment in the United States may be subject to future legislative changes driven by the current presidential administration. The impact of any reform efforts on us and our operations remains uncertain. In addition, as a result of the referendum in favor of the United Kingdom’s withdrawal from the European Union (“Brexit”) in June 2016, which is currently scheduled to occur on October 31, 2019, we have incurred additional costs to address the potential effects of Brexit, including costs associated with establishing a new regulated subsidiary in the Netherlands.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 For example, our 2018 revenue increased due in part to increased trading volumes as a result of, and the introduction of our new Approved Publication Arrangement (“APA”) service in connection with, the implementation of Markets in Financial Instruments Directive II (“MiFID II”) in January 2018.</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Competitive Environment</w:t>
      </w:r>
    </w:p>
    <w:p>
      <w:pPr>
        <w:spacing w:after="0" w:line="211" w:lineRule="exact"/>
        <w:rPr>
          <w:sz w:val="20"/>
          <w:szCs w:val="20"/>
          <w:color w:val="auto"/>
        </w:rPr>
      </w:pPr>
    </w:p>
    <w:p>
      <w:pPr>
        <w:ind w:right="40" w:firstLine="305"/>
        <w:spacing w:after="0" w:line="269" w:lineRule="auto"/>
        <w:rPr>
          <w:sz w:val="20"/>
          <w:szCs w:val="20"/>
          <w:color w:val="auto"/>
        </w:rPr>
      </w:pPr>
      <w:r>
        <w:rPr>
          <w:rFonts w:ascii="Arial" w:cs="Arial" w:eastAsia="Arial" w:hAnsi="Arial"/>
          <w:sz w:val="16"/>
          <w:szCs w:val="16"/>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Technology and Cybersecurity Environment</w:t>
      </w:r>
    </w:p>
    <w:p>
      <w:pPr>
        <w:spacing w:after="0" w:line="211" w:lineRule="exact"/>
        <w:rPr>
          <w:sz w:val="20"/>
          <w:szCs w:val="20"/>
          <w:color w:val="auto"/>
        </w:rPr>
      </w:pPr>
    </w:p>
    <w:p>
      <w:pPr>
        <w:ind w:right="380" w:firstLine="305"/>
        <w:spacing w:after="0" w:line="305" w:lineRule="auto"/>
        <w:rPr>
          <w:sz w:val="20"/>
          <w:szCs w:val="20"/>
          <w:color w:val="auto"/>
        </w:rPr>
      </w:pPr>
      <w:r>
        <w:rPr>
          <w:rFonts w:ascii="Arial" w:cs="Arial" w:eastAsia="Arial" w:hAnsi="Arial"/>
          <w:sz w:val="16"/>
          <w:szCs w:val="16"/>
          <w:color w:val="auto"/>
        </w:rPr>
        <w:t>Our business and its success are largely impacted by the introduction of increasingly complex and sophisticated technology, systems and infrastructures and new business models. Offering specialized trading venues and solutions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80"/>
          </w:cols>
          <w:pgMar w:left="1420" w:top="127" w:right="1399" w:bottom="1440" w:gutter="0" w:footer="0" w:header="0"/>
        </w:sectPr>
      </w:pPr>
    </w:p>
    <w:bookmarkStart w:id="38" w:name="page39"/>
    <w:bookmarkEnd w:id="3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color w:val="auto"/>
        </w:rPr>
        <w:t>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by utilizing technological advances and emerging industry standards and practices in an effective and efficient way. We plan to continue to focus on technology infrastructure initiatives and continually improve our platforms and solutions to further enhance our market position. We experience cyber-threats and attempted security breaches. If these were successful, these cyber security incidents could impact revenue and operating income and increase costs. We therefore continue to make investments, which may result in increased costs, to strengthen our cybersecurity measures.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Rate Environment</w:t>
      </w:r>
    </w:p>
    <w:p>
      <w:pPr>
        <w:spacing w:after="0" w:line="211" w:lineRule="exact"/>
        <w:rPr>
          <w:sz w:val="20"/>
          <w:szCs w:val="20"/>
          <w:color w:val="auto"/>
        </w:rPr>
      </w:pPr>
    </w:p>
    <w:p>
      <w:pPr>
        <w:ind w:right="20" w:firstLine="305"/>
        <w:spacing w:after="0" w:line="205" w:lineRule="exact"/>
        <w:rPr>
          <w:sz w:val="20"/>
          <w:szCs w:val="20"/>
          <w:color w:val="auto"/>
        </w:rPr>
      </w:pPr>
      <w:r>
        <w:rPr>
          <w:rFonts w:ascii="Arial" w:cs="Arial" w:eastAsia="Arial" w:hAnsi="Arial"/>
          <w:sz w:val="15"/>
          <w:szCs w:val="15"/>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“Quantitative and Qualitative Disclosures About Market Risk— Foreign Currency and Derivative Risk” elsewhere in this Quarterly Report on Form 10</w:t>
      </w:r>
      <w:r>
        <w:rPr>
          <w:rFonts w:ascii="MS PGothic" w:cs="MS PGothic" w:eastAsia="MS PGothic" w:hAnsi="MS PGothic"/>
          <w:sz w:val="15"/>
          <w:szCs w:val="15"/>
          <w:color w:val="auto"/>
        </w:rPr>
        <w:t>‑</w:t>
      </w:r>
      <w:r>
        <w:rPr>
          <w:rFonts w:ascii="Arial" w:cs="Arial" w:eastAsia="Arial" w:hAnsi="Arial"/>
          <w:sz w:val="15"/>
          <w:szCs w:val="15"/>
          <w:color w:val="auto"/>
        </w:rPr>
        <w:t>Q.</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Pushdown Accounting on our Financial Statements</w:t>
      </w:r>
    </w:p>
    <w:p>
      <w:pPr>
        <w:spacing w:after="0" w:line="215" w:lineRule="exact"/>
        <w:rPr>
          <w:sz w:val="20"/>
          <w:szCs w:val="20"/>
          <w:color w:val="auto"/>
        </w:rPr>
      </w:pPr>
    </w:p>
    <w:p>
      <w:pPr>
        <w:ind w:right="60" w:firstLine="305"/>
        <w:spacing w:after="0" w:line="204" w:lineRule="exact"/>
        <w:rPr>
          <w:sz w:val="20"/>
          <w:szCs w:val="20"/>
          <w:color w:val="auto"/>
        </w:rPr>
      </w:pPr>
      <w:r>
        <w:rPr>
          <w:rFonts w:ascii="Arial" w:cs="Arial" w:eastAsia="Arial" w:hAnsi="Arial"/>
          <w:sz w:val="16"/>
          <w:szCs w:val="16"/>
          <w:color w:val="auto"/>
        </w:rPr>
        <w:t>As a result of the Refinitiv Transaction, and the application of pushdown accounting, our assets and liabilities were adjusted to their estimated fair values as of October 1, 2018, the closing date of the Refinitiv Transaction. These adjusted valuations resulted in an increase in depreciation and amortization expense, due to the increased carrying value of our assets and the related increase in depreciation of tangible assets and amortization of our intangible assets, and a decrease in occupancy expense as a result of the recognition of a leasehold interest liability. Additionally, the excess of the portion of the total purchase price of the Refinitiv Transaction attributable to the purchase of our assets and liabilities over their estimated fair value as of the closing date of the Refinitiv Transaction was allocated to goodwill. Goodwill is subject to annual impairment testing. Amounts allocated to intangible assets with definite lives are subject to amortization over the estimated useful life of the asset. See Note 3 – Pushdown Accounting to our unaudited consolidated financial statements included elsewhere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and “— Critical Accounting Policies and Estimates — Pushdown Accounting.”</w:t>
      </w:r>
    </w:p>
    <w:p>
      <w:pPr>
        <w:spacing w:after="0" w:line="197" w:lineRule="exact"/>
        <w:rPr>
          <w:sz w:val="20"/>
          <w:szCs w:val="20"/>
          <w:color w:val="auto"/>
        </w:rPr>
      </w:pPr>
    </w:p>
    <w:p>
      <w:pPr>
        <w:ind w:firstLine="305"/>
        <w:spacing w:after="0" w:line="270" w:lineRule="auto"/>
        <w:rPr>
          <w:sz w:val="20"/>
          <w:szCs w:val="20"/>
          <w:color w:val="auto"/>
        </w:rPr>
      </w:pPr>
      <w:r>
        <w:rPr>
          <w:rFonts w:ascii="Arial" w:cs="Arial" w:eastAsia="Arial" w:hAnsi="Arial"/>
          <w:sz w:val="16"/>
          <w:szCs w:val="16"/>
          <w:color w:val="auto"/>
        </w:rPr>
        <w:t>Due to the change in the basis of accounting resulting from the application of pushdown accounting, the financial information for the period beginning on October 1, 2018, and through and including June 30, 2019, which we refer to as the “Successor period,” and the financial information for the periods prior to, and including, September 30, 2018, which we refer to as the “Predecessor period,” are not necessarily comparable. As discussed above, the new basis of accounting primarily impacted the values of our long-lived and indefinite-lived intangible assets and resulted in increased depreciation and amortization expense and decreased occupancy expense. However, the change in basis resulting from the Refinitiv Transaction and the application of pushdown accounting did not impact revenues, employee compensation and benefits expense, general and administrative expense, technology and communications expense or professional fees. For all other metrics, to the extent that the change in basis had a material impact on our results, we have disclosed such impact under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Taxation and Public Company Expenses</w:t>
      </w:r>
    </w:p>
    <w:p>
      <w:pPr>
        <w:spacing w:after="0" w:line="215" w:lineRule="exact"/>
        <w:rPr>
          <w:sz w:val="20"/>
          <w:szCs w:val="20"/>
          <w:color w:val="auto"/>
        </w:rPr>
      </w:pPr>
    </w:p>
    <w:p>
      <w:pPr>
        <w:jc w:val="both"/>
        <w:ind w:right="40" w:firstLine="305"/>
        <w:spacing w:after="0" w:line="255" w:lineRule="auto"/>
        <w:rPr>
          <w:sz w:val="20"/>
          <w:szCs w:val="20"/>
          <w:color w:val="auto"/>
        </w:rPr>
      </w:pPr>
      <w:r>
        <w:rPr>
          <w:rFonts w:ascii="Arial" w:cs="Arial" w:eastAsia="Arial" w:hAnsi="Arial"/>
          <w:sz w:val="17"/>
          <w:szCs w:val="17"/>
          <w:color w:val="auto"/>
        </w:rPr>
        <w:t>In connection with the Reorganization Transactions, we became the sole manager of TWM LLC. As a result, beginning with the second quarter of 2019, we are subject to U.S. federal, state and local income taxes with respect to our allocable share of any taxable income of TWM LLC and are taxed at prevailing corporate tax rates. Our actual effective tax rate is impacted by our ownership share of Tradeweb Markets LLC, which will increase over time as the Continuing LLC Owners redeem or exchange their LLC Interests for shares of Class A common stock or Class B</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80"/>
          </w:cols>
          <w:pgMar w:left="1420" w:top="127" w:right="1399" w:bottom="1440" w:gutter="0" w:footer="0" w:header="0"/>
        </w:sectPr>
      </w:pPr>
    </w:p>
    <w:bookmarkStart w:id="39" w:name="page40"/>
    <w:bookmarkEnd w:id="3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common stock, as applicable. In addition to tax expenses, we also incur expenses related to our operations. Furthermore, in connection with the IPO, we entered into the Tax Receivable Agreement pursuant to which we will make payments that we expect to be significant. We intend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82" w:lineRule="exact"/>
        <w:rPr>
          <w:sz w:val="20"/>
          <w:szCs w:val="20"/>
          <w:color w:val="auto"/>
        </w:rPr>
      </w:pPr>
    </w:p>
    <w:p>
      <w:pPr>
        <w:ind w:firstLine="305"/>
        <w:spacing w:after="0" w:line="254" w:lineRule="auto"/>
        <w:rPr>
          <w:sz w:val="20"/>
          <w:szCs w:val="20"/>
          <w:color w:val="auto"/>
        </w:rPr>
      </w:pPr>
      <w:r>
        <w:rPr>
          <w:rFonts w:ascii="Arial" w:cs="Arial" w:eastAsia="Arial" w:hAnsi="Arial"/>
          <w:sz w:val="17"/>
          <w:szCs w:val="17"/>
          <w:color w:val="auto"/>
        </w:rPr>
        <w:t>In addition, as a public company, we have started to implement additional procedures and processes for the purpose of addressing the standards and requirements applicable to public companies. In particular, we expect our accounting, legal and personnel-related expenses and directors’ and officers’ insurance costs to continue to increase as we establish more comprehensive compliance and governance functions, establish, maintain and review internal controls over financial reporting in accordance with the Sarbanes-Oxley Act and prepare and distribute periodic reports in accordance with SEC rules. Our financial statements for future periods will reflect the impact of these expenses.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11" w:lineRule="exact"/>
        <w:rPr>
          <w:sz w:val="20"/>
          <w:szCs w:val="20"/>
          <w:color w:val="auto"/>
        </w:rPr>
      </w:pPr>
    </w:p>
    <w:p>
      <w:pPr>
        <w:ind w:firstLine="305"/>
        <w:spacing w:after="0" w:line="254" w:lineRule="auto"/>
        <w:rPr>
          <w:sz w:val="20"/>
          <w:szCs w:val="20"/>
          <w:color w:val="auto"/>
        </w:rPr>
      </w:pPr>
      <w:r>
        <w:rPr>
          <w:rFonts w:ascii="Arial" w:cs="Arial" w:eastAsia="Arial" w:hAnsi="Arial"/>
          <w:sz w:val="17"/>
          <w:szCs w:val="17"/>
          <w:color w:val="auto"/>
        </w:rPr>
        <w:t>Our gross revenue is derived primarily from transaction fees, subscription fees, commissions and market data fees. For the three and six months ended June 30, 2018, our gross revenue is offset by contingent consideration recognized as a contra-revenue adjustment related to the achievement of specific revenue earnout milestones, as further described below. This contingent consideration vested on, and has no additional impacts on our results of operations after, July 31, 2018. We believe that gross revenue is the key driver of our operating performance and therefore is the revenue measure we utilize to assess our business on a period by period basis.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Transaction Fees</w:t>
      </w:r>
    </w:p>
    <w:p>
      <w:pPr>
        <w:spacing w:after="0" w:line="211" w:lineRule="exact"/>
        <w:rPr>
          <w:sz w:val="20"/>
          <w:szCs w:val="20"/>
          <w:color w:val="auto"/>
        </w:rPr>
      </w:pPr>
    </w:p>
    <w:p>
      <w:pPr>
        <w:ind w:right="20" w:firstLine="305"/>
        <w:spacing w:after="0" w:line="268" w:lineRule="auto"/>
        <w:rPr>
          <w:sz w:val="20"/>
          <w:szCs w:val="20"/>
          <w:color w:val="auto"/>
        </w:rPr>
      </w:pPr>
      <w:r>
        <w:rPr>
          <w:rFonts w:ascii="Arial" w:cs="Arial" w:eastAsia="Arial" w:hAnsi="Arial"/>
          <w:sz w:val="16"/>
          <w:szCs w:val="16"/>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variable or fixed transaction fees on a per transaction basis. For variable transaction fees, we charge clients fees based on the mix of products traded and the volume of transactions executed. 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Subscription Fees</w:t>
      </w:r>
    </w:p>
    <w:p>
      <w:pPr>
        <w:spacing w:after="0" w:line="211" w:lineRule="exact"/>
        <w:rPr>
          <w:sz w:val="20"/>
          <w:szCs w:val="20"/>
          <w:color w:val="auto"/>
        </w:rPr>
      </w:pPr>
    </w:p>
    <w:p>
      <w:pPr>
        <w:ind w:firstLine="305"/>
        <w:spacing w:after="0" w:line="341" w:lineRule="auto"/>
        <w:rPr>
          <w:sz w:val="20"/>
          <w:szCs w:val="20"/>
          <w:color w:val="auto"/>
        </w:rPr>
      </w:pPr>
      <w:r>
        <w:rPr>
          <w:rFonts w:ascii="Arial" w:cs="Arial" w:eastAsia="Arial" w:hAnsi="Arial"/>
          <w:sz w:val="15"/>
          <w:szCs w:val="15"/>
          <w:color w:val="auto"/>
        </w:rPr>
        <w:t>We earn subscription fees primarily for granting clients access to our markets for trading and market data. For a limited number of products, we only charge subscription fees and no transaction fees. Subscription fees are generally generated on a fixed price basis.</w:t>
      </w:r>
    </w:p>
    <w:p>
      <w:pPr>
        <w:spacing w:after="0" w:line="120" w:lineRule="exact"/>
        <w:rPr>
          <w:sz w:val="20"/>
          <w:szCs w:val="20"/>
          <w:color w:val="auto"/>
        </w:rPr>
      </w:pPr>
    </w:p>
    <w:p>
      <w:pPr>
        <w:ind w:right="20" w:firstLine="305"/>
        <w:spacing w:after="0" w:line="275" w:lineRule="auto"/>
        <w:rPr>
          <w:sz w:val="20"/>
          <w:szCs w:val="20"/>
          <w:color w:val="auto"/>
        </w:rPr>
      </w:pPr>
      <w:r>
        <w:rPr>
          <w:rFonts w:ascii="Arial" w:cs="Arial" w:eastAsia="Arial" w:hAnsi="Arial"/>
          <w:sz w:val="16"/>
          <w:szCs w:val="16"/>
          <w:color w:val="auto"/>
        </w:rPr>
        <w:t>For purposes of our discussion of our results of operations, we include Refinitiv (formerly Thomson Reuters) market data fees in subscription fees. We earn fixed license fees from our market data license agreement with Refinitiv. We also earn royalties from Refinitiv for referrals of new Eikon (a Refinitiv data platform) customers based on customer conversion rates. Royalties may fluctuate from period to period depending on the numbers of customer conversions achieved by Refinitiv during the applicable royalty fee earning period, which is typically five years from the date of the initial referral.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0" w:name="page41"/>
    <w:bookmarkEnd w:id="4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Commissions</w:t>
      </w:r>
    </w:p>
    <w:p>
      <w:pPr>
        <w:spacing w:after="0" w:line="211" w:lineRule="exact"/>
        <w:rPr>
          <w:sz w:val="20"/>
          <w:szCs w:val="20"/>
          <w:color w:val="auto"/>
        </w:rPr>
      </w:pPr>
    </w:p>
    <w:p>
      <w:pPr>
        <w:ind w:right="20" w:firstLine="305"/>
        <w:spacing w:after="0" w:line="278" w:lineRule="auto"/>
        <w:rPr>
          <w:sz w:val="20"/>
          <w:szCs w:val="20"/>
          <w:color w:val="auto"/>
        </w:rPr>
      </w:pPr>
      <w:r>
        <w:rPr>
          <w:rFonts w:ascii="Arial" w:cs="Arial" w:eastAsia="Arial" w:hAnsi="Arial"/>
          <w:sz w:val="16"/>
          <w:szCs w:val="16"/>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Contingent Consideration</w:t>
      </w:r>
    </w:p>
    <w:p>
      <w:pPr>
        <w:spacing w:after="0" w:line="211" w:lineRule="exact"/>
        <w:rPr>
          <w:sz w:val="20"/>
          <w:szCs w:val="20"/>
          <w:color w:val="auto"/>
        </w:rPr>
      </w:pPr>
    </w:p>
    <w:p>
      <w:pPr>
        <w:ind w:right="220" w:firstLine="305"/>
        <w:spacing w:after="0" w:line="207" w:lineRule="exact"/>
        <w:rPr>
          <w:sz w:val="20"/>
          <w:szCs w:val="20"/>
          <w:color w:val="auto"/>
        </w:rPr>
      </w:pPr>
      <w:r>
        <w:rPr>
          <w:rFonts w:ascii="Arial" w:cs="Arial" w:eastAsia="Arial" w:hAnsi="Arial"/>
          <w:sz w:val="16"/>
          <w:szCs w:val="16"/>
          <w:color w:val="auto"/>
        </w:rPr>
        <w:t>In 2014, we issued Class A Shares and unvested Class P1</w:t>
      </w:r>
      <w:r>
        <w:rPr>
          <w:rFonts w:ascii="MS PGothic" w:cs="MS PGothic" w:eastAsia="MS PGothic" w:hAnsi="MS PGothic"/>
          <w:sz w:val="16"/>
          <w:szCs w:val="16"/>
          <w:color w:val="auto"/>
        </w:rPr>
        <w:t>‑</w:t>
      </w:r>
      <w:r>
        <w:rPr>
          <w:rFonts w:ascii="Arial" w:cs="Arial" w:eastAsia="Arial" w:hAnsi="Arial"/>
          <w:sz w:val="16"/>
          <w:szCs w:val="16"/>
          <w:color w:val="auto"/>
        </w:rPr>
        <w:t>(A) Shares to some of the Bank Stockholders as a result of a $120.0 million capital contribution to facilitate our expansion into new credit products. In connection with this investment, certain employees also invested $5.3 million in us and were issued Class C Shares and unvested Class P1</w:t>
      </w:r>
      <w:r>
        <w:rPr>
          <w:rFonts w:ascii="MS PGothic" w:cs="MS PGothic" w:eastAsia="MS PGothic" w:hAnsi="MS PGothic"/>
          <w:sz w:val="16"/>
          <w:szCs w:val="16"/>
          <w:color w:val="auto"/>
        </w:rPr>
        <w:t>‑</w:t>
      </w:r>
      <w:r>
        <w:rPr>
          <w:rFonts w:ascii="Arial" w:cs="Arial" w:eastAsia="Arial" w:hAnsi="Arial"/>
          <w:sz w:val="16"/>
          <w:szCs w:val="16"/>
          <w:color w:val="auto"/>
        </w:rPr>
        <w:t>(C) Shares. The</w:t>
      </w:r>
    </w:p>
    <w:p>
      <w:pPr>
        <w:spacing w:after="0" w:line="1" w:lineRule="exact"/>
        <w:rPr>
          <w:sz w:val="20"/>
          <w:szCs w:val="20"/>
          <w:color w:val="auto"/>
        </w:rPr>
      </w:pPr>
    </w:p>
    <w:p>
      <w:pPr>
        <w:spacing w:after="0" w:line="203" w:lineRule="exact"/>
        <w:rPr>
          <w:sz w:val="20"/>
          <w:szCs w:val="20"/>
          <w:color w:val="auto"/>
        </w:rPr>
      </w:pPr>
      <w:r>
        <w:rPr>
          <w:rFonts w:ascii="Arial" w:cs="Arial" w:eastAsia="Arial" w:hAnsi="Arial"/>
          <w:sz w:val="15"/>
          <w:szCs w:val="15"/>
          <w:color w:val="auto"/>
        </w:rPr>
        <w:t>Class P1</w:t>
      </w:r>
      <w:r>
        <w:rPr>
          <w:rFonts w:ascii="MS PGothic" w:cs="MS PGothic" w:eastAsia="MS PGothic" w:hAnsi="MS PGothic"/>
          <w:sz w:val="15"/>
          <w:szCs w:val="15"/>
          <w:color w:val="auto"/>
        </w:rPr>
        <w:t>‑</w:t>
      </w:r>
      <w:r>
        <w:rPr>
          <w:rFonts w:ascii="Arial" w:cs="Arial" w:eastAsia="Arial" w:hAnsi="Arial"/>
          <w:sz w:val="15"/>
          <w:szCs w:val="15"/>
          <w:color w:val="auto"/>
        </w:rPr>
        <w:t>(A) Shares vested on July 31, 2018 upon the achievement of specific revenue earnout milestones related to the growth of specified credit products (the “Credit Initiative Earnout”). Prior to the July 31, 2018 vesting, we recognized contingent consideration with respect to the Credit Initiative Earnout as a contra-revenue adjustment, which partially offset gross revenue for the three and six months ended June 30, 2018. See “— Critical Accounting Policies and Estimates — Contingent Consideration” for a discussion of the calculation of contingent consideration. The value of the contingent consideration of $156.2 million was finalized and contributed to members’ capital or employee equity compensation payable on July 31, 2018 and we therefore no longer recognize any contra-revenue adjustments from the Credit Initiative Earnout subsequent to that date. In connection with the Reorganization Transactions, the Class A Shares, Class P1-(A) Shares, Class C Shares and Class P1-(C) Shares were exchanged for LLC Interests.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Compensation and Benefits</w:t>
      </w:r>
    </w:p>
    <w:p>
      <w:pPr>
        <w:spacing w:after="0" w:line="211" w:lineRule="exact"/>
        <w:rPr>
          <w:sz w:val="20"/>
          <w:szCs w:val="20"/>
          <w:color w:val="auto"/>
        </w:rPr>
      </w:pPr>
    </w:p>
    <w:p>
      <w:pPr>
        <w:ind w:right="160" w:firstLine="305"/>
        <w:spacing w:after="0" w:line="275" w:lineRule="auto"/>
        <w:rPr>
          <w:sz w:val="20"/>
          <w:szCs w:val="20"/>
          <w:color w:val="auto"/>
        </w:rPr>
      </w:pPr>
      <w:r>
        <w:rPr>
          <w:rFonts w:ascii="Arial" w:cs="Arial" w:eastAsia="Arial" w:hAnsi="Arial"/>
          <w:sz w:val="16"/>
          <w:szCs w:val="16"/>
          <w:color w:val="auto"/>
        </w:rPr>
        <w:t>Employee compensation and benefits expense consists of wages, employee benefits, bonuses, commissions, stock-based compensation cost and related taxes. Factors that influence employee compensation and benefits expense include revenue and earnings growth, hiring new employees, and trading activity which generates broker commissions. We expect employee compensation and benefits expense to increase as we hire additional employees and as our revenues and earnings grow. As a result, employee compensation and benefits can vary from period to period.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211" w:lineRule="exact"/>
        <w:rPr>
          <w:sz w:val="20"/>
          <w:szCs w:val="20"/>
          <w:color w:val="auto"/>
        </w:rPr>
      </w:pPr>
    </w:p>
    <w:p>
      <w:pPr>
        <w:ind w:right="140" w:firstLine="305"/>
        <w:spacing w:after="0" w:line="255" w:lineRule="auto"/>
        <w:rPr>
          <w:sz w:val="20"/>
          <w:szCs w:val="20"/>
          <w:color w:val="auto"/>
        </w:rPr>
      </w:pPr>
      <w:r>
        <w:rPr>
          <w:rFonts w:ascii="Arial" w:cs="Arial" w:eastAsia="Arial" w:hAnsi="Arial"/>
          <w:sz w:val="17"/>
          <w:szCs w:val="17"/>
          <w:color w:val="auto"/>
        </w:rPr>
        <w:t>Depreciation and amortization expense consists of costs relating to the depreciation and amortization of other intangible assets, acquired and internally developed software, leasehold improvements, furniture and equipment. As discussed in “— Effect of Pushdown Accounting on our Financial Statements,” we applied pushdown accounting as a result of the Refinitiv Transaction and therefore depreciation and amortization expense in Successor reporting periods will differ from amounts reported in Predecessor periods.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211" w:lineRule="exact"/>
        <w:rPr>
          <w:sz w:val="20"/>
          <w:szCs w:val="20"/>
          <w:color w:val="auto"/>
        </w:rPr>
      </w:pPr>
    </w:p>
    <w:p>
      <w:pPr>
        <w:ind w:right="180" w:firstLine="305"/>
        <w:spacing w:after="0" w:line="257" w:lineRule="auto"/>
        <w:rPr>
          <w:sz w:val="20"/>
          <w:szCs w:val="20"/>
          <w:color w:val="auto"/>
        </w:rPr>
      </w:pPr>
      <w:r>
        <w:rPr>
          <w:rFonts w:ascii="Arial" w:cs="Arial" w:eastAsia="Arial" w:hAnsi="Arial"/>
          <w:sz w:val="17"/>
          <w:szCs w:val="17"/>
          <w:color w:val="auto"/>
        </w:rPr>
        <w:t>General and administrative expense consists of travel and entertainment, marketing, value-added taxes, state use taxes, foreign currency transaction gains and losses, charitable contributions, other administrative expenses and bad debt expense. We expect general and administrative expense to increase as we expand the number of our employees and product offerings and grow our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and Communications</w:t>
      </w:r>
    </w:p>
    <w:p>
      <w:pPr>
        <w:spacing w:after="0" w:line="211" w:lineRule="exact"/>
        <w:rPr>
          <w:sz w:val="20"/>
          <w:szCs w:val="20"/>
          <w:color w:val="auto"/>
        </w:rPr>
      </w:pPr>
    </w:p>
    <w:p>
      <w:pPr>
        <w:ind w:right="100" w:firstLine="305"/>
        <w:spacing w:after="0" w:line="305" w:lineRule="auto"/>
        <w:rPr>
          <w:sz w:val="20"/>
          <w:szCs w:val="20"/>
          <w:color w:val="auto"/>
        </w:rPr>
      </w:pPr>
      <w:r>
        <w:rPr>
          <w:rFonts w:ascii="Arial" w:cs="Arial" w:eastAsia="Arial" w:hAnsi="Arial"/>
          <w:sz w:val="16"/>
          <w:szCs w:val="16"/>
          <w:color w:val="auto"/>
        </w:rPr>
        <w:t>Technology and communications expense consists of costs relating to software and hardware maintenance, our internal network connections, data center costs, clearance costs and data feeds provided by third-party service providers,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1" w:name="page42"/>
    <w:bookmarkEnd w:id="4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including Refinitiv pursuant to a shared services agreement. Factors that influence technology and communications expense include the growth of our client base and product offerings.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Professional Fees</w:t>
      </w:r>
    </w:p>
    <w:p>
      <w:pPr>
        <w:spacing w:after="0" w:line="211" w:lineRule="exact"/>
        <w:rPr>
          <w:sz w:val="20"/>
          <w:szCs w:val="20"/>
          <w:color w:val="auto"/>
        </w:rPr>
      </w:pPr>
    </w:p>
    <w:p>
      <w:pPr>
        <w:ind w:right="80" w:firstLine="305"/>
        <w:spacing w:after="0" w:line="257" w:lineRule="auto"/>
        <w:rPr>
          <w:sz w:val="20"/>
          <w:szCs w:val="20"/>
          <w:color w:val="auto"/>
        </w:rPr>
      </w:pPr>
      <w:r>
        <w:rPr>
          <w:rFonts w:ascii="Arial" w:cs="Arial" w:eastAsia="Arial" w:hAnsi="Arial"/>
          <w:sz w:val="17"/>
          <w:szCs w:val="17"/>
          <w:color w:val="auto"/>
        </w:rPr>
        <w:t>Professional fees consist primarily of accounting, tax and legal fees and fees paid to technology and software consultants to maintain our trading platforms and infrastructure. Accounting, tax and legal fees are expected to grow as a result of the changes in our structure and operations that we will continue to implement as a public company. Factors that influence technology and software consulting expense include the growth of our client base and product offerings.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Occupancy</w:t>
      </w:r>
    </w:p>
    <w:p>
      <w:pPr>
        <w:spacing w:after="0" w:line="211" w:lineRule="exact"/>
        <w:rPr>
          <w:sz w:val="20"/>
          <w:szCs w:val="20"/>
          <w:color w:val="auto"/>
        </w:rPr>
      </w:pPr>
    </w:p>
    <w:p>
      <w:pPr>
        <w:ind w:firstLine="305"/>
        <w:spacing w:after="0" w:line="254" w:lineRule="auto"/>
        <w:rPr>
          <w:sz w:val="20"/>
          <w:szCs w:val="20"/>
          <w:color w:val="auto"/>
        </w:rPr>
      </w:pPr>
      <w:r>
        <w:rPr>
          <w:rFonts w:ascii="Arial" w:cs="Arial" w:eastAsia="Arial" w:hAnsi="Arial"/>
          <w:sz w:val="17"/>
          <w:szCs w:val="17"/>
          <w:color w:val="auto"/>
        </w:rPr>
        <w:t>Occupancy expense consists of operating lease rent and related costs for office space and data centers leased in North America, Europe and Asia. Fees incurred by us under a shared services agreement with Refinitiv for office space are also included in occupancy expense. We expect occupancy expense to increase as we expand the number of our employees and grow our operations. As discussed in “— Effect of Pushdown Accounting on our Financial Statements,” we applied pushdown accounting as a result of the Refinitiv Transaction and therefore occupancy expense in Successor reporting periods will differ from amounts reported in Predecessor periods.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Interest Income (Expense)</w:t>
      </w:r>
    </w:p>
    <w:p>
      <w:pPr>
        <w:spacing w:after="0" w:line="21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Interest income consists of interest earned from our cash deposited with large commercial banks and money market funds.</w:t>
      </w:r>
    </w:p>
    <w:p>
      <w:pPr>
        <w:spacing w:after="0" w:line="31" w:lineRule="exact"/>
        <w:rPr>
          <w:sz w:val="20"/>
          <w:szCs w:val="20"/>
          <w:color w:val="auto"/>
        </w:rPr>
      </w:pPr>
    </w:p>
    <w:p>
      <w:pPr>
        <w:jc w:val="center"/>
        <w:ind w:right="180"/>
        <w:spacing w:after="0"/>
        <w:rPr>
          <w:sz w:val="20"/>
          <w:szCs w:val="20"/>
          <w:color w:val="auto"/>
        </w:rPr>
      </w:pPr>
      <w:r>
        <w:rPr>
          <w:rFonts w:ascii="Arial" w:cs="Arial" w:eastAsia="Arial" w:hAnsi="Arial"/>
          <w:sz w:val="15"/>
          <w:szCs w:val="15"/>
          <w:color w:val="auto"/>
        </w:rPr>
        <w:t>Beginning with the second quarter of 2019, interest expense consists of commitment fees payable on the Revolving Credit Facility.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11" w:lineRule="exact"/>
        <w:rPr>
          <w:sz w:val="20"/>
          <w:szCs w:val="20"/>
          <w:color w:val="auto"/>
        </w:rPr>
      </w:pPr>
    </w:p>
    <w:p>
      <w:pPr>
        <w:ind w:right="140" w:firstLine="305"/>
        <w:spacing w:after="0" w:line="271" w:lineRule="auto"/>
        <w:rPr>
          <w:sz w:val="20"/>
          <w:szCs w:val="20"/>
          <w:color w:val="auto"/>
        </w:rPr>
      </w:pPr>
      <w:r>
        <w:rPr>
          <w:rFonts w:ascii="Arial" w:cs="Arial" w:eastAsia="Arial" w:hAnsi="Arial"/>
          <w:sz w:val="16"/>
          <w:szCs w:val="16"/>
          <w:color w:val="auto"/>
        </w:rPr>
        <w:t>Beginning with the second quarter of 2019, we are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us, on a pro rata basis.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2" w:name="page43"/>
    <w:bookmarkEnd w:id="4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For the Three Months Ended June 30, 2019 (Successor) and Three Months Ended June 30, 2018 (Predecessor)</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sets forth a summary of our statements of income for the three months ended June 30, 2019 and 2018:</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102"/>
              <w:spacing w:after="0"/>
              <w:rPr>
                <w:sz w:val="20"/>
                <w:szCs w:val="20"/>
                <w:color w:val="auto"/>
              </w:rPr>
            </w:pPr>
            <w:r>
              <w:rPr>
                <w:rFonts w:ascii="Arial" w:cs="Arial" w:eastAsia="Arial" w:hAnsi="Arial"/>
                <w:sz w:val="14"/>
                <w:szCs w:val="14"/>
                <w:b w:val="1"/>
                <w:bCs w:val="1"/>
                <w:color w:val="auto"/>
                <w:w w:val="79"/>
              </w:rPr>
              <w:t>Successor</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0"/>
              </w:rPr>
              <w:t>Predecessor</w:t>
            </w:r>
          </w:p>
        </w:tc>
      </w:tr>
      <w:tr>
        <w:trPr>
          <w:trHeight w:val="112"/>
        </w:trPr>
        <w:tc>
          <w:tcPr>
            <w:tcW w:w="49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122"/>
              <w:spacing w:after="0" w:line="113" w:lineRule="exact"/>
              <w:rPr>
                <w:sz w:val="20"/>
                <w:szCs w:val="20"/>
                <w:color w:val="auto"/>
              </w:rPr>
            </w:pPr>
            <w:r>
              <w:rPr>
                <w:rFonts w:ascii="Arial" w:cs="Arial" w:eastAsia="Arial" w:hAnsi="Arial"/>
                <w:sz w:val="12"/>
                <w:szCs w:val="12"/>
                <w:b w:val="1"/>
                <w:bCs w:val="1"/>
                <w:color w:val="auto"/>
              </w:rPr>
              <w:t>Three</w:t>
            </w:r>
          </w:p>
        </w:tc>
        <w:tc>
          <w:tcPr>
            <w:tcW w:w="32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ind w:right="102"/>
              <w:spacing w:after="0" w:line="113" w:lineRule="exact"/>
              <w:rPr>
                <w:sz w:val="20"/>
                <w:szCs w:val="20"/>
                <w:color w:val="auto"/>
              </w:rPr>
            </w:pPr>
            <w:r>
              <w:rPr>
                <w:rFonts w:ascii="Arial" w:cs="Arial" w:eastAsia="Arial" w:hAnsi="Arial"/>
                <w:sz w:val="12"/>
                <w:szCs w:val="12"/>
                <w:b w:val="1"/>
                <w:bCs w:val="1"/>
                <w:color w:val="auto"/>
              </w:rPr>
              <w:t>Three</w:t>
            </w:r>
          </w:p>
        </w:tc>
        <w:tc>
          <w:tcPr>
            <w:tcW w:w="200" w:type="dxa"/>
            <w:vAlign w:val="bottom"/>
          </w:tcPr>
          <w:p>
            <w:pPr>
              <w:spacing w:after="0"/>
              <w:rPr>
                <w:sz w:val="9"/>
                <w:szCs w:val="9"/>
                <w:color w:val="auto"/>
              </w:rPr>
            </w:pPr>
          </w:p>
        </w:tc>
      </w:tr>
      <w:tr>
        <w:trPr>
          <w:trHeight w:val="140"/>
        </w:trPr>
        <w:tc>
          <w:tcPr>
            <w:tcW w:w="4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02"/>
              <w:spacing w:after="0" w:line="140" w:lineRule="exact"/>
              <w:rPr>
                <w:sz w:val="20"/>
                <w:szCs w:val="20"/>
                <w:color w:val="auto"/>
              </w:rPr>
            </w:pPr>
            <w:r>
              <w:rPr>
                <w:rFonts w:ascii="Arial" w:cs="Arial" w:eastAsia="Arial" w:hAnsi="Arial"/>
                <w:sz w:val="14"/>
                <w:szCs w:val="14"/>
                <w:b w:val="1"/>
                <w:bCs w:val="1"/>
                <w:color w:val="auto"/>
                <w:w w:val="88"/>
              </w:rPr>
              <w:t>Months</w:t>
            </w: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0" w:lineRule="exact"/>
              <w:rPr>
                <w:sz w:val="20"/>
                <w:szCs w:val="20"/>
                <w:color w:val="auto"/>
              </w:rPr>
            </w:pPr>
            <w:r>
              <w:rPr>
                <w:rFonts w:ascii="Arial" w:cs="Arial" w:eastAsia="Arial" w:hAnsi="Arial"/>
                <w:sz w:val="14"/>
                <w:szCs w:val="14"/>
                <w:b w:val="1"/>
                <w:bCs w:val="1"/>
                <w:color w:val="auto"/>
                <w:w w:val="88"/>
              </w:rPr>
              <w:t>Months</w:t>
            </w:r>
          </w:p>
        </w:tc>
      </w:tr>
      <w:tr>
        <w:trPr>
          <w:trHeight w:val="140"/>
        </w:trPr>
        <w:tc>
          <w:tcPr>
            <w:tcW w:w="4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22"/>
              <w:spacing w:after="0" w:line="140"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80"/>
              <w:spacing w:after="0" w:line="140" w:lineRule="exact"/>
              <w:rPr>
                <w:sz w:val="20"/>
                <w:szCs w:val="20"/>
                <w:color w:val="auto"/>
              </w:rPr>
            </w:pPr>
            <w:r>
              <w:rPr>
                <w:rFonts w:ascii="Arial" w:cs="Arial" w:eastAsia="Arial" w:hAnsi="Arial"/>
                <w:sz w:val="14"/>
                <w:szCs w:val="14"/>
                <w:b w:val="1"/>
                <w:bCs w:val="1"/>
                <w:color w:val="auto"/>
                <w:w w:val="88"/>
              </w:rPr>
              <w:t>Ended</w:t>
            </w:r>
          </w:p>
        </w:tc>
      </w:tr>
      <w:tr>
        <w:trPr>
          <w:trHeight w:val="140"/>
        </w:trPr>
        <w:tc>
          <w:tcPr>
            <w:tcW w:w="4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42"/>
              <w:spacing w:after="0" w:line="140" w:lineRule="exact"/>
              <w:rPr>
                <w:sz w:val="20"/>
                <w:szCs w:val="20"/>
                <w:color w:val="auto"/>
              </w:rPr>
            </w:pPr>
            <w:r>
              <w:rPr>
                <w:rFonts w:ascii="Arial" w:cs="Arial" w:eastAsia="Arial" w:hAnsi="Arial"/>
                <w:sz w:val="14"/>
                <w:szCs w:val="14"/>
                <w:b w:val="1"/>
                <w:bCs w:val="1"/>
                <w:color w:val="auto"/>
                <w:w w:val="85"/>
              </w:rPr>
              <w:t>June 30,</w:t>
            </w: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00"/>
              <w:spacing w:after="0" w:line="140" w:lineRule="exact"/>
              <w:rPr>
                <w:sz w:val="20"/>
                <w:szCs w:val="20"/>
                <w:color w:val="auto"/>
              </w:rPr>
            </w:pPr>
            <w:r>
              <w:rPr>
                <w:rFonts w:ascii="Arial" w:cs="Arial" w:eastAsia="Arial" w:hAnsi="Arial"/>
                <w:sz w:val="14"/>
                <w:szCs w:val="14"/>
                <w:b w:val="1"/>
                <w:bCs w:val="1"/>
                <w:color w:val="auto"/>
                <w:w w:val="85"/>
              </w:rPr>
              <w:t>June 30,</w:t>
            </w:r>
          </w:p>
        </w:tc>
      </w:tr>
      <w:tr>
        <w:trPr>
          <w:trHeight w:val="160"/>
        </w:trPr>
        <w:tc>
          <w:tcPr>
            <w:tcW w:w="4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13"/>
                <w:szCs w:val="13"/>
                <w:color w:val="auto"/>
              </w:rPr>
            </w:pPr>
          </w:p>
        </w:tc>
      </w:tr>
      <w:tr>
        <w:trPr>
          <w:trHeight w:val="132"/>
        </w:trPr>
        <w:tc>
          <w:tcPr>
            <w:tcW w:w="4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00" w:type="dxa"/>
            <w:vAlign w:val="bottom"/>
            <w:gridSpan w:val="6"/>
          </w:tcPr>
          <w:p>
            <w:pPr>
              <w:jc w:val="right"/>
              <w:ind w:right="920"/>
              <w:spacing w:after="0" w:line="133" w:lineRule="exact"/>
              <w:rPr>
                <w:sz w:val="20"/>
                <w:szCs w:val="20"/>
                <w:color w:val="auto"/>
              </w:rPr>
            </w:pPr>
            <w:r>
              <w:rPr>
                <w:rFonts w:ascii="Arial" w:cs="Arial" w:eastAsia="Arial" w:hAnsi="Arial"/>
                <w:sz w:val="14"/>
                <w:szCs w:val="14"/>
                <w:b w:val="1"/>
                <w:bCs w:val="1"/>
                <w:color w:val="auto"/>
              </w:rPr>
              <w:t>(dollars in thousands)</w:t>
            </w:r>
          </w:p>
        </w:tc>
      </w:tr>
      <w:tr>
        <w:trPr>
          <w:trHeight w:val="203"/>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Gross revenue</w:t>
            </w:r>
          </w:p>
        </w:tc>
        <w:tc>
          <w:tcPr>
            <w:tcW w:w="124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190,485</w:t>
            </w:r>
          </w:p>
        </w:tc>
        <w:tc>
          <w:tcPr>
            <w:tcW w:w="320" w:type="dxa"/>
            <w:vAlign w:val="bottom"/>
            <w:tcBorders>
              <w:right w:val="single" w:sz="8" w:color="auto"/>
            </w:tcBorders>
            <w:shd w:val="clear" w:color="auto" w:fill="CCEEFF"/>
          </w:tcPr>
          <w:p>
            <w:pPr>
              <w:spacing w:after="0"/>
              <w:rPr>
                <w:sz w:val="17"/>
                <w:szCs w:val="17"/>
                <w:color w:val="auto"/>
              </w:rPr>
            </w:pPr>
          </w:p>
        </w:tc>
        <w:tc>
          <w:tcPr>
            <w:tcW w:w="44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171,015</w:t>
            </w:r>
          </w:p>
        </w:tc>
        <w:tc>
          <w:tcPr>
            <w:tcW w:w="200" w:type="dxa"/>
            <w:vAlign w:val="bottom"/>
            <w:shd w:val="clear" w:color="auto" w:fill="CCEEFF"/>
          </w:tcPr>
          <w:p>
            <w:pPr>
              <w:spacing w:after="0"/>
              <w:rPr>
                <w:sz w:val="17"/>
                <w:szCs w:val="17"/>
                <w:color w:val="auto"/>
              </w:rPr>
            </w:pPr>
          </w:p>
        </w:tc>
      </w:tr>
      <w:tr>
        <w:trPr>
          <w:trHeight w:val="203"/>
        </w:trPr>
        <w:tc>
          <w:tcPr>
            <w:tcW w:w="4920" w:type="dxa"/>
            <w:vAlign w:val="bottom"/>
          </w:tcPr>
          <w:p>
            <w:pPr>
              <w:ind w:left="200"/>
              <w:spacing w:after="0"/>
              <w:rPr>
                <w:sz w:val="20"/>
                <w:szCs w:val="20"/>
                <w:color w:val="auto"/>
              </w:rPr>
            </w:pPr>
            <w:r>
              <w:rPr>
                <w:rFonts w:ascii="Arial" w:cs="Arial" w:eastAsia="Arial" w:hAnsi="Arial"/>
                <w:sz w:val="17"/>
                <w:szCs w:val="17"/>
                <w:color w:val="auto"/>
              </w:rPr>
              <w:t>Contingent consideration</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(19,297)</w:t>
            </w:r>
          </w:p>
        </w:tc>
      </w:tr>
      <w:tr>
        <w:trPr>
          <w:trHeight w:val="196"/>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revenue</w:t>
            </w:r>
          </w:p>
        </w:tc>
        <w:tc>
          <w:tcPr>
            <w:tcW w:w="10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190,485</w:t>
            </w:r>
          </w:p>
        </w:tc>
        <w:tc>
          <w:tcPr>
            <w:tcW w:w="320" w:type="dxa"/>
            <w:vAlign w:val="bottom"/>
            <w:tcBorders>
              <w:top w:val="single" w:sz="8" w:color="CCEEFF"/>
              <w:right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151,718</w:t>
            </w:r>
          </w:p>
        </w:tc>
        <w:tc>
          <w:tcPr>
            <w:tcW w:w="200" w:type="dxa"/>
            <w:vAlign w:val="bottom"/>
            <w:tcBorders>
              <w:top w:val="single" w:sz="8" w:color="CCEEFF"/>
            </w:tcBorders>
            <w:shd w:val="clear" w:color="auto" w:fill="CCEEFF"/>
          </w:tcPr>
          <w:p>
            <w:pPr>
              <w:spacing w:after="0"/>
              <w:rPr>
                <w:sz w:val="17"/>
                <w:szCs w:val="17"/>
                <w:color w:val="auto"/>
              </w:rPr>
            </w:pPr>
          </w:p>
        </w:tc>
      </w:tr>
      <w:tr>
        <w:trPr>
          <w:trHeight w:val="203"/>
        </w:trPr>
        <w:tc>
          <w:tcPr>
            <w:tcW w:w="49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expenses</w:t>
            </w:r>
          </w:p>
        </w:tc>
        <w:tc>
          <w:tcPr>
            <w:tcW w:w="10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159,530</w:t>
            </w:r>
          </w:p>
        </w:tc>
        <w:tc>
          <w:tcPr>
            <w:tcW w:w="320" w:type="dxa"/>
            <w:vAlign w:val="bottom"/>
            <w:tcBorders>
              <w:bottom w:val="single" w:sz="8" w:color="CCEEFF"/>
              <w:right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111,556</w:t>
            </w:r>
          </w:p>
        </w:tc>
        <w:tc>
          <w:tcPr>
            <w:tcW w:w="200" w:type="dxa"/>
            <w:vAlign w:val="bottom"/>
            <w:tcBorders>
              <w:bottom w:val="single" w:sz="8" w:color="CCEEFF"/>
            </w:tcBorders>
          </w:tcPr>
          <w:p>
            <w:pPr>
              <w:spacing w:after="0"/>
              <w:rPr>
                <w:sz w:val="17"/>
                <w:szCs w:val="17"/>
                <w:color w:val="auto"/>
              </w:rPr>
            </w:pPr>
          </w:p>
        </w:tc>
      </w:tr>
      <w:tr>
        <w:trPr>
          <w:trHeight w:val="19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30,955</w:t>
            </w:r>
          </w:p>
        </w:tc>
        <w:tc>
          <w:tcPr>
            <w:tcW w:w="3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40,162</w:t>
            </w:r>
          </w:p>
        </w:tc>
        <w:tc>
          <w:tcPr>
            <w:tcW w:w="200" w:type="dxa"/>
            <w:vAlign w:val="bottom"/>
            <w:shd w:val="clear" w:color="auto" w:fill="CCEEFF"/>
          </w:tcPr>
          <w:p>
            <w:pPr>
              <w:spacing w:after="0"/>
              <w:rPr>
                <w:sz w:val="17"/>
                <w:szCs w:val="17"/>
                <w:color w:val="auto"/>
              </w:rPr>
            </w:pPr>
          </w:p>
        </w:tc>
      </w:tr>
      <w:tr>
        <w:trPr>
          <w:trHeight w:val="203"/>
        </w:trPr>
        <w:tc>
          <w:tcPr>
            <w:tcW w:w="49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interest income</w:t>
            </w:r>
          </w:p>
        </w:tc>
        <w:tc>
          <w:tcPr>
            <w:tcW w:w="10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w:t>
            </w:r>
          </w:p>
        </w:tc>
        <w:tc>
          <w:tcPr>
            <w:tcW w:w="320" w:type="dxa"/>
            <w:vAlign w:val="bottom"/>
            <w:tcBorders>
              <w:bottom w:val="single" w:sz="8" w:color="CCEEFF"/>
              <w:right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582</w:t>
            </w:r>
          </w:p>
        </w:tc>
        <w:tc>
          <w:tcPr>
            <w:tcW w:w="200" w:type="dxa"/>
            <w:vAlign w:val="bottom"/>
            <w:tcBorders>
              <w:bottom w:val="single" w:sz="8" w:color="CCEEFF"/>
            </w:tcBorders>
          </w:tcPr>
          <w:p>
            <w:pPr>
              <w:spacing w:after="0"/>
              <w:rPr>
                <w:sz w:val="17"/>
                <w:szCs w:val="17"/>
                <w:color w:val="auto"/>
              </w:rPr>
            </w:pPr>
          </w:p>
        </w:tc>
      </w:tr>
      <w:tr>
        <w:trPr>
          <w:trHeight w:val="19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Income before taxes</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31,130</w:t>
            </w:r>
          </w:p>
        </w:tc>
        <w:tc>
          <w:tcPr>
            <w:tcW w:w="3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40,744</w:t>
            </w:r>
          </w:p>
        </w:tc>
        <w:tc>
          <w:tcPr>
            <w:tcW w:w="200" w:type="dxa"/>
            <w:vAlign w:val="bottom"/>
            <w:shd w:val="clear" w:color="auto" w:fill="CCEEFF"/>
          </w:tcPr>
          <w:p>
            <w:pPr>
              <w:spacing w:after="0"/>
              <w:rPr>
                <w:sz w:val="17"/>
                <w:szCs w:val="17"/>
                <w:color w:val="auto"/>
              </w:rPr>
            </w:pPr>
          </w:p>
        </w:tc>
      </w:tr>
      <w:tr>
        <w:trPr>
          <w:trHeight w:val="203"/>
        </w:trPr>
        <w:tc>
          <w:tcPr>
            <w:tcW w:w="4920" w:type="dxa"/>
            <w:vAlign w:val="bottom"/>
          </w:tcPr>
          <w:p>
            <w:pPr>
              <w:ind w:left="200"/>
              <w:spacing w:after="0"/>
              <w:rPr>
                <w:sz w:val="20"/>
                <w:szCs w:val="20"/>
                <w:color w:val="auto"/>
              </w:rPr>
            </w:pPr>
            <w:r>
              <w:rPr>
                <w:rFonts w:ascii="Arial" w:cs="Arial" w:eastAsia="Arial" w:hAnsi="Arial"/>
                <w:sz w:val="17"/>
                <w:szCs w:val="17"/>
                <w:color w:val="auto"/>
              </w:rPr>
              <w:t>Income taxes</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(6,314)</w:t>
            </w:r>
          </w:p>
        </w:tc>
        <w:tc>
          <w:tcPr>
            <w:tcW w:w="3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(1,847)</w:t>
            </w:r>
          </w:p>
        </w:tc>
      </w:tr>
      <w:tr>
        <w:trPr>
          <w:trHeight w:val="216"/>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24,816</w:t>
            </w:r>
          </w:p>
        </w:tc>
        <w:tc>
          <w:tcPr>
            <w:tcW w:w="32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38,897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8"/>
        </w:trPr>
        <w:tc>
          <w:tcPr>
            <w:tcW w:w="4920" w:type="dxa"/>
            <w:vAlign w:val="bottom"/>
            <w:tcBorders>
              <w:bottom w:val="single" w:sz="8" w:color="CCEEFF"/>
            </w:tcBorders>
          </w:tcPr>
          <w:p>
            <w:pPr>
              <w:spacing w:after="0" w:line="189" w:lineRule="exact"/>
              <w:rPr>
                <w:sz w:val="20"/>
                <w:szCs w:val="20"/>
                <w:color w:val="auto"/>
              </w:rPr>
            </w:pPr>
            <w:r>
              <w:rPr>
                <w:rFonts w:ascii="Arial" w:cs="Arial" w:eastAsia="Arial" w:hAnsi="Arial"/>
                <w:sz w:val="17"/>
                <w:szCs w:val="17"/>
                <w:color w:val="auto"/>
              </w:rPr>
              <w:t>Less: Net income attributable to non-controlling interests</w:t>
            </w:r>
          </w:p>
        </w:tc>
        <w:tc>
          <w:tcPr>
            <w:tcW w:w="10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11,988</w:t>
            </w:r>
          </w:p>
        </w:tc>
        <w:tc>
          <w:tcPr>
            <w:tcW w:w="320" w:type="dxa"/>
            <w:vAlign w:val="bottom"/>
            <w:tcBorders>
              <w:bottom w:val="single" w:sz="8" w:color="CCEEFF"/>
              <w:right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r>
      <w:tr>
        <w:trPr>
          <w:trHeight w:val="202"/>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attributable to Tradeweb Markets Inc.</w:t>
            </w:r>
          </w:p>
        </w:tc>
        <w:tc>
          <w:tcPr>
            <w:tcW w:w="10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12,828</w:t>
            </w:r>
          </w:p>
        </w:tc>
        <w:tc>
          <w:tcPr>
            <w:tcW w:w="320" w:type="dxa"/>
            <w:vAlign w:val="bottom"/>
            <w:tcBorders>
              <w:bottom w:val="single" w:sz="8" w:color="CCEEFF"/>
              <w:right w:val="single" w:sz="8" w:color="auto"/>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211" w:lineRule="exact"/>
        <w:rPr>
          <w:sz w:val="20"/>
          <w:szCs w:val="20"/>
          <w:color w:val="auto"/>
        </w:rPr>
      </w:pPr>
    </w:p>
    <w:p>
      <w:pPr>
        <w:ind w:right="40" w:firstLine="305"/>
        <w:spacing w:after="0" w:line="297" w:lineRule="auto"/>
        <w:rPr>
          <w:sz w:val="20"/>
          <w:szCs w:val="20"/>
          <w:color w:val="auto"/>
        </w:rPr>
      </w:pPr>
      <w:r>
        <w:rPr>
          <w:rFonts w:ascii="Arial" w:cs="Arial" w:eastAsia="Arial" w:hAnsi="Arial"/>
          <w:sz w:val="15"/>
          <w:szCs w:val="15"/>
          <w:color w:val="auto"/>
        </w:rPr>
        <w:t>During the three months ended June 30, 2019, our business was impacted by a number of factors, including higher client trading activity, driving revenue increases in rates, credit, equities and money markets trading. Our market data business also grew due to the expansion of our market data license agreement with Refinitiv. Our expenses were impacted by non-cash stock-based compensation expense related to the Special Option Award (as defined below) as a result of the completion of the IPO during the three months ended June 30, 2019 and higher depreciation and amortization expense as a result of the application of pushdown accounting.</w:t>
      </w:r>
    </w:p>
    <w:p>
      <w:pPr>
        <w:spacing w:after="0" w:line="153" w:lineRule="exact"/>
        <w:rPr>
          <w:sz w:val="20"/>
          <w:szCs w:val="20"/>
          <w:color w:val="auto"/>
        </w:rPr>
      </w:pPr>
    </w:p>
    <w:p>
      <w:pPr>
        <w:ind w:right="60" w:firstLine="305"/>
        <w:spacing w:after="0" w:line="254" w:lineRule="auto"/>
        <w:rPr>
          <w:sz w:val="20"/>
          <w:szCs w:val="20"/>
          <w:color w:val="auto"/>
        </w:rPr>
      </w:pPr>
      <w:r>
        <w:rPr>
          <w:rFonts w:ascii="Arial" w:cs="Arial" w:eastAsia="Arial" w:hAnsi="Arial"/>
          <w:sz w:val="17"/>
          <w:szCs w:val="17"/>
          <w:color w:val="auto"/>
        </w:rPr>
        <w:t>Gross revenue increased by $19.5 million or 11.4% to $190.5 million for the three months ended June 30, 2019 from $171.0 million for the three months ended June 30, 2018. This increase in gross revenue was mainly due to higher trading volumes resulting in a $12.9 million increase in transaction fees and a $8.9 million increase in commissions. Net revenue increased by $38.8 million or 25.6% to $190.5 million for the three months ended June 30, 2019 from $151.7 million for the three months ended June 30, 2018. Non-cash contingent consideration decreased by $19.3 million for the three months ended June 30, 2019 as a result of the vesting of the Credit Initiative Earnout at July 31, 2018.</w:t>
      </w:r>
    </w:p>
    <w:p>
      <w:pPr>
        <w:spacing w:after="0" w:line="182" w:lineRule="exact"/>
        <w:rPr>
          <w:sz w:val="20"/>
          <w:szCs w:val="20"/>
          <w:color w:val="auto"/>
        </w:rPr>
      </w:pPr>
    </w:p>
    <w:p>
      <w:pPr>
        <w:ind w:firstLine="305"/>
        <w:spacing w:after="0" w:line="273" w:lineRule="auto"/>
        <w:rPr>
          <w:sz w:val="20"/>
          <w:szCs w:val="20"/>
          <w:color w:val="auto"/>
        </w:rPr>
      </w:pPr>
      <w:r>
        <w:rPr>
          <w:rFonts w:ascii="Arial" w:cs="Arial" w:eastAsia="Arial" w:hAnsi="Arial"/>
          <w:sz w:val="16"/>
          <w:szCs w:val="16"/>
          <w:color w:val="auto"/>
        </w:rPr>
        <w:t>Total expenses for the three months ended June 30, 2019 and 2018 were $159.5 million and $111.6 million, respectively. Total expenses for the three months ended June 30, 2019 were impacted by higher employee compensation and benefits expense, including the impact of stock-based compensation expense related to the Special Option Award, which, as a result of the completion of the IPO, we began to expense during the three months ended June 30, 2019, and higher general and administrative costs, specifically foreign exchange losses. Total expenses for the three months ended June 30, 2019 were also impacted by higher depreciation and amortization expense as a result of the application of pushdown accounting.</w:t>
      </w:r>
    </w:p>
    <w:p>
      <w:pPr>
        <w:spacing w:after="0" w:line="168" w:lineRule="exact"/>
        <w:rPr>
          <w:sz w:val="20"/>
          <w:szCs w:val="20"/>
          <w:color w:val="auto"/>
        </w:rPr>
      </w:pPr>
    </w:p>
    <w:p>
      <w:pPr>
        <w:ind w:right="100" w:firstLine="305"/>
        <w:spacing w:after="0" w:line="255" w:lineRule="auto"/>
        <w:rPr>
          <w:sz w:val="20"/>
          <w:szCs w:val="20"/>
          <w:color w:val="auto"/>
        </w:rPr>
      </w:pPr>
      <w:r>
        <w:rPr>
          <w:rFonts w:ascii="Arial" w:cs="Arial" w:eastAsia="Arial" w:hAnsi="Arial"/>
          <w:sz w:val="17"/>
          <w:szCs w:val="17"/>
          <w:color w:val="auto"/>
        </w:rPr>
        <w:t>Income before taxes for the three months ended June 30, 2019 and 2018 was $31.1 million and $40.7 million, respectively. Net income for the three months ended June 30, 2019 and 2018 was $24.8 million and $38.9 million, respectively. Net income attributable to Tradeweb Markets Inc. for the three months ended June 30, 2019 was $12.8 million. Income before taxes, net income and net income attributable to Tradeweb Markets Inc. for the three months ended June 30, 2019 were negatively impacted by $20.4 million of stock-based compensation expense related to the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3" w:name="page44"/>
    <w:bookmarkEnd w:id="43"/>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left="2" w:right="460"/>
        <w:spacing w:after="0" w:line="341" w:lineRule="auto"/>
        <w:rPr>
          <w:sz w:val="20"/>
          <w:szCs w:val="20"/>
          <w:color w:val="auto"/>
        </w:rPr>
      </w:pPr>
      <w:r>
        <w:rPr>
          <w:rFonts w:ascii="Arial" w:cs="Arial" w:eastAsia="Arial" w:hAnsi="Arial"/>
          <w:sz w:val="15"/>
          <w:szCs w:val="15"/>
          <w:color w:val="auto"/>
        </w:rPr>
        <w:t>Special Option Award and higher depreciation and amortization expense as a result of the application of pushdown accounting, resulting in a $17.6 million increase in depreciation and amortization expense, partially offset by higher revenues.</w:t>
      </w:r>
    </w:p>
    <w:p>
      <w:pPr>
        <w:spacing w:after="0" w:line="120" w:lineRule="exact"/>
        <w:rPr>
          <w:sz w:val="20"/>
          <w:szCs w:val="20"/>
          <w:color w:val="auto"/>
        </w:rPr>
      </w:pPr>
    </w:p>
    <w:p>
      <w:pPr>
        <w:ind w:left="2"/>
        <w:spacing w:after="0"/>
        <w:rPr>
          <w:sz w:val="20"/>
          <w:szCs w:val="20"/>
          <w:color w:val="auto"/>
        </w:rPr>
      </w:pPr>
      <w:r>
        <w:rPr>
          <w:rFonts w:ascii="Arial" w:cs="Arial" w:eastAsia="Arial" w:hAnsi="Arial"/>
          <w:sz w:val="17"/>
          <w:szCs w:val="17"/>
          <w:i w:val="1"/>
          <w:iCs w:val="1"/>
          <w:color w:val="auto"/>
        </w:rPr>
        <w:t>Revenues</w:t>
      </w:r>
    </w:p>
    <w:p>
      <w:pPr>
        <w:spacing w:after="0" w:line="211" w:lineRule="exact"/>
        <w:rPr>
          <w:sz w:val="20"/>
          <w:szCs w:val="20"/>
          <w:color w:val="auto"/>
        </w:rPr>
      </w:pPr>
    </w:p>
    <w:p>
      <w:pPr>
        <w:ind w:left="2" w:right="440" w:firstLine="305"/>
        <w:spacing w:after="0" w:line="273" w:lineRule="auto"/>
        <w:rPr>
          <w:sz w:val="20"/>
          <w:szCs w:val="20"/>
          <w:color w:val="auto"/>
        </w:rPr>
      </w:pPr>
      <w:r>
        <w:rPr>
          <w:rFonts w:ascii="Arial" w:cs="Arial" w:eastAsia="Arial" w:hAnsi="Arial"/>
          <w:sz w:val="17"/>
          <w:szCs w:val="17"/>
          <w:color w:val="auto"/>
        </w:rPr>
        <w:t>Our revenues for the three months ended June 30, 2019 and 2018, and the resulting dollar and percentage changes, were as follows:</w:t>
      </w:r>
    </w:p>
    <w:p>
      <w:pPr>
        <w:spacing w:after="0" w:line="373" w:lineRule="exact"/>
        <w:rPr>
          <w:sz w:val="20"/>
          <w:szCs w:val="20"/>
          <w:color w:val="auto"/>
        </w:rPr>
      </w:pPr>
    </w:p>
    <w:tbl>
      <w:tblPr>
        <w:tblLayout w:type="fixed"/>
        <w:tblInd w:w="2" w:type="dxa"/>
        <w:tblCellMar>
          <w:top w:w="0" w:type="dxa"/>
          <w:left w:w="0" w:type="dxa"/>
          <w:bottom w:w="0" w:type="dxa"/>
          <w:right w:w="0" w:type="dxa"/>
        </w:tblCellMar>
      </w:tblPr>
      <w:tr>
        <w:trPr>
          <w:trHeight w:val="21"/>
        </w:trPr>
        <w:tc>
          <w:tcPr>
            <w:tcW w:w="2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4"/>
            <w:vMerge w:val="restart"/>
          </w:tcPr>
          <w:p>
            <w:pPr>
              <w:jc w:val="center"/>
              <w:ind w:right="315"/>
              <w:spacing w:after="0"/>
              <w:rPr>
                <w:sz w:val="20"/>
                <w:szCs w:val="20"/>
                <w:color w:val="auto"/>
              </w:rPr>
            </w:pPr>
            <w:r>
              <w:rPr>
                <w:rFonts w:ascii="Arial" w:cs="Arial" w:eastAsia="Arial" w:hAnsi="Arial"/>
                <w:sz w:val="14"/>
                <w:szCs w:val="14"/>
                <w:b w:val="1"/>
                <w:bCs w:val="1"/>
                <w:color w:val="auto"/>
                <w:w w:val="79"/>
              </w:rPr>
              <w:t>Successor</w:t>
            </w: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4"/>
            <w:vMerge w:val="restart"/>
          </w:tcPr>
          <w:p>
            <w:pPr>
              <w:jc w:val="center"/>
              <w:ind w:right="315"/>
              <w:spacing w:after="0"/>
              <w:rPr>
                <w:sz w:val="20"/>
                <w:szCs w:val="20"/>
                <w:color w:val="auto"/>
              </w:rPr>
            </w:pPr>
            <w:r>
              <w:rPr>
                <w:rFonts w:ascii="Arial" w:cs="Arial" w:eastAsia="Arial" w:hAnsi="Arial"/>
                <w:sz w:val="14"/>
                <w:szCs w:val="14"/>
                <w:b w:val="1"/>
                <w:bCs w:val="1"/>
                <w:color w:val="auto"/>
                <w:w w:val="80"/>
              </w:rPr>
              <w:t>Predecessor</w:t>
            </w: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4"/>
            <w:vMerge w:val="continue"/>
          </w:tcPr>
          <w:p>
            <w:pPr>
              <w:spacing w:after="0"/>
              <w:rPr>
                <w:sz w:val="12"/>
                <w:szCs w:val="12"/>
                <w:color w:val="auto"/>
              </w:rPr>
            </w:pPr>
          </w:p>
        </w:tc>
        <w:tc>
          <w:tcPr>
            <w:tcW w:w="140" w:type="dxa"/>
            <w:vAlign w:val="bottom"/>
            <w:tcBorders>
              <w:lef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660" w:type="dxa"/>
            <w:vAlign w:val="bottom"/>
            <w:tcBorders>
              <w:top w:val="single" w:sz="8" w:color="auto"/>
            </w:tcBorders>
            <w:gridSpan w:val="3"/>
          </w:tcPr>
          <w:p>
            <w:pPr>
              <w:jc w:val="center"/>
              <w:ind w:right="87"/>
              <w:spacing w:after="0" w:line="113" w:lineRule="exact"/>
              <w:rPr>
                <w:sz w:val="20"/>
                <w:szCs w:val="20"/>
                <w:color w:val="auto"/>
              </w:rPr>
            </w:pPr>
            <w:r>
              <w:rPr>
                <w:rFonts w:ascii="Arial" w:cs="Arial" w:eastAsia="Arial" w:hAnsi="Arial"/>
                <w:sz w:val="12"/>
                <w:szCs w:val="12"/>
                <w:b w:val="1"/>
                <w:bCs w:val="1"/>
                <w:color w:val="auto"/>
              </w:rPr>
              <w:t>Three Months</w:t>
            </w:r>
          </w:p>
        </w:tc>
        <w:tc>
          <w:tcPr>
            <w:tcW w:w="220" w:type="dxa"/>
            <w:vAlign w:val="bottom"/>
          </w:tcPr>
          <w:p>
            <w:pPr>
              <w:spacing w:after="0"/>
              <w:rPr>
                <w:sz w:val="9"/>
                <w:szCs w:val="9"/>
                <w:color w:val="auto"/>
              </w:rPr>
            </w:pPr>
          </w:p>
        </w:tc>
        <w:tc>
          <w:tcPr>
            <w:tcW w:w="140" w:type="dxa"/>
            <w:vAlign w:val="bottom"/>
            <w:tcBorders>
              <w:left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660" w:type="dxa"/>
            <w:vAlign w:val="bottom"/>
            <w:tcBorders>
              <w:top w:val="single" w:sz="8" w:color="auto"/>
            </w:tcBorders>
            <w:gridSpan w:val="3"/>
          </w:tcPr>
          <w:p>
            <w:pPr>
              <w:jc w:val="center"/>
              <w:ind w:right="121"/>
              <w:spacing w:after="0" w:line="113" w:lineRule="exact"/>
              <w:rPr>
                <w:sz w:val="20"/>
                <w:szCs w:val="20"/>
                <w:color w:val="auto"/>
              </w:rPr>
            </w:pPr>
            <w:r>
              <w:rPr>
                <w:rFonts w:ascii="Arial" w:cs="Arial" w:eastAsia="Arial" w:hAnsi="Arial"/>
                <w:sz w:val="12"/>
                <w:szCs w:val="12"/>
                <w:b w:val="1"/>
                <w:bCs w:val="1"/>
                <w:color w:val="auto"/>
              </w:rPr>
              <w:t>Three Months</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4"/>
          </w:tcPr>
          <w:p>
            <w:pPr>
              <w:jc w:val="center"/>
              <w:ind w:right="315"/>
              <w:spacing w:after="0"/>
              <w:rPr>
                <w:sz w:val="20"/>
                <w:szCs w:val="20"/>
                <w:color w:val="auto"/>
              </w:rPr>
            </w:pPr>
            <w:r>
              <w:rPr>
                <w:rFonts w:ascii="Arial" w:cs="Arial" w:eastAsia="Arial" w:hAnsi="Arial"/>
                <w:sz w:val="14"/>
                <w:szCs w:val="14"/>
                <w:b w:val="1"/>
                <w:bCs w:val="1"/>
                <w:color w:val="auto"/>
                <w:w w:val="87"/>
              </w:rPr>
              <w:t>Ended June 30, 2019</w:t>
            </w:r>
          </w:p>
        </w:tc>
        <w:tc>
          <w:tcPr>
            <w:tcW w:w="14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4"/>
          </w:tcPr>
          <w:p>
            <w:pPr>
              <w:jc w:val="center"/>
              <w:ind w:right="315"/>
              <w:spacing w:after="0"/>
              <w:rPr>
                <w:sz w:val="20"/>
                <w:szCs w:val="20"/>
                <w:color w:val="auto"/>
              </w:rPr>
            </w:pPr>
            <w:r>
              <w:rPr>
                <w:rFonts w:ascii="Arial" w:cs="Arial" w:eastAsia="Arial" w:hAnsi="Arial"/>
                <w:sz w:val="14"/>
                <w:szCs w:val="14"/>
                <w:b w:val="1"/>
                <w:bCs w:val="1"/>
                <w:color w:val="auto"/>
                <w:w w:val="87"/>
              </w:rPr>
              <w:t>Ended June 30, 2018</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2"/>
                <w:szCs w:val="12"/>
                <w:b w:val="1"/>
                <w:bCs w:val="1"/>
                <w:color w:val="auto"/>
              </w:rPr>
              <w:t>% of Gross</w:t>
            </w:r>
          </w:p>
        </w:tc>
        <w:tc>
          <w:tcPr>
            <w:tcW w:w="220" w:type="dxa"/>
            <w:vAlign w:val="bottom"/>
          </w:tcPr>
          <w:p>
            <w:pPr>
              <w:spacing w:after="0"/>
              <w:rPr>
                <w:sz w:val="9"/>
                <w:szCs w:val="9"/>
                <w:color w:val="auto"/>
              </w:rPr>
            </w:pPr>
          </w:p>
        </w:tc>
        <w:tc>
          <w:tcPr>
            <w:tcW w:w="140" w:type="dxa"/>
            <w:vAlign w:val="bottom"/>
            <w:tcBorders>
              <w:left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2"/>
                <w:szCs w:val="12"/>
                <w:b w:val="1"/>
                <w:bCs w:val="1"/>
                <w:color w:val="auto"/>
              </w:rPr>
              <w:t>% of Gross</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30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980" w:type="dxa"/>
            <w:vAlign w:val="bottom"/>
            <w:gridSpan w:val="2"/>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14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32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980" w:type="dxa"/>
            <w:vAlign w:val="bottom"/>
            <w:gridSpan w:val="2"/>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5"/>
              </w:rPr>
              <w:t>Change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9"/>
        </w:trPr>
        <w:tc>
          <w:tcPr>
            <w:tcW w:w="2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rPr>
              <w:t>(dollars in thousands)</w:t>
            </w: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gridSpan w:val="2"/>
          </w:tcPr>
          <w:p>
            <w:pPr>
              <w:spacing w:after="0"/>
              <w:rPr>
                <w:sz w:val="20"/>
                <w:szCs w:val="20"/>
                <w:color w:val="auto"/>
              </w:rPr>
            </w:pPr>
            <w:r>
              <w:rPr>
                <w:rFonts w:ascii="Arial" w:cs="Arial" w:eastAsia="Arial" w:hAnsi="Arial"/>
                <w:sz w:val="17"/>
                <w:szCs w:val="17"/>
                <w:color w:val="auto"/>
              </w:rPr>
              <w:t>Transaction fees</w:t>
            </w:r>
          </w:p>
        </w:tc>
        <w:tc>
          <w:tcPr>
            <w:tcW w:w="28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103,952</w:t>
            </w:r>
          </w:p>
        </w:tc>
        <w:tc>
          <w:tcPr>
            <w:tcW w:w="1200" w:type="dxa"/>
            <w:vAlign w:val="bottom"/>
            <w:gridSpan w:val="3"/>
          </w:tcPr>
          <w:p>
            <w:pPr>
              <w:jc w:val="right"/>
              <w:spacing w:after="0"/>
              <w:rPr>
                <w:sz w:val="20"/>
                <w:szCs w:val="20"/>
                <w:color w:val="auto"/>
              </w:rPr>
            </w:pPr>
            <w:r>
              <w:rPr>
                <w:rFonts w:ascii="Arial" w:cs="Arial" w:eastAsia="Arial" w:hAnsi="Arial"/>
                <w:sz w:val="17"/>
                <w:szCs w:val="17"/>
                <w:color w:val="auto"/>
              </w:rPr>
              <w:t>54.6 %</w:t>
            </w:r>
          </w:p>
        </w:tc>
        <w:tc>
          <w:tcPr>
            <w:tcW w:w="320" w:type="dxa"/>
            <w:vAlign w:val="bottom"/>
            <w:tcBorders>
              <w:left w:val="single" w:sz="8" w:color="auto"/>
            </w:tcBorders>
            <w:gridSpan w:val="2"/>
          </w:tcPr>
          <w:p>
            <w:pPr>
              <w:jc w:val="right"/>
              <w:ind w:right="26"/>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91,030</w:t>
            </w:r>
          </w:p>
        </w:tc>
        <w:tc>
          <w:tcPr>
            <w:tcW w:w="2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53.2 %</w:t>
            </w:r>
          </w:p>
        </w:tc>
        <w:tc>
          <w:tcPr>
            <w:tcW w:w="240" w:type="dxa"/>
            <w:vAlign w:val="bottom"/>
          </w:tcPr>
          <w:p>
            <w:pPr>
              <w:jc w:val="right"/>
              <w:ind w:right="88"/>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12,922</w:t>
            </w: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14.2 %</w:t>
            </w:r>
          </w:p>
        </w:tc>
        <w:tc>
          <w:tcPr>
            <w:tcW w:w="0" w:type="dxa"/>
            <w:vAlign w:val="bottom"/>
          </w:tcPr>
          <w:p>
            <w:pPr>
              <w:spacing w:after="0"/>
              <w:rPr>
                <w:sz w:val="1"/>
                <w:szCs w:val="1"/>
                <w:color w:val="auto"/>
              </w:rPr>
            </w:pPr>
          </w:p>
        </w:tc>
      </w:tr>
      <w:tr>
        <w:trPr>
          <w:trHeight w:val="203"/>
        </w:trPr>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Subscription fees</w:t>
            </w:r>
            <w:r>
              <w:rPr>
                <w:rFonts w:ascii="Arial" w:cs="Arial" w:eastAsia="Arial" w:hAnsi="Arial"/>
                <w:sz w:val="8"/>
                <w:szCs w:val="8"/>
                <w:color w:val="auto"/>
              </w:rPr>
              <w:t>(1)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47,951</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25.2 %</w:t>
            </w:r>
          </w:p>
        </w:tc>
        <w:tc>
          <w:tcPr>
            <w:tcW w:w="14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49,728</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29.1 %</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(1,777)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3"/>
        </w:trPr>
        <w:tc>
          <w:tcPr>
            <w:tcW w:w="2720" w:type="dxa"/>
            <w:vAlign w:val="bottom"/>
            <w:gridSpan w:val="2"/>
          </w:tcPr>
          <w:p>
            <w:pPr>
              <w:spacing w:after="0"/>
              <w:rPr>
                <w:sz w:val="20"/>
                <w:szCs w:val="20"/>
                <w:color w:val="auto"/>
              </w:rPr>
            </w:pPr>
            <w:r>
              <w:rPr>
                <w:rFonts w:ascii="Arial" w:cs="Arial" w:eastAsia="Arial" w:hAnsi="Arial"/>
                <w:sz w:val="17"/>
                <w:szCs w:val="17"/>
                <w:color w:val="auto"/>
              </w:rPr>
              <w:t>Commissions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36,413</w:t>
            </w:r>
          </w:p>
        </w:tc>
        <w:tc>
          <w:tcPr>
            <w:tcW w:w="1200" w:type="dxa"/>
            <w:vAlign w:val="bottom"/>
            <w:gridSpan w:val="3"/>
          </w:tcPr>
          <w:p>
            <w:pPr>
              <w:jc w:val="right"/>
              <w:spacing w:after="0"/>
              <w:rPr>
                <w:sz w:val="20"/>
                <w:szCs w:val="20"/>
                <w:color w:val="auto"/>
              </w:rPr>
            </w:pPr>
            <w:r>
              <w:rPr>
                <w:rFonts w:ascii="Arial" w:cs="Arial" w:eastAsia="Arial" w:hAnsi="Arial"/>
                <w:sz w:val="17"/>
                <w:szCs w:val="17"/>
                <w:color w:val="auto"/>
              </w:rPr>
              <w:t>19.1 %</w:t>
            </w:r>
          </w:p>
        </w:tc>
        <w:tc>
          <w:tcPr>
            <w:tcW w:w="140" w:type="dxa"/>
            <w:vAlign w:val="bottom"/>
            <w:tcBorders>
              <w:lef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27,553</w:t>
            </w:r>
          </w:p>
        </w:tc>
        <w:tc>
          <w:tcPr>
            <w:tcW w:w="2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16.1 %</w:t>
            </w: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8,860</w:t>
            </w: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32.2 %</w:t>
            </w:r>
          </w:p>
        </w:tc>
        <w:tc>
          <w:tcPr>
            <w:tcW w:w="0" w:type="dxa"/>
            <w:vAlign w:val="bottom"/>
          </w:tcPr>
          <w:p>
            <w:pPr>
              <w:spacing w:after="0"/>
              <w:rPr>
                <w:sz w:val="1"/>
                <w:szCs w:val="1"/>
                <w:color w:val="auto"/>
              </w:rPr>
            </w:pPr>
          </w:p>
        </w:tc>
      </w:tr>
      <w:tr>
        <w:trPr>
          <w:trHeight w:val="203"/>
        </w:trPr>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2,169</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14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2,704</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(535)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Arial" w:cs="Arial" w:eastAsia="Arial" w:hAnsi="Arial"/>
                <w:sz w:val="17"/>
                <w:szCs w:val="17"/>
                <w:color w:val="auto"/>
              </w:rPr>
              <w:t>Gross revenue</w:t>
            </w: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7"/>
                <w:szCs w:val="17"/>
                <w:color w:val="auto"/>
                <w:w w:val="79"/>
              </w:rPr>
              <w:t>%</w:t>
            </w:r>
          </w:p>
        </w:tc>
        <w:tc>
          <w:tcPr>
            <w:tcW w:w="14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7"/>
                <w:szCs w:val="17"/>
                <w:color w:val="auto"/>
                <w:w w:val="79"/>
              </w:rPr>
              <w:t>%</w:t>
            </w: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720" w:type="dxa"/>
            <w:vAlign w:val="bottom"/>
            <w:tcBorders>
              <w:bottom w:val="single" w:sz="8" w:color="CCEEFF"/>
            </w:tcBorders>
            <w:gridSpan w:val="2"/>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190,485</w:t>
            </w:r>
          </w:p>
        </w:tc>
        <w:tc>
          <w:tcPr>
            <w:tcW w:w="220" w:type="dxa"/>
            <w:vAlign w:val="bottom"/>
            <w:tcBorders>
              <w:bottom w:val="single" w:sz="8" w:color="CCEEFF"/>
            </w:tcBorders>
            <w:vMerge w:val="continue"/>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220" w:type="dxa"/>
            <w:vAlign w:val="bottom"/>
            <w:tcBorders>
              <w:bottom w:val="single" w:sz="8" w:color="CCEEFF"/>
            </w:tcBorders>
            <w:vMerge w:val="continue"/>
          </w:tcPr>
          <w:p>
            <w:pPr>
              <w:spacing w:after="0"/>
              <w:rPr>
                <w:sz w:val="17"/>
                <w:szCs w:val="17"/>
                <w:color w:val="auto"/>
              </w:rPr>
            </w:pPr>
          </w:p>
        </w:tc>
        <w:tc>
          <w:tcPr>
            <w:tcW w:w="140" w:type="dxa"/>
            <w:vAlign w:val="bottom"/>
            <w:tcBorders>
              <w:left w:val="single" w:sz="8" w:color="auto"/>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171,015</w:t>
            </w:r>
          </w:p>
        </w:tc>
        <w:tc>
          <w:tcPr>
            <w:tcW w:w="2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22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19,470</w:t>
            </w: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7"/>
                <w:szCs w:val="17"/>
                <w:color w:val="auto"/>
              </w:rPr>
              <w:t>11.4 %</w:t>
            </w:r>
          </w:p>
        </w:tc>
        <w:tc>
          <w:tcPr>
            <w:tcW w:w="0" w:type="dxa"/>
            <w:vAlign w:val="bottom"/>
          </w:tcPr>
          <w:p>
            <w:pPr>
              <w:spacing w:after="0"/>
              <w:rPr>
                <w:sz w:val="1"/>
                <w:szCs w:val="1"/>
                <w:color w:val="auto"/>
              </w:rPr>
            </w:pPr>
          </w:p>
        </w:tc>
      </w:tr>
      <w:tr>
        <w:trPr>
          <w:trHeight w:val="203"/>
        </w:trPr>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Contingent consideration</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(19,297)</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19,297</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Arial" w:cs="Arial" w:eastAsia="Arial" w:hAnsi="Arial"/>
                <w:sz w:val="17"/>
                <w:szCs w:val="17"/>
                <w:color w:val="auto"/>
              </w:rPr>
              <w:t>Net revenue</w:t>
            </w:r>
          </w:p>
        </w:tc>
        <w:tc>
          <w:tcPr>
            <w:tcW w:w="1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left w:val="single" w:sz="8" w:color="auto"/>
            </w:tcBorders>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720" w:type="dxa"/>
            <w:vAlign w:val="bottom"/>
            <w:tcBorders>
              <w:bottom w:val="single" w:sz="8" w:color="CCEEFF"/>
            </w:tcBorders>
            <w:gridSpan w:val="2"/>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190,485</w:t>
            </w:r>
          </w:p>
        </w:tc>
        <w:tc>
          <w:tcPr>
            <w:tcW w:w="22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0" w:type="dxa"/>
            <w:vAlign w:val="bottom"/>
            <w:tcBorders>
              <w:left w:val="single" w:sz="8" w:color="auto"/>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151,718</w:t>
            </w:r>
          </w:p>
        </w:tc>
        <w:tc>
          <w:tcPr>
            <w:tcW w:w="22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38,767</w:t>
            </w: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7"/>
                <w:szCs w:val="17"/>
                <w:color w:val="auto"/>
              </w:rPr>
              <w:t>25.6 %</w:t>
            </w:r>
          </w:p>
        </w:tc>
        <w:tc>
          <w:tcPr>
            <w:tcW w:w="0" w:type="dxa"/>
            <w:vAlign w:val="bottom"/>
          </w:tcPr>
          <w:p>
            <w:pPr>
              <w:spacing w:after="0"/>
              <w:rPr>
                <w:sz w:val="1"/>
                <w:szCs w:val="1"/>
                <w:color w:val="auto"/>
              </w:rPr>
            </w:pPr>
          </w:p>
        </w:tc>
      </w:tr>
      <w:tr>
        <w:trPr>
          <w:trHeight w:val="203"/>
        </w:trPr>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3"/>
              </w:rPr>
              <w:t>Components of gross revenue growth:</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gridSpan w:val="2"/>
          </w:tcPr>
          <w:p>
            <w:pPr>
              <w:spacing w:after="0"/>
              <w:rPr>
                <w:sz w:val="20"/>
                <w:szCs w:val="20"/>
                <w:color w:val="auto"/>
              </w:rPr>
            </w:pPr>
            <w:r>
              <w:rPr>
                <w:rFonts w:ascii="Arial" w:cs="Arial" w:eastAsia="Arial" w:hAnsi="Arial"/>
                <w:sz w:val="17"/>
                <w:szCs w:val="17"/>
                <w:color w:val="auto"/>
              </w:rPr>
              <w:t>Constant currency growth</w:t>
            </w:r>
            <w:r>
              <w:rPr>
                <w:rFonts w:ascii="Arial" w:cs="Arial" w:eastAsia="Arial" w:hAnsi="Arial"/>
                <w:sz w:val="8"/>
                <w:szCs w:val="8"/>
                <w:color w:val="auto"/>
              </w:rPr>
              <w:t>(2)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13.2 %</w:t>
            </w:r>
          </w:p>
        </w:tc>
        <w:tc>
          <w:tcPr>
            <w:tcW w:w="0" w:type="dxa"/>
            <w:vAlign w:val="bottom"/>
          </w:tcPr>
          <w:p>
            <w:pPr>
              <w:spacing w:after="0"/>
              <w:rPr>
                <w:sz w:val="1"/>
                <w:szCs w:val="1"/>
                <w:color w:val="auto"/>
              </w:rPr>
            </w:pPr>
          </w:p>
        </w:tc>
      </w:tr>
      <w:tr>
        <w:trPr>
          <w:trHeight w:val="203"/>
        </w:trPr>
        <w:tc>
          <w:tcPr>
            <w:tcW w:w="2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Foreign currency impact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3"/>
        </w:trPr>
        <w:tc>
          <w:tcPr>
            <w:tcW w:w="2720" w:type="dxa"/>
            <w:vAlign w:val="bottom"/>
            <w:gridSpan w:val="2"/>
          </w:tcPr>
          <w:p>
            <w:pPr>
              <w:ind w:left="220"/>
              <w:spacing w:after="0"/>
              <w:rPr>
                <w:sz w:val="20"/>
                <w:szCs w:val="20"/>
                <w:color w:val="auto"/>
              </w:rPr>
            </w:pPr>
            <w:r>
              <w:rPr>
                <w:rFonts w:ascii="Arial" w:cs="Arial" w:eastAsia="Arial" w:hAnsi="Arial"/>
                <w:sz w:val="17"/>
                <w:szCs w:val="17"/>
                <w:color w:val="auto"/>
              </w:rPr>
              <w:t>Total gross revenue growth</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11.4 %</w:t>
            </w:r>
          </w:p>
        </w:tc>
        <w:tc>
          <w:tcPr>
            <w:tcW w:w="0" w:type="dxa"/>
            <w:vAlign w:val="bottom"/>
          </w:tcPr>
          <w:p>
            <w:pPr>
              <w:spacing w:after="0"/>
              <w:rPr>
                <w:sz w:val="1"/>
                <w:szCs w:val="1"/>
                <w:color w:val="auto"/>
              </w:rPr>
            </w:pPr>
          </w:p>
        </w:tc>
      </w:tr>
      <w:tr>
        <w:trPr>
          <w:trHeight w:val="102"/>
        </w:trPr>
        <w:tc>
          <w:tcPr>
            <w:tcW w:w="22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302" w:right="320" w:hanging="302"/>
        <w:spacing w:after="0" w:line="232" w:lineRule="auto"/>
        <w:tabs>
          <w:tab w:leader="none" w:pos="302" w:val="left"/>
        </w:tabs>
        <w:numPr>
          <w:ilvl w:val="0"/>
          <w:numId w:val="33"/>
        </w:numPr>
        <w:rPr>
          <w:rFonts w:ascii="Arial" w:cs="Arial" w:eastAsia="Arial" w:hAnsi="Arial"/>
          <w:sz w:val="14"/>
          <w:szCs w:val="14"/>
          <w:color w:val="auto"/>
        </w:rPr>
      </w:pPr>
      <w:r>
        <w:rPr>
          <w:rFonts w:ascii="Arial" w:cs="Arial" w:eastAsia="Arial" w:hAnsi="Arial"/>
          <w:sz w:val="14"/>
          <w:szCs w:val="14"/>
          <w:color w:val="auto"/>
        </w:rPr>
        <w:t>Subscription fees for the three months ended June 30, 2019 and 2018 include $13.4 million and $12.1 million, respectively, of Refinitiv (formerly Thomson Reuters) market data fees.</w:t>
      </w:r>
    </w:p>
    <w:p>
      <w:pPr>
        <w:spacing w:after="0" w:line="171" w:lineRule="exact"/>
        <w:rPr>
          <w:rFonts w:ascii="Arial" w:cs="Arial" w:eastAsia="Arial" w:hAnsi="Arial"/>
          <w:sz w:val="14"/>
          <w:szCs w:val="14"/>
          <w:color w:val="auto"/>
        </w:rPr>
      </w:pPr>
    </w:p>
    <w:p>
      <w:pPr>
        <w:ind w:left="302" w:right="100" w:hanging="302"/>
        <w:spacing w:after="0" w:line="218" w:lineRule="auto"/>
        <w:tabs>
          <w:tab w:leader="none" w:pos="302"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Constant currency growth, which is a non-GAAP financial measure, is defined as gross revenue growth excluding the effects of foreign currency fluctuations. Gross revenue excluding the effects of foreign currency fluctuations is calculated by translating the current period and prior period’s gross revenue using the average exchange rates for 2018. We use constant currency growth as a supplemental metric to evaluate our underlying gross revenue performance between periods by removing the impact of foreign currency fluctuations. We believe that providing constant currency growth provides a useful comparison of our gross revenue performance and trends between periods.</w:t>
      </w:r>
    </w:p>
    <w:p>
      <w:pPr>
        <w:spacing w:after="0" w:line="177" w:lineRule="exact"/>
        <w:rPr>
          <w:sz w:val="20"/>
          <w:szCs w:val="20"/>
          <w:color w:val="auto"/>
        </w:rPr>
      </w:pPr>
    </w:p>
    <w:p>
      <w:pPr>
        <w:ind w:left="2" w:right="620" w:firstLine="305"/>
        <w:spacing w:after="0" w:line="273" w:lineRule="auto"/>
        <w:rPr>
          <w:sz w:val="20"/>
          <w:szCs w:val="20"/>
          <w:color w:val="auto"/>
        </w:rPr>
      </w:pPr>
      <w:r>
        <w:rPr>
          <w:rFonts w:ascii="Arial" w:cs="Arial" w:eastAsia="Arial" w:hAnsi="Arial"/>
          <w:sz w:val="17"/>
          <w:szCs w:val="17"/>
          <w:color w:val="auto"/>
        </w:rPr>
        <w:t>Our variable and fixed revenues by fee type for the three months ended June 30, 2019 and 2018, and the resulting dollar and percentage changes, were as follows:</w:t>
      </w:r>
    </w:p>
    <w:p>
      <w:pPr>
        <w:spacing w:after="0" w:line="169" w:lineRule="exact"/>
        <w:rPr>
          <w:sz w:val="20"/>
          <w:szCs w:val="20"/>
          <w:color w:val="auto"/>
        </w:rPr>
      </w:pPr>
    </w:p>
    <w:tbl>
      <w:tblPr>
        <w:tblLayout w:type="fixed"/>
        <w:tblInd w:w="2" w:type="dxa"/>
        <w:tblCellMar>
          <w:top w:w="0" w:type="dxa"/>
          <w:left w:w="0" w:type="dxa"/>
          <w:bottom w:w="0" w:type="dxa"/>
          <w:right w:w="0" w:type="dxa"/>
        </w:tblCellMar>
      </w:tblPr>
      <w:tr>
        <w:trPr>
          <w:trHeight w:val="21"/>
        </w:trPr>
        <w:tc>
          <w:tcPr>
            <w:tcW w:w="2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3"/>
            <w:vMerge w:val="restart"/>
          </w:tcPr>
          <w:p>
            <w:pPr>
              <w:jc w:val="center"/>
              <w:ind w:right="27"/>
              <w:spacing w:after="0"/>
              <w:rPr>
                <w:sz w:val="20"/>
                <w:szCs w:val="20"/>
                <w:color w:val="auto"/>
              </w:rPr>
            </w:pPr>
            <w:r>
              <w:rPr>
                <w:rFonts w:ascii="Arial" w:cs="Arial" w:eastAsia="Arial" w:hAnsi="Arial"/>
                <w:sz w:val="14"/>
                <w:szCs w:val="14"/>
                <w:b w:val="1"/>
                <w:bCs w:val="1"/>
                <w:color w:val="auto"/>
                <w:w w:val="79"/>
              </w:rPr>
              <w:t>Successor</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Borders>
              <w:bottom w:val="single" w:sz="8" w:color="auto"/>
            </w:tcBorders>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tcPr>
          <w:p>
            <w:pPr>
              <w:jc w:val="center"/>
              <w:ind w:right="27"/>
              <w:spacing w:after="0" w:line="113" w:lineRule="exact"/>
              <w:rPr>
                <w:sz w:val="20"/>
                <w:szCs w:val="20"/>
                <w:color w:val="auto"/>
              </w:rPr>
            </w:pPr>
            <w:r>
              <w:rPr>
                <w:rFonts w:ascii="Arial" w:cs="Arial" w:eastAsia="Arial" w:hAnsi="Arial"/>
                <w:sz w:val="12"/>
                <w:szCs w:val="12"/>
                <w:b w:val="1"/>
                <w:bCs w:val="1"/>
                <w:color w:val="auto"/>
              </w:rPr>
              <w:t>Three Months Ended</w:t>
            </w:r>
          </w:p>
        </w:tc>
        <w:tc>
          <w:tcPr>
            <w:tcW w:w="1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tcPr>
          <w:p>
            <w:pPr>
              <w:jc w:val="center"/>
              <w:spacing w:after="0" w:line="113" w:lineRule="exact"/>
              <w:rPr>
                <w:sz w:val="20"/>
                <w:szCs w:val="20"/>
                <w:color w:val="auto"/>
              </w:rPr>
            </w:pPr>
            <w:r>
              <w:rPr>
                <w:rFonts w:ascii="Arial" w:cs="Arial" w:eastAsia="Arial" w:hAnsi="Arial"/>
                <w:sz w:val="12"/>
                <w:szCs w:val="12"/>
                <w:b w:val="1"/>
                <w:bCs w:val="1"/>
                <w:color w:val="auto"/>
              </w:rPr>
              <w:t>Three Months Ended</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center"/>
              <w:ind w:right="27"/>
              <w:spacing w:after="0"/>
              <w:rPr>
                <w:sz w:val="20"/>
                <w:szCs w:val="20"/>
                <w:color w:val="auto"/>
              </w:rPr>
            </w:pPr>
            <w:r>
              <w:rPr>
                <w:rFonts w:ascii="Arial" w:cs="Arial" w:eastAsia="Arial" w:hAnsi="Arial"/>
                <w:sz w:val="14"/>
                <w:szCs w:val="14"/>
                <w:b w:val="1"/>
                <w:bCs w:val="1"/>
                <w:color w:val="auto"/>
                <w:w w:val="87"/>
              </w:rPr>
              <w:t>June 30, 2019</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June 30, 2018</w:t>
            </w:r>
          </w:p>
        </w:tc>
        <w:tc>
          <w:tcPr>
            <w:tcW w:w="180" w:type="dxa"/>
            <w:vAlign w:val="bottom"/>
          </w:tcPr>
          <w:p>
            <w:pPr>
              <w:spacing w:after="0"/>
              <w:rPr>
                <w:sz w:val="13"/>
                <w:szCs w:val="13"/>
                <w:color w:val="auto"/>
              </w:rPr>
            </w:pPr>
          </w:p>
        </w:tc>
        <w:tc>
          <w:tcPr>
            <w:tcW w:w="16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 Change</w:t>
            </w:r>
          </w:p>
        </w:tc>
        <w:tc>
          <w:tcPr>
            <w:tcW w:w="13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43"/>
              <w:spacing w:after="0" w:line="133" w:lineRule="exact"/>
              <w:rPr>
                <w:sz w:val="20"/>
                <w:szCs w:val="20"/>
                <w:color w:val="auto"/>
              </w:rPr>
            </w:pPr>
            <w:r>
              <w:rPr>
                <w:rFonts w:ascii="Arial" w:cs="Arial" w:eastAsia="Arial" w:hAnsi="Arial"/>
                <w:sz w:val="14"/>
                <w:szCs w:val="14"/>
                <w:b w:val="1"/>
                <w:bCs w:val="1"/>
                <w:color w:val="auto"/>
                <w:w w:val="88"/>
              </w:rPr>
              <w:t>Variable</w:t>
            </w: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67"/>
              <w:spacing w:after="0" w:line="133" w:lineRule="exact"/>
              <w:rPr>
                <w:sz w:val="20"/>
                <w:szCs w:val="20"/>
                <w:color w:val="auto"/>
              </w:rPr>
            </w:pPr>
            <w:r>
              <w:rPr>
                <w:rFonts w:ascii="Arial" w:cs="Arial" w:eastAsia="Arial" w:hAnsi="Arial"/>
                <w:sz w:val="14"/>
                <w:szCs w:val="14"/>
                <w:b w:val="1"/>
                <w:bCs w:val="1"/>
                <w:color w:val="auto"/>
              </w:rPr>
              <w:t>Fixed</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gridSpan w:val="2"/>
          </w:tcPr>
          <w:p>
            <w:pPr>
              <w:ind w:left="60"/>
              <w:spacing w:after="0" w:line="133" w:lineRule="exact"/>
              <w:rPr>
                <w:sz w:val="20"/>
                <w:szCs w:val="20"/>
                <w:color w:val="auto"/>
              </w:rPr>
            </w:pPr>
            <w:r>
              <w:rPr>
                <w:rFonts w:ascii="Arial" w:cs="Arial" w:eastAsia="Arial" w:hAnsi="Arial"/>
                <w:sz w:val="14"/>
                <w:szCs w:val="14"/>
                <w:b w:val="1"/>
                <w:bCs w:val="1"/>
                <w:color w:val="auto"/>
              </w:rPr>
              <w:t>Variable</w:t>
            </w:r>
          </w:p>
        </w:tc>
        <w:tc>
          <w:tcPr>
            <w:tcW w:w="620" w:type="dxa"/>
            <w:vAlign w:val="bottom"/>
            <w:tcBorders>
              <w:top w:val="single" w:sz="8" w:color="auto"/>
            </w:tcBorders>
          </w:tcPr>
          <w:p>
            <w:pPr>
              <w:jc w:val="right"/>
              <w:ind w:right="78"/>
              <w:spacing w:after="0" w:line="133" w:lineRule="exact"/>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1"/>
                <w:szCs w:val="11"/>
                <w:color w:val="auto"/>
              </w:rPr>
            </w:pPr>
          </w:p>
        </w:tc>
        <w:tc>
          <w:tcPr>
            <w:tcW w:w="820" w:type="dxa"/>
            <w:vAlign w:val="bottom"/>
            <w:tcBorders>
              <w:top w:val="single" w:sz="8" w:color="auto"/>
            </w:tcBorders>
            <w:gridSpan w:val="2"/>
          </w:tcPr>
          <w:p>
            <w:pPr>
              <w:ind w:left="80"/>
              <w:spacing w:after="0" w:line="133" w:lineRule="exact"/>
              <w:rPr>
                <w:sz w:val="20"/>
                <w:szCs w:val="20"/>
                <w:color w:val="auto"/>
              </w:rPr>
            </w:pPr>
            <w:r>
              <w:rPr>
                <w:rFonts w:ascii="Arial" w:cs="Arial" w:eastAsia="Arial" w:hAnsi="Arial"/>
                <w:sz w:val="14"/>
                <w:szCs w:val="14"/>
                <w:b w:val="1"/>
                <w:bCs w:val="1"/>
                <w:color w:val="auto"/>
              </w:rPr>
              <w:t>Variable</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58"/>
              <w:spacing w:after="0" w:line="133" w:lineRule="exact"/>
              <w:rPr>
                <w:sz w:val="20"/>
                <w:szCs w:val="20"/>
                <w:color w:val="auto"/>
              </w:rPr>
            </w:pPr>
            <w:r>
              <w:rPr>
                <w:rFonts w:ascii="Arial" w:cs="Arial" w:eastAsia="Arial" w:hAnsi="Arial"/>
                <w:sz w:val="14"/>
                <w:szCs w:val="14"/>
                <w:b w:val="1"/>
                <w:bCs w:val="1"/>
                <w:color w:val="auto"/>
                <w:w w:val="92"/>
              </w:rPr>
              <w:t>Fixed</w:t>
            </w:r>
          </w:p>
        </w:tc>
        <w:tc>
          <w:tcPr>
            <w:tcW w:w="180" w:type="dxa"/>
            <w:vAlign w:val="bottom"/>
          </w:tcPr>
          <w:p>
            <w:pPr>
              <w:spacing w:after="0"/>
              <w:rPr>
                <w:sz w:val="11"/>
                <w:szCs w:val="11"/>
                <w:color w:val="auto"/>
              </w:rPr>
            </w:pPr>
          </w:p>
        </w:tc>
        <w:tc>
          <w:tcPr>
            <w:tcW w:w="800" w:type="dxa"/>
            <w:vAlign w:val="bottom"/>
            <w:tcBorders>
              <w:top w:val="single" w:sz="8" w:color="auto"/>
            </w:tcBorders>
            <w:gridSpan w:val="2"/>
          </w:tcPr>
          <w:p>
            <w:pPr>
              <w:jc w:val="right"/>
              <w:ind w:right="175"/>
              <w:spacing w:after="0" w:line="133" w:lineRule="exact"/>
              <w:rPr>
                <w:sz w:val="20"/>
                <w:szCs w:val="20"/>
                <w:color w:val="auto"/>
              </w:rPr>
            </w:pPr>
            <w:r>
              <w:rPr>
                <w:rFonts w:ascii="Arial" w:cs="Arial" w:eastAsia="Arial" w:hAnsi="Arial"/>
                <w:sz w:val="14"/>
                <w:szCs w:val="14"/>
                <w:b w:val="1"/>
                <w:bCs w:val="1"/>
                <w:color w:val="auto"/>
                <w:w w:val="95"/>
              </w:rPr>
              <w:t>Variable</w:t>
            </w:r>
          </w:p>
        </w:tc>
        <w:tc>
          <w:tcPr>
            <w:tcW w:w="4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92"/>
              </w:rPr>
              <w:t>Fixed</w:t>
            </w:r>
          </w:p>
        </w:tc>
        <w:tc>
          <w:tcPr>
            <w:tcW w:w="1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gridSpan w:val="5"/>
          </w:tcPr>
          <w:p>
            <w:pPr>
              <w:ind w:left="60"/>
              <w:spacing w:after="0" w:line="133" w:lineRule="exact"/>
              <w:rPr>
                <w:sz w:val="20"/>
                <w:szCs w:val="20"/>
                <w:color w:val="auto"/>
              </w:rPr>
            </w:pPr>
            <w:r>
              <w:rPr>
                <w:rFonts w:ascii="Arial" w:cs="Arial" w:eastAsia="Arial" w:hAnsi="Arial"/>
                <w:sz w:val="14"/>
                <w:szCs w:val="14"/>
                <w:b w:val="1"/>
                <w:bCs w:val="1"/>
                <w:color w:val="auto"/>
              </w:rPr>
              <w:t>(dollars in thousands)</w:t>
            </w: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gridSpan w:val="2"/>
          </w:tcPr>
          <w:p>
            <w:pPr>
              <w:spacing w:after="0"/>
              <w:rPr>
                <w:sz w:val="20"/>
                <w:szCs w:val="20"/>
                <w:color w:val="auto"/>
              </w:rPr>
            </w:pPr>
            <w:r>
              <w:rPr>
                <w:rFonts w:ascii="Arial" w:cs="Arial" w:eastAsia="Arial" w:hAnsi="Arial"/>
                <w:sz w:val="17"/>
                <w:szCs w:val="17"/>
                <w:color w:val="auto"/>
              </w:rPr>
              <w:t>Transaction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79,577</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$ 24,375</w:t>
            </w:r>
          </w:p>
        </w:tc>
        <w:tc>
          <w:tcPr>
            <w:tcW w:w="140" w:type="dxa"/>
            <w:vAlign w:val="bottom"/>
            <w:tcBorders>
              <w:right w:val="single" w:sz="8" w:color="auto"/>
            </w:tcBorders>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w w:val="99"/>
              </w:rPr>
              <w:t>$ 69,557</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84"/>
              </w:rPr>
              <w:t>$ 21,473</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$ 10,020</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2,902</w:t>
            </w:r>
          </w:p>
        </w:tc>
        <w:tc>
          <w:tcPr>
            <w:tcW w:w="180" w:type="dxa"/>
            <w:vAlign w:val="bottom"/>
          </w:tcPr>
          <w:p>
            <w:pPr>
              <w:spacing w:after="0"/>
              <w:rPr>
                <w:sz w:val="17"/>
                <w:szCs w:val="17"/>
                <w:color w:val="auto"/>
              </w:rPr>
            </w:pPr>
          </w:p>
        </w:tc>
        <w:tc>
          <w:tcPr>
            <w:tcW w:w="800" w:type="dxa"/>
            <w:vAlign w:val="bottom"/>
            <w:gridSpan w:val="2"/>
          </w:tcPr>
          <w:p>
            <w:pPr>
              <w:jc w:val="right"/>
              <w:ind w:right="15"/>
              <w:spacing w:after="0"/>
              <w:rPr>
                <w:sz w:val="20"/>
                <w:szCs w:val="20"/>
                <w:color w:val="auto"/>
              </w:rPr>
            </w:pPr>
            <w:r>
              <w:rPr>
                <w:rFonts w:ascii="Arial" w:cs="Arial" w:eastAsia="Arial" w:hAnsi="Arial"/>
                <w:sz w:val="17"/>
                <w:szCs w:val="17"/>
                <w:color w:val="auto"/>
              </w:rPr>
              <w:t>14.4 %</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13.5 %</w:t>
            </w:r>
          </w:p>
        </w:tc>
        <w:tc>
          <w:tcPr>
            <w:tcW w:w="0" w:type="dxa"/>
            <w:vAlign w:val="bottom"/>
          </w:tcPr>
          <w:p>
            <w:pPr>
              <w:spacing w:after="0"/>
              <w:rPr>
                <w:sz w:val="1"/>
                <w:szCs w:val="1"/>
                <w:color w:val="auto"/>
              </w:rPr>
            </w:pPr>
          </w:p>
        </w:tc>
      </w:tr>
      <w:tr>
        <w:trPr>
          <w:trHeight w:val="203"/>
        </w:trPr>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Subscription fees</w:t>
            </w:r>
            <w:r>
              <w:rPr>
                <w:rFonts w:ascii="Arial" w:cs="Arial" w:eastAsia="Arial" w:hAnsi="Arial"/>
                <w:sz w:val="8"/>
                <w:szCs w:val="8"/>
                <w:color w:val="auto"/>
              </w:rPr>
              <w:t>(1)</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47,516</w:t>
            </w:r>
          </w:p>
        </w:tc>
        <w:tc>
          <w:tcPr>
            <w:tcW w:w="140" w:type="dxa"/>
            <w:vAlign w:val="bottom"/>
            <w:tcBorders>
              <w:right w:val="single" w:sz="8" w:color="auto"/>
            </w:tcBorders>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49,303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(1,787)</w:t>
            </w:r>
          </w:p>
        </w:tc>
        <w:tc>
          <w:tcPr>
            <w:tcW w:w="8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2.4 %</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3"/>
        </w:trPr>
        <w:tc>
          <w:tcPr>
            <w:tcW w:w="2720" w:type="dxa"/>
            <w:vAlign w:val="bottom"/>
            <w:gridSpan w:val="2"/>
          </w:tcPr>
          <w:p>
            <w:pPr>
              <w:spacing w:after="0"/>
              <w:rPr>
                <w:sz w:val="20"/>
                <w:szCs w:val="20"/>
                <w:color w:val="auto"/>
              </w:rPr>
            </w:pPr>
            <w:r>
              <w:rPr>
                <w:rFonts w:ascii="Arial" w:cs="Arial" w:eastAsia="Arial" w:hAnsi="Arial"/>
                <w:sz w:val="17"/>
                <w:szCs w:val="17"/>
                <w:color w:val="auto"/>
              </w:rPr>
              <w:t>Commissions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26,635</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9,778</w:t>
            </w:r>
          </w:p>
        </w:tc>
        <w:tc>
          <w:tcPr>
            <w:tcW w:w="140" w:type="dxa"/>
            <w:vAlign w:val="bottom"/>
            <w:tcBorders>
              <w:right w:val="single" w:sz="8" w:color="auto"/>
            </w:tcBorders>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17,346</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10,207</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9,289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(429)</w:t>
            </w:r>
          </w:p>
        </w:tc>
        <w:tc>
          <w:tcPr>
            <w:tcW w:w="800" w:type="dxa"/>
            <w:vAlign w:val="bottom"/>
            <w:gridSpan w:val="2"/>
          </w:tcPr>
          <w:p>
            <w:pPr>
              <w:jc w:val="right"/>
              <w:ind w:right="15"/>
              <w:spacing w:after="0"/>
              <w:rPr>
                <w:sz w:val="20"/>
                <w:szCs w:val="20"/>
                <w:color w:val="auto"/>
              </w:rPr>
            </w:pPr>
            <w:r>
              <w:rPr>
                <w:rFonts w:ascii="Arial" w:cs="Arial" w:eastAsia="Arial" w:hAnsi="Arial"/>
                <w:sz w:val="17"/>
                <w:szCs w:val="17"/>
                <w:color w:val="auto"/>
              </w:rPr>
              <w:t>53.6 %</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3"/>
        </w:trPr>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1,867</w:t>
            </w:r>
          </w:p>
        </w:tc>
        <w:tc>
          <w:tcPr>
            <w:tcW w:w="140" w:type="dxa"/>
            <w:vAlign w:val="bottom"/>
            <w:tcBorders>
              <w:right w:val="single" w:sz="8" w:color="auto"/>
            </w:tcBorders>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(823)</w:t>
            </w: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w w:val="95"/>
              </w:rPr>
              <w:t>2,057.1 % (30.6)%</w:t>
            </w:r>
          </w:p>
        </w:tc>
        <w:tc>
          <w:tcPr>
            <w:tcW w:w="0" w:type="dxa"/>
            <w:vAlign w:val="bottom"/>
          </w:tcPr>
          <w:p>
            <w:pPr>
              <w:spacing w:after="0"/>
              <w:rPr>
                <w:sz w:val="1"/>
                <w:szCs w:val="1"/>
                <w:color w:val="auto"/>
              </w:rPr>
            </w:pPr>
          </w:p>
        </w:tc>
      </w:tr>
      <w:tr>
        <w:trPr>
          <w:trHeight w:val="201"/>
        </w:trPr>
        <w:tc>
          <w:tcPr>
            <w:tcW w:w="2720" w:type="dxa"/>
            <w:vAlign w:val="bottom"/>
            <w:gridSpan w:val="2"/>
          </w:tcPr>
          <w:p>
            <w:pPr>
              <w:spacing w:after="0"/>
              <w:rPr>
                <w:sz w:val="20"/>
                <w:szCs w:val="20"/>
                <w:color w:val="auto"/>
              </w:rPr>
            </w:pPr>
            <w:r>
              <w:rPr>
                <w:rFonts w:ascii="Arial" w:cs="Arial" w:eastAsia="Arial" w:hAnsi="Arial"/>
                <w:sz w:val="17"/>
                <w:szCs w:val="17"/>
                <w:color w:val="auto"/>
              </w:rPr>
              <w:t>Gross revenue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106,949</w:t>
            </w:r>
          </w:p>
        </w:tc>
        <w:tc>
          <w:tcPr>
            <w:tcW w:w="18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$ 83,536</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$ 87,342</w:t>
            </w:r>
          </w:p>
        </w:tc>
        <w:tc>
          <w:tcPr>
            <w:tcW w:w="18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$ 83,673</w:t>
            </w:r>
          </w:p>
        </w:tc>
        <w:tc>
          <w:tcPr>
            <w:tcW w:w="18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$ 19,607</w:t>
            </w:r>
          </w:p>
        </w:tc>
        <w:tc>
          <w:tcPr>
            <w:tcW w:w="1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180" w:type="dxa"/>
            <w:vAlign w:val="bottom"/>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22.4</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102"/>
        </w:trPr>
        <w:tc>
          <w:tcPr>
            <w:tcW w:w="22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302" w:right="320" w:hanging="302"/>
        <w:spacing w:after="0" w:line="232" w:lineRule="auto"/>
        <w:tabs>
          <w:tab w:leader="none" w:pos="302" w:val="left"/>
        </w:tabs>
        <w:numPr>
          <w:ilvl w:val="0"/>
          <w:numId w:val="34"/>
        </w:numPr>
        <w:rPr>
          <w:rFonts w:ascii="Arial" w:cs="Arial" w:eastAsia="Arial" w:hAnsi="Arial"/>
          <w:sz w:val="14"/>
          <w:szCs w:val="14"/>
          <w:color w:val="auto"/>
        </w:rPr>
      </w:pPr>
      <w:r>
        <w:rPr>
          <w:rFonts w:ascii="Arial" w:cs="Arial" w:eastAsia="Arial" w:hAnsi="Arial"/>
          <w:sz w:val="14"/>
          <w:szCs w:val="14"/>
          <w:color w:val="auto"/>
        </w:rPr>
        <w:t>Subscription fees for the three months ended June 30, 2019 and 2018 include $13.4 million and $12.1 million, respectively, of Refinitiv (formerly Thomson Reuters) market data fees.</w:t>
      </w:r>
    </w:p>
    <w:p>
      <w:pPr>
        <w:spacing w:after="0" w:line="200" w:lineRule="exact"/>
        <w:rPr>
          <w:sz w:val="20"/>
          <w:szCs w:val="20"/>
          <w:color w:val="auto"/>
        </w:rPr>
      </w:pPr>
    </w:p>
    <w:p>
      <w:pPr>
        <w:spacing w:after="0" w:line="384"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335915</wp:posOffset>
            </wp:positionV>
            <wp:extent cx="5753735" cy="24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2"/>
          </w:cols>
          <w:pgMar w:left="1418" w:top="127" w:right="1419" w:bottom="1440" w:gutter="0" w:footer="0" w:header="0"/>
        </w:sectPr>
      </w:pPr>
    </w:p>
    <w:bookmarkStart w:id="44" w:name="page45"/>
    <w:bookmarkEnd w:id="4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right="100" w:firstLine="305"/>
        <w:spacing w:after="0" w:line="261" w:lineRule="auto"/>
        <w:rPr>
          <w:sz w:val="20"/>
          <w:szCs w:val="20"/>
          <w:color w:val="auto"/>
        </w:rPr>
      </w:pPr>
      <w:r>
        <w:rPr>
          <w:rFonts w:ascii="Arial" w:cs="Arial" w:eastAsia="Arial" w:hAnsi="Arial"/>
          <w:sz w:val="17"/>
          <w:szCs w:val="17"/>
          <w:u w:val="single" w:color="auto"/>
          <w:color w:val="auto"/>
        </w:rPr>
        <w:t>Transaction fees</w:t>
      </w:r>
      <w:r>
        <w:rPr>
          <w:rFonts w:ascii="Arial" w:cs="Arial" w:eastAsia="Arial" w:hAnsi="Arial"/>
          <w:sz w:val="17"/>
          <w:szCs w:val="17"/>
          <w:color w:val="auto"/>
        </w:rPr>
        <w:t>. Transaction fees increased by $12.9 million or 14.2% to $103.9 million for the three months ended June 30, 2019 from $91.0 million for the three months ended June 30, 2018 primarily due to increased volumes for rates derivatives products and ETFs.</w:t>
      </w:r>
    </w:p>
    <w:p>
      <w:pPr>
        <w:spacing w:after="0" w:line="176" w:lineRule="exact"/>
        <w:rPr>
          <w:sz w:val="20"/>
          <w:szCs w:val="20"/>
          <w:color w:val="auto"/>
        </w:rPr>
      </w:pPr>
    </w:p>
    <w:p>
      <w:pPr>
        <w:ind w:right="260" w:firstLine="305"/>
        <w:spacing w:after="0" w:line="312" w:lineRule="auto"/>
        <w:rPr>
          <w:sz w:val="20"/>
          <w:szCs w:val="20"/>
          <w:color w:val="auto"/>
        </w:rPr>
      </w:pPr>
      <w:r>
        <w:rPr>
          <w:rFonts w:ascii="Arial" w:cs="Arial" w:eastAsia="Arial" w:hAnsi="Arial"/>
          <w:sz w:val="15"/>
          <w:szCs w:val="15"/>
          <w:u w:val="single" w:color="auto"/>
          <w:color w:val="auto"/>
        </w:rPr>
        <w:t>Subscription fees</w:t>
      </w:r>
      <w:r>
        <w:rPr>
          <w:rFonts w:ascii="Arial" w:cs="Arial" w:eastAsia="Arial" w:hAnsi="Arial"/>
          <w:sz w:val="15"/>
          <w:szCs w:val="15"/>
          <w:color w:val="auto"/>
        </w:rPr>
        <w:t>. Subscription fees decreased by $1.8 million or (3.6)% to $47.9 million for the three months ended June 30, 2019 from $49.7 million for the three months ended June 30, 2018 primarily due to the timing of Retail fees for software development and implementation and lower European government bond fees, partially offset by higher market data fees.</w:t>
      </w:r>
    </w:p>
    <w:p>
      <w:pPr>
        <w:spacing w:after="0" w:line="137" w:lineRule="exact"/>
        <w:rPr>
          <w:sz w:val="20"/>
          <w:szCs w:val="20"/>
          <w:color w:val="auto"/>
        </w:rPr>
      </w:pPr>
    </w:p>
    <w:p>
      <w:pPr>
        <w:ind w:right="20" w:firstLine="305"/>
        <w:spacing w:after="0" w:line="264" w:lineRule="auto"/>
        <w:rPr>
          <w:sz w:val="20"/>
          <w:szCs w:val="20"/>
          <w:color w:val="auto"/>
        </w:rPr>
      </w:pPr>
      <w:r>
        <w:rPr>
          <w:rFonts w:ascii="Arial" w:cs="Arial" w:eastAsia="Arial" w:hAnsi="Arial"/>
          <w:sz w:val="17"/>
          <w:szCs w:val="17"/>
          <w:u w:val="single" w:color="auto"/>
          <w:color w:val="auto"/>
        </w:rPr>
        <w:t>Commissions</w:t>
      </w:r>
      <w:r>
        <w:rPr>
          <w:rFonts w:ascii="Arial" w:cs="Arial" w:eastAsia="Arial" w:hAnsi="Arial"/>
          <w:sz w:val="17"/>
          <w:szCs w:val="17"/>
          <w:b w:val="1"/>
          <w:bCs w:val="1"/>
          <w:color w:val="auto"/>
        </w:rPr>
        <w:t>.</w:t>
      </w:r>
      <w:r>
        <w:rPr>
          <w:rFonts w:ascii="Arial" w:cs="Arial" w:eastAsia="Arial" w:hAnsi="Arial"/>
          <w:sz w:val="17"/>
          <w:szCs w:val="17"/>
          <w:color w:val="auto"/>
        </w:rPr>
        <w:t xml:space="preserve"> Commissions increased by $8.9 million or 32.2% to $36.4 million for the three months ended June 30, 2019 from $27.5 million for the three months ended June 30, 2018 primarily due to higher trading volumes for U.S. corporate bonds and U.S. treasuries.</w:t>
      </w:r>
    </w:p>
    <w:p>
      <w:pPr>
        <w:spacing w:after="0" w:line="172" w:lineRule="exact"/>
        <w:rPr>
          <w:sz w:val="20"/>
          <w:szCs w:val="20"/>
          <w:color w:val="auto"/>
        </w:rPr>
      </w:pPr>
    </w:p>
    <w:p>
      <w:pPr>
        <w:ind w:right="160" w:firstLine="305"/>
        <w:spacing w:after="0" w:line="261" w:lineRule="auto"/>
        <w:rPr>
          <w:sz w:val="20"/>
          <w:szCs w:val="20"/>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Other revenue decreased by $0.5 million or (19.8)% to $2.2 million for the three months ended June 30, 2019 from $2.7 million for the three months ended June 30, 2018 primarily as a result of lower fees from a third party for certain licensing and development in Canada.</w:t>
      </w:r>
    </w:p>
    <w:p>
      <w:pPr>
        <w:spacing w:after="0" w:line="176" w:lineRule="exact"/>
        <w:rPr>
          <w:sz w:val="20"/>
          <w:szCs w:val="20"/>
          <w:color w:val="auto"/>
        </w:rPr>
      </w:pPr>
    </w:p>
    <w:p>
      <w:pPr>
        <w:jc w:val="both"/>
        <w:ind w:right="60" w:firstLine="305"/>
        <w:spacing w:after="0" w:line="341" w:lineRule="auto"/>
        <w:rPr>
          <w:sz w:val="20"/>
          <w:szCs w:val="20"/>
          <w:color w:val="auto"/>
        </w:rPr>
      </w:pPr>
      <w:r>
        <w:rPr>
          <w:rFonts w:ascii="Arial" w:cs="Arial" w:eastAsia="Arial" w:hAnsi="Arial"/>
          <w:sz w:val="15"/>
          <w:szCs w:val="15"/>
          <w:u w:val="single" w:color="auto"/>
          <w:color w:val="auto"/>
        </w:rPr>
        <w:t>Contingent consideration.</w:t>
      </w:r>
      <w:r>
        <w:rPr>
          <w:rFonts w:ascii="Arial" w:cs="Arial" w:eastAsia="Arial" w:hAnsi="Arial"/>
          <w:sz w:val="15"/>
          <w:szCs w:val="15"/>
          <w:color w:val="auto"/>
        </w:rPr>
        <w:t xml:space="preserve"> There was no contingent consideration for the three months ended June 30, 2019 due to the vesting of the Credit Initiative Earnout at July 31, 2018. Contingent consideration for the three months ended June 30, 2018 was $19.3 million.</w:t>
      </w:r>
    </w:p>
    <w:p>
      <w:pPr>
        <w:spacing w:after="0" w:line="120" w:lineRule="exact"/>
        <w:rPr>
          <w:sz w:val="20"/>
          <w:szCs w:val="20"/>
          <w:color w:val="auto"/>
        </w:rPr>
      </w:pPr>
    </w:p>
    <w:p>
      <w:pPr>
        <w:ind w:right="220" w:firstLine="305"/>
        <w:spacing w:after="0" w:line="273" w:lineRule="auto"/>
        <w:rPr>
          <w:sz w:val="20"/>
          <w:szCs w:val="20"/>
          <w:color w:val="auto"/>
        </w:rPr>
      </w:pPr>
      <w:r>
        <w:rPr>
          <w:rFonts w:ascii="Arial" w:cs="Arial" w:eastAsia="Arial" w:hAnsi="Arial"/>
          <w:sz w:val="17"/>
          <w:szCs w:val="17"/>
          <w:color w:val="auto"/>
        </w:rPr>
        <w:t>Our gross revenue by client sector for the three months ended June 30, 2019 and 2018,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2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vMerge w:val="restart"/>
          </w:tcPr>
          <w:p>
            <w:pPr>
              <w:jc w:val="center"/>
              <w:ind w:right="45"/>
              <w:spacing w:after="0"/>
              <w:rPr>
                <w:sz w:val="20"/>
                <w:szCs w:val="20"/>
                <w:color w:val="auto"/>
              </w:rPr>
            </w:pPr>
            <w:r>
              <w:rPr>
                <w:rFonts w:ascii="Arial" w:cs="Arial" w:eastAsia="Arial" w:hAnsi="Arial"/>
                <w:sz w:val="14"/>
                <w:szCs w:val="14"/>
                <w:b w:val="1"/>
                <w:bCs w:val="1"/>
                <w:color w:val="auto"/>
                <w:w w:val="79"/>
              </w:rPr>
              <w:t>Successor</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80"/>
              </w:rPr>
              <w:t>Predecessor</w:t>
            </w: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8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8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jc w:val="center"/>
              <w:ind w:right="65"/>
              <w:spacing w:after="0" w:line="113" w:lineRule="exact"/>
              <w:rPr>
                <w:sz w:val="20"/>
                <w:szCs w:val="20"/>
                <w:color w:val="auto"/>
              </w:rPr>
            </w:pPr>
            <w:r>
              <w:rPr>
                <w:rFonts w:ascii="Arial" w:cs="Arial" w:eastAsia="Arial" w:hAnsi="Arial"/>
                <w:sz w:val="12"/>
                <w:szCs w:val="12"/>
                <w:b w:val="1"/>
                <w:bCs w:val="1"/>
                <w:color w:val="auto"/>
              </w:rPr>
              <w:t>Three Months</w:t>
            </w:r>
          </w:p>
        </w:tc>
        <w:tc>
          <w:tcPr>
            <w:tcW w:w="1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jc w:val="center"/>
              <w:ind w:right="44"/>
              <w:spacing w:after="0" w:line="113" w:lineRule="exact"/>
              <w:rPr>
                <w:sz w:val="20"/>
                <w:szCs w:val="20"/>
                <w:color w:val="auto"/>
              </w:rPr>
            </w:pPr>
            <w:r>
              <w:rPr>
                <w:rFonts w:ascii="Arial" w:cs="Arial" w:eastAsia="Arial" w:hAnsi="Arial"/>
                <w:sz w:val="12"/>
                <w:szCs w:val="12"/>
                <w:b w:val="1"/>
                <w:bCs w:val="1"/>
                <w:color w:val="auto"/>
              </w:rPr>
              <w:t>Three Months</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8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05"/>
              <w:spacing w:after="0" w:line="140"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64"/>
              <w:spacing w:after="0" w:line="140"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5"/>
              <w:spacing w:after="0" w:line="140"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44"/>
              <w:spacing w:after="0" w:line="140" w:lineRule="exact"/>
              <w:rPr>
                <w:sz w:val="20"/>
                <w:szCs w:val="20"/>
                <w:color w:val="auto"/>
              </w:rPr>
            </w:pPr>
            <w:r>
              <w:rPr>
                <w:rFonts w:ascii="Arial" w:cs="Arial" w:eastAsia="Arial" w:hAnsi="Arial"/>
                <w:sz w:val="14"/>
                <w:szCs w:val="14"/>
                <w:b w:val="1"/>
                <w:bCs w:val="1"/>
                <w:color w:val="auto"/>
                <w:w w:val="85"/>
              </w:rPr>
              <w:t>June 30,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45"/>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2018</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940" w:type="dxa"/>
            <w:vAlign w:val="bottom"/>
            <w:gridSpan w:val="3"/>
          </w:tcPr>
          <w:p>
            <w:pPr>
              <w:jc w:val="right"/>
              <w:ind w:right="16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2"/>
        </w:trPr>
        <w:tc>
          <w:tcPr>
            <w:tcW w:w="28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380" w:type="dxa"/>
            <w:vAlign w:val="bottom"/>
            <w:tcBorders>
              <w:top w:val="single" w:sz="8" w:color="auto"/>
            </w:tcBorders>
            <w:gridSpan w:val="5"/>
          </w:tcPr>
          <w:p>
            <w:pPr>
              <w:jc w:val="right"/>
              <w:ind w:right="544"/>
              <w:spacing w:after="0" w:line="133"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Arial" w:cs="Arial" w:eastAsia="Arial" w:hAnsi="Arial"/>
                <w:sz w:val="17"/>
                <w:szCs w:val="17"/>
                <w:color w:val="auto"/>
              </w:rPr>
              <w:t>Institutional</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111,057</w:t>
            </w:r>
          </w:p>
        </w:tc>
        <w:tc>
          <w:tcPr>
            <w:tcW w:w="16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102,095</w:t>
            </w:r>
          </w:p>
        </w:tc>
        <w:tc>
          <w:tcPr>
            <w:tcW w:w="500" w:type="dxa"/>
            <w:vAlign w:val="bottom"/>
            <w:gridSpan w:val="2"/>
          </w:tcPr>
          <w:p>
            <w:pPr>
              <w:jc w:val="right"/>
              <w:ind w:right="126"/>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8,962</w:t>
            </w:r>
          </w:p>
        </w:tc>
        <w:tc>
          <w:tcPr>
            <w:tcW w:w="22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8.8 %</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Wholesale</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41,945</w:t>
            </w: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32,265</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9,680</w:t>
            </w:r>
          </w:p>
        </w:tc>
        <w:tc>
          <w:tcPr>
            <w:tcW w:w="2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30.0 %</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Arial" w:cs="Arial" w:eastAsia="Arial" w:hAnsi="Arial"/>
                <w:sz w:val="17"/>
                <w:szCs w:val="17"/>
                <w:color w:val="auto"/>
              </w:rPr>
              <w:t>Retail</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19,939</w:t>
            </w: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20,918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(979)</w:t>
            </w:r>
          </w:p>
        </w:tc>
        <w:tc>
          <w:tcPr>
            <w:tcW w:w="22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Market Data</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17,544</w:t>
            </w: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15,737</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1,807</w:t>
            </w:r>
          </w:p>
        </w:tc>
        <w:tc>
          <w:tcPr>
            <w:tcW w:w="2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11.5 %</w:t>
            </w:r>
          </w:p>
        </w:tc>
        <w:tc>
          <w:tcPr>
            <w:tcW w:w="0" w:type="dxa"/>
            <w:vAlign w:val="bottom"/>
          </w:tcPr>
          <w:p>
            <w:pPr>
              <w:spacing w:after="0"/>
              <w:rPr>
                <w:sz w:val="1"/>
                <w:szCs w:val="1"/>
                <w:color w:val="auto"/>
              </w:rPr>
            </w:pPr>
          </w:p>
        </w:tc>
      </w:tr>
      <w:tr>
        <w:trPr>
          <w:trHeight w:val="201"/>
        </w:trPr>
        <w:tc>
          <w:tcPr>
            <w:tcW w:w="2840" w:type="dxa"/>
            <w:vAlign w:val="bottom"/>
          </w:tcPr>
          <w:p>
            <w:pPr>
              <w:ind w:left="100"/>
              <w:spacing w:after="0"/>
              <w:rPr>
                <w:sz w:val="20"/>
                <w:szCs w:val="20"/>
                <w:color w:val="auto"/>
              </w:rPr>
            </w:pPr>
            <w:r>
              <w:rPr>
                <w:rFonts w:ascii="Arial" w:cs="Arial" w:eastAsia="Arial" w:hAnsi="Arial"/>
                <w:sz w:val="17"/>
                <w:szCs w:val="17"/>
                <w:color w:val="auto"/>
              </w:rPr>
              <w:t>Total gross revenue</w:t>
            </w:r>
          </w:p>
        </w:tc>
        <w:tc>
          <w:tcPr>
            <w:tcW w:w="14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190,485</w:t>
            </w: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171,015</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19,470</w:t>
            </w:r>
          </w:p>
        </w:tc>
        <w:tc>
          <w:tcPr>
            <w:tcW w:w="22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20" w:type="dxa"/>
            <w:vAlign w:val="bottom"/>
            <w:tcBorders>
              <w:top w:val="single" w:sz="8" w:color="auto"/>
            </w:tcBorders>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20" w:firstLine="305"/>
        <w:spacing w:after="0" w:line="257" w:lineRule="auto"/>
        <w:rPr>
          <w:sz w:val="20"/>
          <w:szCs w:val="20"/>
          <w:color w:val="auto"/>
        </w:rPr>
      </w:pPr>
      <w:r>
        <w:rPr>
          <w:rFonts w:ascii="Arial" w:cs="Arial" w:eastAsia="Arial" w:hAnsi="Arial"/>
          <w:sz w:val="17"/>
          <w:szCs w:val="17"/>
          <w:u w:val="single" w:color="auto"/>
          <w:color w:val="auto"/>
        </w:rPr>
        <w:t>Institutional.</w:t>
      </w:r>
      <w:r>
        <w:rPr>
          <w:rFonts w:ascii="Arial" w:cs="Arial" w:eastAsia="Arial" w:hAnsi="Arial"/>
          <w:sz w:val="17"/>
          <w:szCs w:val="17"/>
          <w:color w:val="auto"/>
        </w:rPr>
        <w:t xml:space="preserve"> Revenues from our Institutional client sector increased by $9.0 million or 8.8% to $111.1 million for the three months ended June 30, 2019 from $102.1 million for the three months ended June 30, 2018. The increase was derived primarily from increased volumes for rates derivatives products, ETFs and mortgages products, partially offset by the impact of foreign exchange, mainly the deterioration of the euro.</w:t>
      </w:r>
    </w:p>
    <w:p>
      <w:pPr>
        <w:spacing w:after="0" w:line="179" w:lineRule="exact"/>
        <w:rPr>
          <w:sz w:val="20"/>
          <w:szCs w:val="20"/>
          <w:color w:val="auto"/>
        </w:rPr>
      </w:pPr>
    </w:p>
    <w:p>
      <w:pPr>
        <w:ind w:right="60" w:firstLine="305"/>
        <w:spacing w:after="0" w:line="261" w:lineRule="auto"/>
        <w:rPr>
          <w:sz w:val="20"/>
          <w:szCs w:val="20"/>
          <w:color w:val="auto"/>
        </w:rPr>
      </w:pPr>
      <w:r>
        <w:rPr>
          <w:rFonts w:ascii="Arial" w:cs="Arial" w:eastAsia="Arial" w:hAnsi="Arial"/>
          <w:sz w:val="17"/>
          <w:szCs w:val="17"/>
          <w:u w:val="single" w:color="auto"/>
          <w:color w:val="auto"/>
        </w:rPr>
        <w:t>Wholesale</w:t>
      </w:r>
      <w:r>
        <w:rPr>
          <w:rFonts w:ascii="Arial" w:cs="Arial" w:eastAsia="Arial" w:hAnsi="Arial"/>
          <w:sz w:val="17"/>
          <w:szCs w:val="17"/>
          <w:color w:val="auto"/>
        </w:rPr>
        <w:t>. Revenues from our Wholesale client sector increased by $9.7 million or 30.0% to $41.9 million for the three months ended June 30, 2019 from $32.3 million for the three months ended June 30, 2018. The increase was derived primarily from U.S. session-based and U.S. treasuries trading volumes.</w:t>
      </w:r>
    </w:p>
    <w:p>
      <w:pPr>
        <w:spacing w:after="0" w:line="176" w:lineRule="exact"/>
        <w:rPr>
          <w:sz w:val="20"/>
          <w:szCs w:val="20"/>
          <w:color w:val="auto"/>
        </w:rPr>
      </w:pPr>
    </w:p>
    <w:p>
      <w:pPr>
        <w:ind w:right="60" w:firstLine="305"/>
        <w:spacing w:after="0" w:line="261" w:lineRule="auto"/>
        <w:rPr>
          <w:sz w:val="20"/>
          <w:szCs w:val="20"/>
          <w:color w:val="auto"/>
        </w:rPr>
      </w:pPr>
      <w:r>
        <w:rPr>
          <w:rFonts w:ascii="Arial" w:cs="Arial" w:eastAsia="Arial" w:hAnsi="Arial"/>
          <w:sz w:val="17"/>
          <w:szCs w:val="17"/>
          <w:u w:val="single" w:color="auto"/>
          <w:color w:val="auto"/>
        </w:rPr>
        <w:t>Retail.</w:t>
      </w:r>
      <w:r>
        <w:rPr>
          <w:rFonts w:ascii="Arial" w:cs="Arial" w:eastAsia="Arial" w:hAnsi="Arial"/>
          <w:sz w:val="17"/>
          <w:szCs w:val="17"/>
          <w:color w:val="auto"/>
        </w:rPr>
        <w:t xml:space="preserve"> Revenues from our Retail client sector decreased by $1.0 million or (4.7)% to $19.9 million for the three months ended June 30, 2019 from $20.9 million for the three months ended June 30, 2018. The decrease was primarily due to the timing of fees for software development and implementation.</w:t>
      </w:r>
    </w:p>
    <w:p>
      <w:pPr>
        <w:spacing w:after="0" w:line="176" w:lineRule="exact"/>
        <w:rPr>
          <w:sz w:val="20"/>
          <w:szCs w:val="20"/>
          <w:color w:val="auto"/>
        </w:rPr>
      </w:pPr>
    </w:p>
    <w:p>
      <w:pPr>
        <w:ind w:right="60" w:firstLine="305"/>
        <w:spacing w:after="0" w:line="285" w:lineRule="auto"/>
        <w:rPr>
          <w:sz w:val="20"/>
          <w:szCs w:val="20"/>
          <w:color w:val="auto"/>
        </w:rPr>
      </w:pPr>
      <w:r>
        <w:rPr>
          <w:rFonts w:ascii="Arial" w:cs="Arial" w:eastAsia="Arial" w:hAnsi="Arial"/>
          <w:sz w:val="16"/>
          <w:szCs w:val="16"/>
          <w:u w:val="single" w:color="auto"/>
          <w:color w:val="auto"/>
        </w:rPr>
        <w:t>Market Data.</w:t>
      </w:r>
      <w:r>
        <w:rPr>
          <w:rFonts w:ascii="Arial" w:cs="Arial" w:eastAsia="Arial" w:hAnsi="Arial"/>
          <w:sz w:val="16"/>
          <w:szCs w:val="16"/>
          <w:color w:val="auto"/>
        </w:rPr>
        <w:t xml:space="preserve"> Revenues from our Market Data client sector increased by $1.8 million or 11.5% to $17.5 million for the three months ended June 30, 2019 from $15.7 million for the three months ended June 30, 2018 primarily as a result of increased Refinitiv (formerly Thomson Reuters) license fees due to an increase in the number of market data feeds provided to Refinitiv.</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5" w:name="page46"/>
    <w:bookmarkEnd w:id="4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right="340" w:firstLine="305"/>
        <w:spacing w:after="0" w:line="273" w:lineRule="auto"/>
        <w:rPr>
          <w:sz w:val="20"/>
          <w:szCs w:val="20"/>
          <w:color w:val="auto"/>
        </w:rPr>
      </w:pPr>
      <w:r>
        <w:rPr>
          <w:rFonts w:ascii="Arial" w:cs="Arial" w:eastAsia="Arial" w:hAnsi="Arial"/>
          <w:sz w:val="17"/>
          <w:szCs w:val="17"/>
          <w:color w:val="auto"/>
        </w:rPr>
        <w:t>Our gross revenue by asset class for the three months ended June 30, 2019 and 2018,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4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79"/>
              </w:rPr>
              <w:t>Successor</w:t>
            </w:r>
          </w:p>
        </w:tc>
        <w:tc>
          <w:tcPr>
            <w:tcW w:w="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w w:val="80"/>
              </w:rPr>
              <w:t>Predecessor</w:t>
            </w: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1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center"/>
              <w:ind w:right="44"/>
              <w:spacing w:after="0" w:line="113" w:lineRule="exact"/>
              <w:rPr>
                <w:sz w:val="20"/>
                <w:szCs w:val="20"/>
                <w:color w:val="auto"/>
              </w:rPr>
            </w:pPr>
            <w:r>
              <w:rPr>
                <w:rFonts w:ascii="Arial" w:cs="Arial" w:eastAsia="Arial" w:hAnsi="Arial"/>
                <w:sz w:val="12"/>
                <w:szCs w:val="12"/>
                <w:b w:val="1"/>
                <w:bCs w:val="1"/>
                <w:color w:val="auto"/>
              </w:rPr>
              <w:t>Three Months</w:t>
            </w:r>
          </w:p>
        </w:tc>
        <w:tc>
          <w:tcPr>
            <w:tcW w:w="16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ind w:right="63"/>
              <w:spacing w:after="0" w:line="113" w:lineRule="exact"/>
              <w:rPr>
                <w:sz w:val="20"/>
                <w:szCs w:val="20"/>
                <w:color w:val="auto"/>
              </w:rPr>
            </w:pPr>
            <w:r>
              <w:rPr>
                <w:rFonts w:ascii="Arial" w:cs="Arial" w:eastAsia="Arial" w:hAnsi="Arial"/>
                <w:sz w:val="12"/>
                <w:szCs w:val="12"/>
                <w:b w:val="1"/>
                <w:bCs w:val="1"/>
                <w:color w:val="auto"/>
              </w:rPr>
              <w:t>Three Months</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4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w w:val="88"/>
              </w:rPr>
              <w:t>Ended</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83"/>
              <w:spacing w:after="0" w:line="140" w:lineRule="exact"/>
              <w:rPr>
                <w:sz w:val="20"/>
                <w:szCs w:val="20"/>
                <w:color w:val="auto"/>
              </w:rPr>
            </w:pPr>
            <w:r>
              <w:rPr>
                <w:rFonts w:ascii="Arial" w:cs="Arial" w:eastAsia="Arial" w:hAnsi="Arial"/>
                <w:sz w:val="14"/>
                <w:szCs w:val="14"/>
                <w:b w:val="1"/>
                <w:bCs w:val="1"/>
                <w:color w:val="auto"/>
                <w:w w:val="84"/>
              </w:rPr>
              <w:t>Ended</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00"/>
              <w:spacing w:after="0" w:line="140" w:lineRule="exact"/>
              <w:rPr>
                <w:sz w:val="20"/>
                <w:szCs w:val="20"/>
                <w:color w:val="auto"/>
              </w:rPr>
            </w:pPr>
            <w:r>
              <w:rPr>
                <w:rFonts w:ascii="Arial" w:cs="Arial" w:eastAsia="Arial" w:hAnsi="Arial"/>
                <w:sz w:val="14"/>
                <w:szCs w:val="14"/>
                <w:b w:val="1"/>
                <w:bCs w:val="1"/>
                <w:color w:val="auto"/>
                <w:w w:val="85"/>
              </w:rPr>
              <w:t>June 30,</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3"/>
              <w:spacing w:after="0" w:line="140" w:lineRule="exact"/>
              <w:rPr>
                <w:sz w:val="20"/>
                <w:szCs w:val="20"/>
                <w:color w:val="auto"/>
              </w:rPr>
            </w:pPr>
            <w:r>
              <w:rPr>
                <w:rFonts w:ascii="Arial" w:cs="Arial" w:eastAsia="Arial" w:hAnsi="Arial"/>
                <w:sz w:val="14"/>
                <w:szCs w:val="14"/>
                <w:b w:val="1"/>
                <w:bCs w:val="1"/>
                <w:color w:val="auto"/>
                <w:w w:val="85"/>
              </w:rPr>
              <w:t>June 30,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2018</w:t>
            </w: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940" w:type="dxa"/>
            <w:vAlign w:val="bottom"/>
            <w:gridSpan w:val="2"/>
          </w:tcPr>
          <w:p>
            <w:pPr>
              <w:jc w:val="right"/>
              <w:ind w:right="15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2"/>
        </w:trPr>
        <w:tc>
          <w:tcPr>
            <w:tcW w:w="4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480" w:type="dxa"/>
            <w:vAlign w:val="bottom"/>
            <w:tcBorders>
              <w:top w:val="single" w:sz="8" w:color="auto"/>
            </w:tcBorders>
            <w:gridSpan w:val="6"/>
          </w:tcPr>
          <w:p>
            <w:pPr>
              <w:jc w:val="right"/>
              <w:ind w:right="603"/>
              <w:spacing w:after="0" w:line="133"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Arial" w:cs="Arial" w:eastAsia="Arial" w:hAnsi="Arial"/>
                <w:sz w:val="17"/>
                <w:szCs w:val="17"/>
                <w:color w:val="auto"/>
              </w:rPr>
              <w:t>Rates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107,063</w:t>
            </w:r>
          </w:p>
        </w:tc>
        <w:tc>
          <w:tcPr>
            <w:tcW w:w="1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95,136</w:t>
            </w:r>
          </w:p>
        </w:tc>
        <w:tc>
          <w:tcPr>
            <w:tcW w:w="480" w:type="dxa"/>
            <w:vAlign w:val="bottom"/>
            <w:gridSpan w:val="2"/>
          </w:tcPr>
          <w:p>
            <w:pPr>
              <w:jc w:val="right"/>
              <w:ind w:right="86"/>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11,927</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12.5 %</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Credit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39,599</w:t>
            </w:r>
          </w:p>
        </w:tc>
        <w:tc>
          <w:tcPr>
            <w:tcW w:w="16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34,077</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5,522</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16.2 %</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Arial" w:cs="Arial" w:eastAsia="Arial" w:hAnsi="Arial"/>
                <w:sz w:val="17"/>
                <w:szCs w:val="17"/>
                <w:color w:val="auto"/>
              </w:rPr>
              <w:t>Equities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11,116</w:t>
            </w:r>
          </w:p>
        </w:tc>
        <w:tc>
          <w:tcPr>
            <w:tcW w:w="1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9,671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1,445</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14.9 %</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Money Markets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10,322</w:t>
            </w:r>
          </w:p>
        </w:tc>
        <w:tc>
          <w:tcPr>
            <w:tcW w:w="16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8,467</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1,855</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21.9 %</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Arial" w:cs="Arial" w:eastAsia="Arial" w:hAnsi="Arial"/>
                <w:sz w:val="17"/>
                <w:szCs w:val="17"/>
                <w:color w:val="auto"/>
              </w:rPr>
              <w:t>Market Data</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17,544</w:t>
            </w:r>
          </w:p>
        </w:tc>
        <w:tc>
          <w:tcPr>
            <w:tcW w:w="1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15,737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1,807</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11.5 %</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Other Fees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4,841</w:t>
            </w:r>
          </w:p>
        </w:tc>
        <w:tc>
          <w:tcPr>
            <w:tcW w:w="16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7,927</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(3,086)</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(38.9)%</w:t>
            </w:r>
          </w:p>
        </w:tc>
        <w:tc>
          <w:tcPr>
            <w:tcW w:w="0" w:type="dxa"/>
            <w:vAlign w:val="bottom"/>
          </w:tcPr>
          <w:p>
            <w:pPr>
              <w:spacing w:after="0"/>
              <w:rPr>
                <w:sz w:val="1"/>
                <w:szCs w:val="1"/>
                <w:color w:val="auto"/>
              </w:rPr>
            </w:pPr>
          </w:p>
        </w:tc>
      </w:tr>
      <w:tr>
        <w:trPr>
          <w:trHeight w:val="201"/>
        </w:trPr>
        <w:tc>
          <w:tcPr>
            <w:tcW w:w="4180" w:type="dxa"/>
            <w:vAlign w:val="bottom"/>
          </w:tcPr>
          <w:p>
            <w:pPr>
              <w:ind w:left="200"/>
              <w:spacing w:after="0"/>
              <w:rPr>
                <w:sz w:val="20"/>
                <w:szCs w:val="20"/>
                <w:color w:val="auto"/>
              </w:rPr>
            </w:pPr>
            <w:r>
              <w:rPr>
                <w:rFonts w:ascii="Arial" w:cs="Arial" w:eastAsia="Arial" w:hAnsi="Arial"/>
                <w:sz w:val="17"/>
                <w:szCs w:val="17"/>
                <w:color w:val="auto"/>
              </w:rPr>
              <w:t>Total gross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190,485</w:t>
            </w:r>
          </w:p>
        </w:tc>
        <w:tc>
          <w:tcPr>
            <w:tcW w:w="160" w:type="dxa"/>
            <w:vAlign w:val="bottom"/>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171,015</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19,470</w:t>
            </w:r>
          </w:p>
        </w:tc>
        <w:tc>
          <w:tcPr>
            <w:tcW w:w="24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14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160" w:firstLine="610"/>
        <w:spacing w:after="0" w:line="273" w:lineRule="auto"/>
        <w:rPr>
          <w:sz w:val="20"/>
          <w:szCs w:val="20"/>
          <w:color w:val="auto"/>
        </w:rPr>
      </w:pPr>
      <w:r>
        <w:rPr>
          <w:rFonts w:ascii="Arial" w:cs="Arial" w:eastAsia="Arial" w:hAnsi="Arial"/>
          <w:sz w:val="17"/>
          <w:szCs w:val="17"/>
          <w:color w:val="auto"/>
        </w:rPr>
        <w:t>Our variable and fixed revenues by asset class for the three months ended June 30, 2019 and 2018,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vMerge w:val="restart"/>
          </w:tcPr>
          <w:p>
            <w:pPr>
              <w:jc w:val="center"/>
              <w:ind w:right="27"/>
              <w:spacing w:after="0"/>
              <w:rPr>
                <w:sz w:val="20"/>
                <w:szCs w:val="20"/>
                <w:color w:val="auto"/>
              </w:rPr>
            </w:pPr>
            <w:r>
              <w:rPr>
                <w:rFonts w:ascii="Arial" w:cs="Arial" w:eastAsia="Arial" w:hAnsi="Arial"/>
                <w:sz w:val="14"/>
                <w:szCs w:val="14"/>
                <w:b w:val="1"/>
                <w:bCs w:val="1"/>
                <w:color w:val="auto"/>
                <w:w w:val="81"/>
              </w:rPr>
              <w:t>Successor</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3"/>
              </w:rPr>
              <w:t>Predecessor</w:t>
            </w: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9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gridSpan w:val="3"/>
          </w:tcPr>
          <w:p>
            <w:pPr>
              <w:jc w:val="center"/>
              <w:ind w:right="27"/>
              <w:spacing w:after="0" w:line="113" w:lineRule="exact"/>
              <w:rPr>
                <w:sz w:val="20"/>
                <w:szCs w:val="20"/>
                <w:color w:val="auto"/>
              </w:rPr>
            </w:pPr>
            <w:r>
              <w:rPr>
                <w:rFonts w:ascii="Arial" w:cs="Arial" w:eastAsia="Arial" w:hAnsi="Arial"/>
                <w:sz w:val="12"/>
                <w:szCs w:val="12"/>
                <w:b w:val="1"/>
                <w:bCs w:val="1"/>
                <w:color w:val="auto"/>
              </w:rPr>
              <w:t>Three Months Ended</w:t>
            </w: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Borders>
              <w:top w:val="single" w:sz="8" w:color="auto"/>
            </w:tcBorders>
            <w:gridSpan w:val="3"/>
          </w:tcPr>
          <w:p>
            <w:pPr>
              <w:jc w:val="center"/>
              <w:spacing w:after="0" w:line="113" w:lineRule="exact"/>
              <w:rPr>
                <w:sz w:val="20"/>
                <w:szCs w:val="20"/>
                <w:color w:val="auto"/>
              </w:rPr>
            </w:pPr>
            <w:r>
              <w:rPr>
                <w:rFonts w:ascii="Arial" w:cs="Arial" w:eastAsia="Arial" w:hAnsi="Arial"/>
                <w:sz w:val="12"/>
                <w:szCs w:val="12"/>
                <w:b w:val="1"/>
                <w:bCs w:val="1"/>
                <w:color w:val="auto"/>
              </w:rPr>
              <w:t>Three Months Ended</w:t>
            </w: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center"/>
              <w:ind w:right="27"/>
              <w:spacing w:after="0"/>
              <w:rPr>
                <w:sz w:val="20"/>
                <w:szCs w:val="20"/>
                <w:color w:val="auto"/>
              </w:rPr>
            </w:pPr>
            <w:r>
              <w:rPr>
                <w:rFonts w:ascii="Arial" w:cs="Arial" w:eastAsia="Arial" w:hAnsi="Arial"/>
                <w:sz w:val="14"/>
                <w:szCs w:val="14"/>
                <w:b w:val="1"/>
                <w:bCs w:val="1"/>
                <w:color w:val="auto"/>
                <w:w w:val="85"/>
              </w:rPr>
              <w:t>June 30, 2019</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June 30, 2018</w:t>
            </w:r>
          </w:p>
        </w:tc>
        <w:tc>
          <w:tcPr>
            <w:tcW w:w="1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 Change</w:t>
            </w:r>
          </w:p>
        </w:tc>
        <w:tc>
          <w:tcPr>
            <w:tcW w:w="1300" w:type="dxa"/>
            <w:vAlign w:val="bottom"/>
            <w:gridSpan w:val="4"/>
          </w:tcPr>
          <w:p>
            <w:pPr>
              <w:jc w:val="right"/>
              <w:ind w:right="34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2"/>
        </w:trPr>
        <w:tc>
          <w:tcPr>
            <w:tcW w:w="29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42"/>
              <w:spacing w:after="0" w:line="133" w:lineRule="exact"/>
              <w:rPr>
                <w:sz w:val="20"/>
                <w:szCs w:val="20"/>
                <w:color w:val="auto"/>
              </w:rPr>
            </w:pPr>
            <w:r>
              <w:rPr>
                <w:rFonts w:ascii="Arial" w:cs="Arial" w:eastAsia="Arial" w:hAnsi="Arial"/>
                <w:sz w:val="14"/>
                <w:szCs w:val="14"/>
                <w:b w:val="1"/>
                <w:bCs w:val="1"/>
                <w:color w:val="auto"/>
                <w:w w:val="88"/>
              </w:rPr>
              <w:t>Variable</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67"/>
              <w:spacing w:after="0" w:line="133" w:lineRule="exact"/>
              <w:rPr>
                <w:sz w:val="20"/>
                <w:szCs w:val="20"/>
                <w:color w:val="auto"/>
              </w:rPr>
            </w:pPr>
            <w:r>
              <w:rPr>
                <w:rFonts w:ascii="Arial" w:cs="Arial" w:eastAsia="Arial" w:hAnsi="Arial"/>
                <w:sz w:val="14"/>
                <w:szCs w:val="14"/>
                <w:b w:val="1"/>
                <w:bCs w:val="1"/>
                <w:color w:val="auto"/>
              </w:rPr>
              <w:t>Fixed</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99"/>
              </w:rPr>
              <w:t>Variable</w:t>
            </w: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84"/>
              <w:spacing w:after="0" w:line="133" w:lineRule="exact"/>
              <w:rPr>
                <w:sz w:val="20"/>
                <w:szCs w:val="20"/>
                <w:color w:val="auto"/>
              </w:rPr>
            </w:pPr>
            <w:r>
              <w:rPr>
                <w:rFonts w:ascii="Arial" w:cs="Arial" w:eastAsia="Arial" w:hAnsi="Arial"/>
                <w:sz w:val="14"/>
                <w:szCs w:val="14"/>
                <w:b w:val="1"/>
                <w:bCs w:val="1"/>
                <w:color w:val="auto"/>
              </w:rPr>
              <w:t>Fixed</w:t>
            </w:r>
          </w:p>
        </w:tc>
        <w:tc>
          <w:tcPr>
            <w:tcW w:w="16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240"/>
              <w:spacing w:after="0" w:line="133" w:lineRule="exact"/>
              <w:rPr>
                <w:sz w:val="20"/>
                <w:szCs w:val="20"/>
                <w:color w:val="auto"/>
              </w:rPr>
            </w:pPr>
            <w:r>
              <w:rPr>
                <w:rFonts w:ascii="Arial" w:cs="Arial" w:eastAsia="Arial" w:hAnsi="Arial"/>
                <w:sz w:val="14"/>
                <w:szCs w:val="14"/>
                <w:b w:val="1"/>
                <w:bCs w:val="1"/>
                <w:color w:val="auto"/>
              </w:rPr>
              <w:t>Variable</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w w:val="92"/>
              </w:rPr>
              <w:t>Fixed</w:t>
            </w:r>
          </w:p>
        </w:tc>
        <w:tc>
          <w:tcPr>
            <w:tcW w:w="160" w:type="dxa"/>
            <w:vAlign w:val="bottom"/>
          </w:tcPr>
          <w:p>
            <w:pPr>
              <w:spacing w:after="0"/>
              <w:rPr>
                <w:sz w:val="11"/>
                <w:szCs w:val="11"/>
                <w:color w:val="auto"/>
              </w:rPr>
            </w:pPr>
          </w:p>
        </w:tc>
        <w:tc>
          <w:tcPr>
            <w:tcW w:w="660" w:type="dxa"/>
            <w:vAlign w:val="bottom"/>
            <w:tcBorders>
              <w:top w:val="single" w:sz="8" w:color="auto"/>
            </w:tcBorders>
            <w:gridSpan w:val="2"/>
          </w:tcPr>
          <w:p>
            <w:pPr>
              <w:jc w:val="right"/>
              <w:ind w:right="75"/>
              <w:spacing w:after="0" w:line="133" w:lineRule="exact"/>
              <w:rPr>
                <w:sz w:val="20"/>
                <w:szCs w:val="20"/>
                <w:color w:val="auto"/>
              </w:rPr>
            </w:pPr>
            <w:r>
              <w:rPr>
                <w:rFonts w:ascii="Arial" w:cs="Arial" w:eastAsia="Arial" w:hAnsi="Arial"/>
                <w:sz w:val="14"/>
                <w:szCs w:val="14"/>
                <w:b w:val="1"/>
                <w:bCs w:val="1"/>
                <w:color w:val="auto"/>
                <w:w w:val="88"/>
              </w:rPr>
              <w:t>Variable</w:t>
            </w:r>
          </w:p>
        </w:tc>
        <w:tc>
          <w:tcPr>
            <w:tcW w:w="520" w:type="dxa"/>
            <w:vAlign w:val="bottom"/>
            <w:tcBorders>
              <w:top w:val="single" w:sz="8" w:color="auto"/>
            </w:tcBorders>
          </w:tcPr>
          <w:p>
            <w:pPr>
              <w:jc w:val="right"/>
              <w:ind w:right="20"/>
              <w:spacing w:after="0" w:line="133" w:lineRule="exact"/>
              <w:rPr>
                <w:sz w:val="20"/>
                <w:szCs w:val="20"/>
                <w:color w:val="auto"/>
              </w:rPr>
            </w:pPr>
            <w:r>
              <w:rPr>
                <w:rFonts w:ascii="Arial" w:cs="Arial" w:eastAsia="Arial" w:hAnsi="Arial"/>
                <w:sz w:val="14"/>
                <w:szCs w:val="14"/>
                <w:b w:val="1"/>
                <w:bCs w:val="1"/>
                <w:color w:val="auto"/>
              </w:rPr>
              <w:t>Fixed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4"/>
          </w:tcPr>
          <w:p>
            <w:pPr>
              <w:jc w:val="right"/>
              <w:ind w:right="68"/>
              <w:spacing w:after="0" w:line="133" w:lineRule="exact"/>
              <w:rPr>
                <w:sz w:val="20"/>
                <w:szCs w:val="20"/>
                <w:color w:val="auto"/>
              </w:rPr>
            </w:pPr>
            <w:r>
              <w:rPr>
                <w:rFonts w:ascii="Arial" w:cs="Arial" w:eastAsia="Arial" w:hAnsi="Arial"/>
                <w:sz w:val="14"/>
                <w:szCs w:val="14"/>
                <w:b w:val="1"/>
                <w:bCs w:val="1"/>
                <w:color w:val="auto"/>
                <w:w w:val="87"/>
              </w:rPr>
              <w:t>(dollars in thousands)</w:t>
            </w: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rPr>
                <w:sz w:val="20"/>
                <w:szCs w:val="20"/>
                <w:color w:val="auto"/>
              </w:rPr>
            </w:pPr>
            <w:r>
              <w:rPr>
                <w:rFonts w:ascii="Arial" w:cs="Arial" w:eastAsia="Arial" w:hAnsi="Arial"/>
                <w:sz w:val="17"/>
                <w:szCs w:val="17"/>
                <w:color w:val="auto"/>
              </w:rPr>
              <w:t>Rates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56,743</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$ 50,320</w:t>
            </w:r>
          </w:p>
        </w:tc>
        <w:tc>
          <w:tcPr>
            <w:tcW w:w="120" w:type="dxa"/>
            <w:vAlign w:val="bottom"/>
            <w:tcBorders>
              <w:right w:val="single" w:sz="8" w:color="auto"/>
            </w:tcBorders>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w w:val="96"/>
              </w:rPr>
              <w:t>$ 45,307</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$ 49,829</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87"/>
              </w:rPr>
              <w:t>$ 11,436</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491</w:t>
            </w:r>
          </w:p>
        </w:tc>
        <w:tc>
          <w:tcPr>
            <w:tcW w:w="160" w:type="dxa"/>
            <w:vAlign w:val="bottom"/>
          </w:tcPr>
          <w:p>
            <w:pPr>
              <w:spacing w:after="0"/>
              <w:rPr>
                <w:sz w:val="17"/>
                <w:szCs w:val="17"/>
                <w:color w:val="auto"/>
              </w:rPr>
            </w:pPr>
          </w:p>
        </w:tc>
        <w:tc>
          <w:tcPr>
            <w:tcW w:w="1300" w:type="dxa"/>
            <w:vAlign w:val="bottom"/>
            <w:gridSpan w:val="4"/>
          </w:tcPr>
          <w:p>
            <w:pPr>
              <w:jc w:val="right"/>
              <w:spacing w:after="0"/>
              <w:rPr>
                <w:sz w:val="20"/>
                <w:szCs w:val="20"/>
                <w:color w:val="auto"/>
              </w:rPr>
            </w:pPr>
            <w:r>
              <w:rPr>
                <w:rFonts w:ascii="Arial" w:cs="Arial" w:eastAsia="Arial" w:hAnsi="Arial"/>
                <w:sz w:val="17"/>
                <w:szCs w:val="17"/>
                <w:color w:val="auto"/>
              </w:rPr>
              <w:t>25.2 %   1.0 %</w:t>
            </w: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Credit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34,337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5,262</w:t>
            </w:r>
          </w:p>
        </w:tc>
        <w:tc>
          <w:tcPr>
            <w:tcW w:w="120" w:type="dxa"/>
            <w:vAlign w:val="bottom"/>
            <w:tcBorders>
              <w:right w:val="single" w:sz="8" w:color="auto"/>
            </w:tcBorders>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29,102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4,975</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60" w:type="dxa"/>
            <w:vAlign w:val="bottom"/>
            <w:shd w:val="clear" w:color="auto" w:fill="CCEEFF"/>
          </w:tcPr>
          <w:p>
            <w:pPr>
              <w:spacing w:after="0"/>
              <w:rPr>
                <w:sz w:val="17"/>
                <w:szCs w:val="17"/>
                <w:color w:val="auto"/>
              </w:rPr>
            </w:pP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18.0 %   5.8 %</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20"/>
                <w:szCs w:val="20"/>
                <w:color w:val="auto"/>
              </w:rPr>
            </w:pPr>
            <w:r>
              <w:rPr>
                <w:rFonts w:ascii="Arial" w:cs="Arial" w:eastAsia="Arial" w:hAnsi="Arial"/>
                <w:sz w:val="17"/>
                <w:szCs w:val="17"/>
                <w:color w:val="auto"/>
              </w:rPr>
              <w:t>Equities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9,195</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1,921</w:t>
            </w:r>
          </w:p>
        </w:tc>
        <w:tc>
          <w:tcPr>
            <w:tcW w:w="120" w:type="dxa"/>
            <w:vAlign w:val="bottom"/>
            <w:tcBorders>
              <w:right w:val="single" w:sz="8" w:color="auto"/>
            </w:tcBorders>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7,907</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1,764</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1,288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157</w:t>
            </w:r>
          </w:p>
        </w:tc>
        <w:tc>
          <w:tcPr>
            <w:tcW w:w="160" w:type="dxa"/>
            <w:vAlign w:val="bottom"/>
          </w:tcPr>
          <w:p>
            <w:pPr>
              <w:spacing w:after="0"/>
              <w:rPr>
                <w:sz w:val="17"/>
                <w:szCs w:val="17"/>
                <w:color w:val="auto"/>
              </w:rPr>
            </w:pPr>
          </w:p>
        </w:tc>
        <w:tc>
          <w:tcPr>
            <w:tcW w:w="1300" w:type="dxa"/>
            <w:vAlign w:val="bottom"/>
            <w:gridSpan w:val="4"/>
          </w:tcPr>
          <w:p>
            <w:pPr>
              <w:jc w:val="right"/>
              <w:spacing w:after="0"/>
              <w:rPr>
                <w:sz w:val="20"/>
                <w:szCs w:val="20"/>
                <w:color w:val="auto"/>
              </w:rPr>
            </w:pPr>
            <w:r>
              <w:rPr>
                <w:rFonts w:ascii="Arial" w:cs="Arial" w:eastAsia="Arial" w:hAnsi="Arial"/>
                <w:sz w:val="17"/>
                <w:szCs w:val="17"/>
                <w:color w:val="auto"/>
              </w:rPr>
              <w:t>16.3 %   8.9 %</w:t>
            </w: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Money Markets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3,648</w:t>
            </w:r>
          </w:p>
        </w:tc>
        <w:tc>
          <w:tcPr>
            <w:tcW w:w="120" w:type="dxa"/>
            <w:vAlign w:val="bottom"/>
            <w:tcBorders>
              <w:right w:val="single" w:sz="8" w:color="auto"/>
            </w:tcBorders>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3,455</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60" w:type="dxa"/>
            <w:vAlign w:val="bottom"/>
            <w:shd w:val="clear" w:color="auto" w:fill="CCEEFF"/>
          </w:tcPr>
          <w:p>
            <w:pPr>
              <w:spacing w:after="0"/>
              <w:rPr>
                <w:sz w:val="17"/>
                <w:szCs w:val="17"/>
                <w:color w:val="auto"/>
              </w:rPr>
            </w:pP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33.2 %   5.6 %</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20"/>
                <w:szCs w:val="20"/>
                <w:color w:val="auto"/>
              </w:rPr>
            </w:pPr>
            <w:r>
              <w:rPr>
                <w:rFonts w:ascii="Arial" w:cs="Arial" w:eastAsia="Arial" w:hAnsi="Arial"/>
                <w:sz w:val="17"/>
                <w:szCs w:val="17"/>
                <w:color w:val="auto"/>
              </w:rPr>
              <w:t>Market Data</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17,544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15,737</w:t>
            </w:r>
          </w:p>
        </w:tc>
        <w:tc>
          <w:tcPr>
            <w:tcW w:w="16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1,807</w:t>
            </w:r>
          </w:p>
        </w:tc>
        <w:tc>
          <w:tcPr>
            <w:tcW w:w="160" w:type="dxa"/>
            <w:vAlign w:val="bottom"/>
          </w:tcPr>
          <w:p>
            <w:pPr>
              <w:spacing w:after="0"/>
              <w:rPr>
                <w:sz w:val="17"/>
                <w:szCs w:val="17"/>
                <w:color w:val="auto"/>
              </w:rPr>
            </w:pPr>
          </w:p>
        </w:tc>
        <w:tc>
          <w:tcPr>
            <w:tcW w:w="660" w:type="dxa"/>
            <w:vAlign w:val="bottom"/>
            <w:gridSpan w:val="2"/>
          </w:tcPr>
          <w:p>
            <w:pPr>
              <w:jc w:val="right"/>
              <w:ind w:right="115"/>
              <w:spacing w:after="0"/>
              <w:rPr>
                <w:sz w:val="20"/>
                <w:szCs w:val="20"/>
                <w:color w:val="auto"/>
              </w:rPr>
            </w:pPr>
            <w:r>
              <w:rPr>
                <w:rFonts w:ascii="Arial" w:cs="Arial" w:eastAsia="Arial" w:hAnsi="Arial"/>
                <w:sz w:val="17"/>
                <w:szCs w:val="17"/>
                <w:color w:val="auto"/>
              </w:rPr>
              <w:t>n/a</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11.5 %</w:t>
            </w: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4,841</w:t>
            </w:r>
          </w:p>
        </w:tc>
        <w:tc>
          <w:tcPr>
            <w:tcW w:w="120" w:type="dxa"/>
            <w:vAlign w:val="bottom"/>
            <w:tcBorders>
              <w:right w:val="single" w:sz="8" w:color="auto"/>
            </w:tcBorders>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7,913</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9"/>
              </w:rPr>
              <w:t>(3,072)</w:t>
            </w:r>
          </w:p>
        </w:tc>
        <w:tc>
          <w:tcPr>
            <w:tcW w:w="66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w w:val="89"/>
              </w:rPr>
              <w:t>(100.</w:t>
            </w:r>
            <w:r>
              <w:rPr>
                <w:rFonts w:ascii="Arial" w:cs="Arial" w:eastAsia="Arial" w:hAnsi="Arial"/>
                <w:sz w:val="17"/>
                <w:szCs w:val="17"/>
                <w:u w:val="single" w:color="auto"/>
                <w:color w:val="auto"/>
                <w:w w:val="89"/>
              </w:rPr>
              <w:t>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0" w:type="dxa"/>
            <w:vAlign w:val="bottom"/>
          </w:tcPr>
          <w:p>
            <w:pPr>
              <w:spacing w:after="0"/>
              <w:rPr>
                <w:sz w:val="1"/>
                <w:szCs w:val="1"/>
                <w:color w:val="auto"/>
              </w:rPr>
            </w:pPr>
          </w:p>
        </w:tc>
      </w:tr>
      <w:tr>
        <w:trPr>
          <w:trHeight w:val="196"/>
        </w:trPr>
        <w:tc>
          <w:tcPr>
            <w:tcW w:w="2900" w:type="dxa"/>
            <w:vAlign w:val="bottom"/>
          </w:tcPr>
          <w:p>
            <w:pPr>
              <w:spacing w:after="0"/>
              <w:rPr>
                <w:sz w:val="20"/>
                <w:szCs w:val="20"/>
                <w:color w:val="auto"/>
              </w:rPr>
            </w:pPr>
            <w:r>
              <w:rPr>
                <w:rFonts w:ascii="Arial" w:cs="Arial" w:eastAsia="Arial" w:hAnsi="Arial"/>
                <w:sz w:val="17"/>
                <w:szCs w:val="17"/>
                <w:color w:val="auto"/>
              </w:rPr>
              <w:t>Gross revenue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106,949</w:t>
            </w:r>
          </w:p>
        </w:tc>
        <w:tc>
          <w:tcPr>
            <w:tcW w:w="16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u w:val="single" w:color="auto"/>
                <w:color w:val="auto"/>
                <w:w w:val="81"/>
              </w:rPr>
              <w:t>$</w:t>
            </w:r>
            <w:r>
              <w:rPr>
                <w:rFonts w:ascii="Arial" w:cs="Arial" w:eastAsia="Arial" w:hAnsi="Arial"/>
                <w:sz w:val="17"/>
                <w:szCs w:val="17"/>
                <w:color w:val="auto"/>
                <w:w w:val="81"/>
              </w:rPr>
              <w:t xml:space="preserve"> 83,536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 xml:space="preserve"> 87,342</w:t>
            </w:r>
          </w:p>
        </w:tc>
        <w:tc>
          <w:tcPr>
            <w:tcW w:w="18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u w:val="single" w:color="auto"/>
                <w:color w:val="auto"/>
                <w:w w:val="81"/>
              </w:rPr>
              <w:t>$</w:t>
            </w:r>
            <w:r>
              <w:rPr>
                <w:rFonts w:ascii="Arial" w:cs="Arial" w:eastAsia="Arial" w:hAnsi="Arial"/>
                <w:sz w:val="17"/>
                <w:szCs w:val="17"/>
                <w:color w:val="auto"/>
                <w:w w:val="81"/>
              </w:rPr>
              <w:t xml:space="preserve"> 83,673</w:t>
            </w:r>
          </w:p>
        </w:tc>
        <w:tc>
          <w:tcPr>
            <w:tcW w:w="16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$ 19,607</w:t>
            </w:r>
          </w:p>
        </w:tc>
        <w:tc>
          <w:tcPr>
            <w:tcW w:w="1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16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22.4</w:t>
            </w:r>
          </w:p>
        </w:tc>
        <w:tc>
          <w:tcPr>
            <w:tcW w:w="16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5"/>
        </w:trPr>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260" w:firstLine="305"/>
        <w:spacing w:after="0" w:line="261" w:lineRule="auto"/>
        <w:rPr>
          <w:sz w:val="20"/>
          <w:szCs w:val="20"/>
          <w:color w:val="auto"/>
        </w:rPr>
      </w:pPr>
      <w:r>
        <w:rPr>
          <w:rFonts w:ascii="Arial" w:cs="Arial" w:eastAsia="Arial" w:hAnsi="Arial"/>
          <w:sz w:val="17"/>
          <w:szCs w:val="17"/>
          <w:u w:val="single" w:color="auto"/>
          <w:color w:val="auto"/>
        </w:rPr>
        <w:t>Rates</w:t>
      </w:r>
      <w:r>
        <w:rPr>
          <w:rFonts w:ascii="Arial" w:cs="Arial" w:eastAsia="Arial" w:hAnsi="Arial"/>
          <w:sz w:val="17"/>
          <w:szCs w:val="17"/>
          <w:color w:val="auto"/>
        </w:rPr>
        <w:t>. Revenues from our Rates asset class increased by $11.9 million or 12.5% to $107.0 million for the three months ended June 30, 2019 from $95.1 million for the three months ended June 30, 2018 primarily due to increased volumes in derivatives products and U.S. treasuries.</w:t>
      </w:r>
    </w:p>
    <w:p>
      <w:pPr>
        <w:spacing w:after="0" w:line="176" w:lineRule="exact"/>
        <w:rPr>
          <w:sz w:val="20"/>
          <w:szCs w:val="20"/>
          <w:color w:val="auto"/>
        </w:rPr>
      </w:pPr>
    </w:p>
    <w:p>
      <w:pPr>
        <w:jc w:val="both"/>
        <w:ind w:right="240" w:firstLine="305"/>
        <w:spacing w:after="0" w:line="261" w:lineRule="auto"/>
        <w:rPr>
          <w:sz w:val="20"/>
          <w:szCs w:val="20"/>
          <w:color w:val="auto"/>
        </w:rPr>
      </w:pPr>
      <w:r>
        <w:rPr>
          <w:rFonts w:ascii="Arial" w:cs="Arial" w:eastAsia="Arial" w:hAnsi="Arial"/>
          <w:sz w:val="17"/>
          <w:szCs w:val="17"/>
          <w:u w:val="single" w:color="auto"/>
          <w:color w:val="auto"/>
        </w:rPr>
        <w:t>Credit.</w:t>
      </w:r>
      <w:r>
        <w:rPr>
          <w:rFonts w:ascii="Arial" w:cs="Arial" w:eastAsia="Arial" w:hAnsi="Arial"/>
          <w:sz w:val="17"/>
          <w:szCs w:val="17"/>
          <w:color w:val="auto"/>
        </w:rPr>
        <w:t xml:space="preserve"> Revenues from our Credit asset class increased by $5.5 million or 16.2% to $39.6 million for the three months ended June 30, 2019 from $34.1 million for the three months ended June 30, 2018 primarily due to increased volumes for U.S. corporate bonds.</w:t>
      </w:r>
    </w:p>
    <w:p>
      <w:pPr>
        <w:spacing w:after="0" w:line="176" w:lineRule="exact"/>
        <w:rPr>
          <w:sz w:val="20"/>
          <w:szCs w:val="20"/>
          <w:color w:val="auto"/>
        </w:rPr>
      </w:pPr>
    </w:p>
    <w:p>
      <w:pPr>
        <w:ind w:right="80" w:firstLine="305"/>
        <w:spacing w:after="0" w:line="305" w:lineRule="auto"/>
        <w:rPr>
          <w:sz w:val="20"/>
          <w:szCs w:val="20"/>
          <w:color w:val="auto"/>
        </w:rPr>
      </w:pPr>
      <w:r>
        <w:rPr>
          <w:rFonts w:ascii="Arial" w:cs="Arial" w:eastAsia="Arial" w:hAnsi="Arial"/>
          <w:sz w:val="16"/>
          <w:szCs w:val="16"/>
          <w:u w:val="single" w:color="auto"/>
          <w:color w:val="auto"/>
        </w:rPr>
        <w:t>Equities</w:t>
      </w:r>
      <w:r>
        <w:rPr>
          <w:rFonts w:ascii="Arial" w:cs="Arial" w:eastAsia="Arial" w:hAnsi="Arial"/>
          <w:sz w:val="16"/>
          <w:szCs w:val="16"/>
          <w:color w:val="auto"/>
        </w:rPr>
        <w:t>. Revenues from our Equities asset class increased by $1.4 million or 14.9% to $11.1 million for the three months ended June 30, 2019 from $9.7 million for the three months ended June 30, 2018 primarily due to increased volumes for ETFs.</w:t>
      </w:r>
    </w:p>
    <w:p>
      <w:pPr>
        <w:spacing w:after="0" w:line="142" w:lineRule="exact"/>
        <w:rPr>
          <w:sz w:val="20"/>
          <w:szCs w:val="20"/>
          <w:color w:val="auto"/>
        </w:rPr>
      </w:pPr>
    </w:p>
    <w:p>
      <w:pPr>
        <w:ind w:firstLine="305"/>
        <w:spacing w:after="0" w:line="261" w:lineRule="auto"/>
        <w:rPr>
          <w:sz w:val="20"/>
          <w:szCs w:val="20"/>
          <w:color w:val="auto"/>
        </w:rPr>
      </w:pPr>
      <w:r>
        <w:rPr>
          <w:rFonts w:ascii="Arial" w:cs="Arial" w:eastAsia="Arial" w:hAnsi="Arial"/>
          <w:sz w:val="17"/>
          <w:szCs w:val="17"/>
          <w:u w:val="single" w:color="auto"/>
          <w:color w:val="auto"/>
        </w:rPr>
        <w:t>Money Markets</w:t>
      </w:r>
      <w:r>
        <w:rPr>
          <w:rFonts w:ascii="Arial" w:cs="Arial" w:eastAsia="Arial" w:hAnsi="Arial"/>
          <w:sz w:val="17"/>
          <w:szCs w:val="17"/>
          <w:color w:val="auto"/>
        </w:rPr>
        <w:t>. Revenues from our Money Markets asset class increased by $1.9 million or 21.9% to $10.3 million for the three months ended June 30, 2019 from $8.5 million for the three months ended June 30, 2018 primarily due to increased volumes for repurchase agreements and certificates of deposit.</w:t>
      </w:r>
    </w:p>
    <w:p>
      <w:pPr>
        <w:spacing w:after="0" w:line="176" w:lineRule="exact"/>
        <w:rPr>
          <w:sz w:val="20"/>
          <w:szCs w:val="20"/>
          <w:color w:val="auto"/>
        </w:rPr>
      </w:pPr>
    </w:p>
    <w:p>
      <w:pPr>
        <w:ind w:right="20" w:firstLine="305"/>
        <w:spacing w:after="0" w:line="285" w:lineRule="auto"/>
        <w:rPr>
          <w:sz w:val="20"/>
          <w:szCs w:val="20"/>
          <w:color w:val="auto"/>
        </w:rPr>
      </w:pPr>
      <w:r>
        <w:rPr>
          <w:rFonts w:ascii="Arial" w:cs="Arial" w:eastAsia="Arial" w:hAnsi="Arial"/>
          <w:sz w:val="16"/>
          <w:szCs w:val="16"/>
          <w:u w:val="single" w:color="auto"/>
          <w:color w:val="auto"/>
        </w:rPr>
        <w:t>Market Data.</w:t>
      </w:r>
      <w:r>
        <w:rPr>
          <w:rFonts w:ascii="Arial" w:cs="Arial" w:eastAsia="Arial" w:hAnsi="Arial"/>
          <w:sz w:val="16"/>
          <w:szCs w:val="16"/>
          <w:color w:val="auto"/>
        </w:rPr>
        <w:t xml:space="preserve"> Revenues from Market Data increased by $1.8 million or 11.5% to $17.5 million for the three months ended June 30, 2019 from $15.7 million for the three months ended June 30, 2018 primarily as a result of increased Refinitiv (formerly Thomson Reuters) license fees due to an increase in the number of market data feeds provided to Refinitiv.</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6" w:name="page47"/>
    <w:bookmarkEnd w:id="4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jc w:val="both"/>
        <w:ind w:right="40" w:firstLine="305"/>
        <w:spacing w:after="0" w:line="285" w:lineRule="auto"/>
        <w:rPr>
          <w:sz w:val="20"/>
          <w:szCs w:val="20"/>
          <w:color w:val="auto"/>
        </w:rPr>
      </w:pPr>
      <w:r>
        <w:rPr>
          <w:rFonts w:ascii="Arial" w:cs="Arial" w:eastAsia="Arial" w:hAnsi="Arial"/>
          <w:sz w:val="16"/>
          <w:szCs w:val="16"/>
          <w:u w:val="single" w:color="auto"/>
          <w:color w:val="auto"/>
        </w:rPr>
        <w:t>Other Fees</w:t>
      </w:r>
      <w:r>
        <w:rPr>
          <w:rFonts w:ascii="Arial" w:cs="Arial" w:eastAsia="Arial" w:hAnsi="Arial"/>
          <w:sz w:val="16"/>
          <w:szCs w:val="16"/>
          <w:color w:val="auto"/>
        </w:rPr>
        <w:t>. Revenues from Other Fees decreased by $3.1 million or (38.9)% to $4.8 million for the three months ended June 30, 2019 from $7.9 million for the three months ended June 30, 2018 primarily due to the timing of Retail fees for software development and implementation and lower fees from a third party for certain licensing and development in Canada.</w:t>
      </w:r>
    </w:p>
    <w:p>
      <w:pPr>
        <w:spacing w:after="0" w:line="158" w:lineRule="exact"/>
        <w:rPr>
          <w:sz w:val="20"/>
          <w:szCs w:val="20"/>
          <w:color w:val="auto"/>
        </w:rPr>
      </w:pPr>
    </w:p>
    <w:p>
      <w:pPr>
        <w:jc w:val="both"/>
        <w:ind w:right="420" w:firstLine="305"/>
        <w:spacing w:after="0" w:line="261" w:lineRule="auto"/>
        <w:rPr>
          <w:sz w:val="20"/>
          <w:szCs w:val="20"/>
          <w:color w:val="auto"/>
        </w:rPr>
      </w:pPr>
      <w:r>
        <w:rPr>
          <w:rFonts w:ascii="Arial" w:cs="Arial" w:eastAsia="Arial" w:hAnsi="Arial"/>
          <w:sz w:val="17"/>
          <w:szCs w:val="17"/>
          <w:color w:val="auto"/>
        </w:rPr>
        <w:t>A significant percentage of our revenues are tied directly to overall trading volumes in the rates, credit, equities and money markets asset classes. The average daily volumes and total volumes on our trading platforms by asset class for the three months ended June 30, 2019 and 2018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4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4"/>
          </w:tcPr>
          <w:p>
            <w:pPr>
              <w:jc w:val="right"/>
              <w:ind w:right="502"/>
              <w:spacing w:after="0" w:line="133" w:lineRule="exact"/>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4"/>
          </w:tcPr>
          <w:p>
            <w:pPr>
              <w:jc w:val="right"/>
              <w:ind w:right="478"/>
              <w:spacing w:after="0" w:line="133" w:lineRule="exact"/>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7"/>
              </w:rPr>
              <w:t>ADV Change</w:t>
            </w:r>
          </w:p>
        </w:tc>
        <w:tc>
          <w:tcPr>
            <w:tcW w:w="0" w:type="dxa"/>
            <w:vAlign w:val="bottom"/>
          </w:tcPr>
          <w:p>
            <w:pPr>
              <w:spacing w:after="0"/>
              <w:rPr>
                <w:sz w:val="1"/>
                <w:szCs w:val="1"/>
                <w:color w:val="auto"/>
              </w:rPr>
            </w:pPr>
          </w:p>
        </w:tc>
      </w:tr>
      <w:tr>
        <w:trPr>
          <w:trHeight w:val="132"/>
        </w:trPr>
        <w:tc>
          <w:tcPr>
            <w:tcW w:w="24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ind w:right="180"/>
              <w:spacing w:after="0" w:line="133" w:lineRule="exact"/>
              <w:rPr>
                <w:sz w:val="20"/>
                <w:szCs w:val="20"/>
                <w:color w:val="auto"/>
              </w:rPr>
            </w:pPr>
            <w:r>
              <w:rPr>
                <w:rFonts w:ascii="Arial" w:cs="Arial" w:eastAsia="Arial" w:hAnsi="Arial"/>
                <w:sz w:val="14"/>
                <w:szCs w:val="14"/>
                <w:b w:val="1"/>
                <w:bCs w:val="1"/>
                <w:color w:val="auto"/>
              </w:rPr>
              <w:t>ADV</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162"/>
              <w:spacing w:after="0" w:line="133" w:lineRule="exact"/>
              <w:rPr>
                <w:sz w:val="20"/>
                <w:szCs w:val="20"/>
                <w:color w:val="auto"/>
              </w:rPr>
            </w:pPr>
            <w:r>
              <w:rPr>
                <w:rFonts w:ascii="Arial" w:cs="Arial" w:eastAsia="Arial" w:hAnsi="Arial"/>
                <w:sz w:val="14"/>
                <w:szCs w:val="14"/>
                <w:b w:val="1"/>
                <w:bCs w:val="1"/>
                <w:color w:val="auto"/>
              </w:rPr>
              <w:t>Volume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140"/>
              <w:spacing w:after="0" w:line="133" w:lineRule="exact"/>
              <w:rPr>
                <w:sz w:val="20"/>
                <w:szCs w:val="20"/>
                <w:color w:val="auto"/>
              </w:rPr>
            </w:pPr>
            <w:r>
              <w:rPr>
                <w:rFonts w:ascii="Arial" w:cs="Arial" w:eastAsia="Arial" w:hAnsi="Arial"/>
                <w:sz w:val="14"/>
                <w:szCs w:val="14"/>
                <w:b w:val="1"/>
                <w:bCs w:val="1"/>
                <w:color w:val="auto"/>
              </w:rPr>
              <w:t>ADV</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178"/>
              <w:spacing w:after="0" w:line="133" w:lineRule="exact"/>
              <w:rPr>
                <w:sz w:val="20"/>
                <w:szCs w:val="20"/>
                <w:color w:val="auto"/>
              </w:rPr>
            </w:pPr>
            <w:r>
              <w:rPr>
                <w:rFonts w:ascii="Arial" w:cs="Arial" w:eastAsia="Arial" w:hAnsi="Arial"/>
                <w:sz w:val="14"/>
                <w:szCs w:val="14"/>
                <w:b w:val="1"/>
                <w:bCs w:val="1"/>
                <w:color w:val="auto"/>
              </w:rPr>
              <w:t>Volume</w:t>
            </w:r>
          </w:p>
        </w:tc>
        <w:tc>
          <w:tcPr>
            <w:tcW w:w="2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4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4"/>
          </w:tcPr>
          <w:p>
            <w:pPr>
              <w:jc w:val="right"/>
              <w:ind w:right="220"/>
              <w:spacing w:after="0" w:line="133" w:lineRule="exact"/>
              <w:rPr>
                <w:sz w:val="20"/>
                <w:szCs w:val="20"/>
                <w:color w:val="auto"/>
              </w:rPr>
            </w:pPr>
            <w:r>
              <w:rPr>
                <w:rFonts w:ascii="Arial" w:cs="Arial" w:eastAsia="Arial" w:hAnsi="Arial"/>
                <w:sz w:val="14"/>
                <w:szCs w:val="14"/>
                <w:b w:val="1"/>
                <w:bCs w:val="1"/>
                <w:color w:val="auto"/>
              </w:rPr>
              <w:t>(dollars in millions)</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7"/>
                <w:szCs w:val="17"/>
                <w:color w:val="auto"/>
              </w:rPr>
              <w:t>Rates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511,912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32,144,241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351,828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22,441,356</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45.5 %</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20"/>
                <w:szCs w:val="20"/>
                <w:color w:val="auto"/>
              </w:rPr>
            </w:pPr>
            <w:r>
              <w:rPr>
                <w:rFonts w:ascii="Arial" w:cs="Arial" w:eastAsia="Arial" w:hAnsi="Arial"/>
                <w:sz w:val="17"/>
                <w:szCs w:val="17"/>
                <w:color w:val="auto"/>
              </w:rPr>
              <w:t>Credit</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12,217</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766,367</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11,791</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746,841</w:t>
            </w:r>
          </w:p>
        </w:tc>
        <w:tc>
          <w:tcPr>
            <w:tcW w:w="1120" w:type="dxa"/>
            <w:vAlign w:val="bottom"/>
            <w:gridSpan w:val="3"/>
          </w:tcPr>
          <w:p>
            <w:pPr>
              <w:jc w:val="right"/>
              <w:spacing w:after="0"/>
              <w:rPr>
                <w:sz w:val="20"/>
                <w:szCs w:val="20"/>
                <w:color w:val="auto"/>
              </w:rPr>
            </w:pPr>
            <w:r>
              <w:rPr>
                <w:rFonts w:ascii="Arial" w:cs="Arial" w:eastAsia="Arial" w:hAnsi="Arial"/>
                <w:sz w:val="17"/>
                <w:szCs w:val="17"/>
                <w:color w:val="auto"/>
              </w:rPr>
              <w:t>3.6 %</w:t>
            </w: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7"/>
                <w:szCs w:val="17"/>
                <w:color w:val="auto"/>
              </w:rPr>
              <w:t>Equities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445,568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440,504</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2.9 %</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20"/>
                <w:szCs w:val="20"/>
                <w:color w:val="auto"/>
              </w:rPr>
            </w:pPr>
            <w:r>
              <w:rPr>
                <w:rFonts w:ascii="Arial" w:cs="Arial" w:eastAsia="Arial" w:hAnsi="Arial"/>
                <w:sz w:val="17"/>
                <w:szCs w:val="17"/>
                <w:color w:val="auto"/>
              </w:rPr>
              <w:t>Money Markets</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7"/>
              </w:rPr>
              <w:t>222,595</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89"/>
              </w:rPr>
              <w:t>14,022,433</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1"/>
              </w:rPr>
              <w:t>169,553</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89"/>
              </w:rPr>
              <w:t>10,829,843</w:t>
            </w:r>
          </w:p>
        </w:tc>
        <w:tc>
          <w:tcPr>
            <w:tcW w:w="1120" w:type="dxa"/>
            <w:vAlign w:val="bottom"/>
            <w:gridSpan w:val="3"/>
          </w:tcPr>
          <w:p>
            <w:pPr>
              <w:jc w:val="right"/>
              <w:spacing w:after="0"/>
              <w:rPr>
                <w:sz w:val="20"/>
                <w:szCs w:val="20"/>
                <w:color w:val="auto"/>
              </w:rPr>
            </w:pPr>
            <w:r>
              <w:rPr>
                <w:rFonts w:ascii="Arial" w:cs="Arial" w:eastAsia="Arial" w:hAnsi="Arial"/>
                <w:sz w:val="17"/>
                <w:szCs w:val="17"/>
                <w:color w:val="auto"/>
              </w:rPr>
              <w:t>31.3 %</w:t>
            </w:r>
          </w:p>
        </w:tc>
        <w:tc>
          <w:tcPr>
            <w:tcW w:w="0" w:type="dxa"/>
            <w:vAlign w:val="bottom"/>
          </w:tcPr>
          <w:p>
            <w:pPr>
              <w:spacing w:after="0"/>
              <w:rPr>
                <w:sz w:val="1"/>
                <w:szCs w:val="1"/>
                <w:color w:val="auto"/>
              </w:rPr>
            </w:pPr>
          </w:p>
        </w:tc>
      </w:tr>
      <w:tr>
        <w:trPr>
          <w:trHeight w:val="201"/>
        </w:trPr>
        <w:tc>
          <w:tcPr>
            <w:tcW w:w="2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4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753,844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47,378,609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540,091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34,458,544</w:t>
            </w:r>
          </w:p>
        </w:tc>
        <w:tc>
          <w:tcPr>
            <w:tcW w:w="112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39.6 %</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80" w:firstLine="305"/>
        <w:spacing w:after="0" w:line="291" w:lineRule="auto"/>
        <w:rPr>
          <w:sz w:val="20"/>
          <w:szCs w:val="20"/>
          <w:color w:val="auto"/>
        </w:rPr>
      </w:pPr>
      <w:r>
        <w:rPr>
          <w:rFonts w:ascii="Arial" w:cs="Arial" w:eastAsia="Arial" w:hAnsi="Arial"/>
          <w:sz w:val="15"/>
          <w:szCs w:val="15"/>
          <w:color w:val="auto"/>
        </w:rPr>
        <w:t>We believe the increases in average daily volumes in the three months ended June 30, 2019 for most asset classes can be attributed to various factors, including increased volatility across our rates, credit and money markets asset classes, further electronification of trading activities, increase in market share, new products and new clients. Trading activity in interest rate swaps and repurchase agreements were the leading drivers of our overall volume growth year-over-year. Rates ADV increased due mainly to higher trading activity in interest rate swaps and swaptions, in particular, short-tenor swaps, as well as mortgages and U.S. treasuries. Credit ADV increased due mainly to higher trading activity in U.S. high-grade and high-yield credit as well as Chinese bonds. Equities ADV increased due mainly to higher trading activity in institutional European ETFs and equity options, convertibles and swaps. Money Markets ADV increased due to the continued growth of bilateral electronic trading in repurchase agreements.</w:t>
      </w:r>
    </w:p>
    <w:p>
      <w:pPr>
        <w:spacing w:after="0" w:line="157" w:lineRule="exact"/>
        <w:rPr>
          <w:sz w:val="20"/>
          <w:szCs w:val="20"/>
          <w:color w:val="auto"/>
        </w:rPr>
      </w:pPr>
    </w:p>
    <w:p>
      <w:pPr>
        <w:ind w:firstLine="305"/>
        <w:spacing w:after="0" w:line="291" w:lineRule="auto"/>
        <w:rPr>
          <w:sz w:val="20"/>
          <w:szCs w:val="20"/>
          <w:color w:val="auto"/>
        </w:rPr>
      </w:pPr>
      <w:r>
        <w:rPr>
          <w:rFonts w:ascii="Arial" w:cs="Arial" w:eastAsia="Arial" w:hAnsi="Arial"/>
          <w:sz w:val="15"/>
          <w:szCs w:val="15"/>
          <w:color w:val="auto"/>
        </w:rPr>
        <w:t>The average variable fees per million dollars of volume traded on our trading platforms by asset class for the three months ended June 30, 2019 and 2018 are summarized below. There are four potential drivers of quarterly fluctuations in our average variable fees per million: (1) volume discounts, (2) the mix of cash and derivatives products traded, (3) the mix of protocols underpinning cash and derivatives products and (4) pricing. Average variable fees per million should be reviewed in conjunction with our trading volumes and gross revenue by asset class. Since variable fees are sometimes subject to fee plans with tiered pricing based on product mix and volume, average variable fees per million for a specific asset class may not correlate with volumes or revenue growth. For example, average variable fees per million dollars of volume for our Rates asset class decreased 12.4% for the three months ended June 30, 2019 while gross revenue for our Rates asset class increased 12.5% over the same period.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4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ind w:right="18"/>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vMerge w:val="restart"/>
          </w:tcPr>
          <w:p>
            <w:pPr>
              <w:spacing w:after="0"/>
              <w:rPr>
                <w:sz w:val="13"/>
                <w:szCs w:val="13"/>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1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460" w:type="dxa"/>
            <w:vAlign w:val="bottom"/>
            <w:tcBorders>
              <w:bottom w:val="single" w:sz="8" w:color="CCEEFF"/>
            </w:tcBorders>
          </w:tcPr>
          <w:p>
            <w:pPr>
              <w:spacing w:after="0"/>
              <w:rPr>
                <w:sz w:val="11"/>
                <w:szCs w:val="11"/>
                <w:color w:val="auto"/>
              </w:rPr>
            </w:pPr>
          </w:p>
        </w:tc>
        <w:tc>
          <w:tcPr>
            <w:tcW w:w="19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ind w:left="80"/>
              <w:spacing w:after="0" w:line="133"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58"/>
              <w:spacing w:after="0" w:line="133"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CCEEFF"/>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Rates</w:t>
            </w:r>
          </w:p>
        </w:tc>
        <w:tc>
          <w:tcPr>
            <w:tcW w:w="19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7"/>
                <w:szCs w:val="17"/>
                <w:color w:val="auto"/>
              </w:rPr>
              <w:t>Credit</w:t>
            </w:r>
          </w:p>
        </w:tc>
        <w:tc>
          <w:tcPr>
            <w:tcW w:w="210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44.80</w:t>
            </w:r>
          </w:p>
        </w:tc>
        <w:tc>
          <w:tcPr>
            <w:tcW w:w="400" w:type="dxa"/>
            <w:vAlign w:val="bottom"/>
            <w:gridSpan w:val="2"/>
          </w:tcPr>
          <w:p>
            <w:pPr>
              <w:jc w:val="right"/>
              <w:ind w:right="26"/>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38.97</w:t>
            </w:r>
          </w:p>
        </w:tc>
        <w:tc>
          <w:tcPr>
            <w:tcW w:w="22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5.83</w:t>
            </w:r>
          </w:p>
        </w:tc>
        <w:tc>
          <w:tcPr>
            <w:tcW w:w="2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15.0 %</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Equities</w:t>
            </w:r>
          </w:p>
        </w:tc>
        <w:tc>
          <w:tcPr>
            <w:tcW w:w="210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20.64</w:t>
            </w:r>
          </w:p>
        </w:tc>
        <w:tc>
          <w:tcPr>
            <w:tcW w:w="400" w:type="dxa"/>
            <w:vAlign w:val="bottom"/>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15.0 %</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7"/>
                <w:szCs w:val="17"/>
                <w:color w:val="auto"/>
              </w:rPr>
              <w:t>Money Markets</w:t>
            </w:r>
          </w:p>
        </w:tc>
        <w:tc>
          <w:tcPr>
            <w:tcW w:w="210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0.48</w:t>
            </w:r>
          </w:p>
        </w:tc>
        <w:tc>
          <w:tcPr>
            <w:tcW w:w="400" w:type="dxa"/>
            <w:vAlign w:val="bottom"/>
            <w:gridSpan w:val="2"/>
          </w:tcPr>
          <w:p>
            <w:pPr>
              <w:jc w:val="right"/>
              <w:ind w:right="26"/>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0.46</w:t>
            </w:r>
          </w:p>
        </w:tc>
        <w:tc>
          <w:tcPr>
            <w:tcW w:w="22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0.02</w:t>
            </w:r>
          </w:p>
        </w:tc>
        <w:tc>
          <w:tcPr>
            <w:tcW w:w="2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2.8 %</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Total Fees per Million</w:t>
            </w:r>
          </w:p>
        </w:tc>
        <w:tc>
          <w:tcPr>
            <w:tcW w:w="210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400" w:type="dxa"/>
            <w:vAlign w:val="bottom"/>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(0.27)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100" w:firstLine="305"/>
        <w:spacing w:after="0" w:line="254" w:lineRule="auto"/>
        <w:rPr>
          <w:sz w:val="20"/>
          <w:szCs w:val="20"/>
          <w:color w:val="auto"/>
        </w:rPr>
      </w:pPr>
      <w:r>
        <w:rPr>
          <w:rFonts w:ascii="Arial" w:cs="Arial" w:eastAsia="Arial" w:hAnsi="Arial"/>
          <w:sz w:val="17"/>
          <w:szCs w:val="17"/>
          <w:color w:val="auto"/>
        </w:rPr>
        <w:t>Rates average variable fees per million was impacted by the growth of short tenor swap volume, a product which has a lower variable fee capture as compared to other rates products. Credit average variable fees per million was impacted by a mix shift in volumes towards cash products and away from derivatives products. Equities average variable fees per million was impacted by a mix shift towards institutional European ETFs and away from wholesale products. Money Markets average variable fees per million was impacted by a mix shift towards repurchase agreements and away from other lower variable fee capture Money Markets products.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7" w:name="page48"/>
    <w:bookmarkEnd w:id="4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right="60" w:firstLine="305"/>
        <w:spacing w:after="0" w:line="273" w:lineRule="auto"/>
        <w:rPr>
          <w:sz w:val="20"/>
          <w:szCs w:val="20"/>
          <w:color w:val="auto"/>
        </w:rPr>
      </w:pPr>
      <w:r>
        <w:rPr>
          <w:rFonts w:ascii="Arial" w:cs="Arial" w:eastAsia="Arial" w:hAnsi="Arial"/>
          <w:sz w:val="17"/>
          <w:szCs w:val="17"/>
          <w:color w:val="auto"/>
        </w:rPr>
        <w:t>Our gross revenue by geography (based on client location) for the three months ended June 30, 2019 and 2018,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2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79"/>
              </w:rPr>
              <w:t>Successor</w:t>
            </w:r>
          </w:p>
        </w:tc>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3"/>
              </w:rPr>
              <w:t>Predecessor</w:t>
            </w: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8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ind w:right="27"/>
              <w:spacing w:after="0" w:line="113" w:lineRule="exact"/>
              <w:rPr>
                <w:sz w:val="20"/>
                <w:szCs w:val="20"/>
                <w:color w:val="auto"/>
              </w:rPr>
            </w:pPr>
            <w:r>
              <w:rPr>
                <w:rFonts w:ascii="Arial" w:cs="Arial" w:eastAsia="Arial" w:hAnsi="Arial"/>
                <w:sz w:val="12"/>
                <w:szCs w:val="12"/>
                <w:b w:val="1"/>
                <w:bCs w:val="1"/>
                <w:color w:val="auto"/>
              </w:rPr>
              <w:t>Three Months</w:t>
            </w:r>
          </w:p>
        </w:tc>
        <w:tc>
          <w:tcPr>
            <w:tcW w:w="16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ind w:right="67"/>
              <w:spacing w:after="0" w:line="113" w:lineRule="exact"/>
              <w:rPr>
                <w:sz w:val="20"/>
                <w:szCs w:val="20"/>
                <w:color w:val="auto"/>
              </w:rPr>
            </w:pPr>
            <w:r>
              <w:rPr>
                <w:rFonts w:ascii="Arial" w:cs="Arial" w:eastAsia="Arial" w:hAnsi="Arial"/>
                <w:sz w:val="12"/>
                <w:szCs w:val="12"/>
                <w:b w:val="1"/>
                <w:bCs w:val="1"/>
                <w:color w:val="auto"/>
              </w:rPr>
              <w:t>Three Months</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00"/>
              <w:spacing w:after="0" w:line="140" w:lineRule="exact"/>
              <w:rPr>
                <w:sz w:val="20"/>
                <w:szCs w:val="20"/>
                <w:color w:val="auto"/>
              </w:rPr>
            </w:pPr>
            <w:r>
              <w:rPr>
                <w:rFonts w:ascii="Arial" w:cs="Arial" w:eastAsia="Arial" w:hAnsi="Arial"/>
                <w:sz w:val="14"/>
                <w:szCs w:val="14"/>
                <w:b w:val="1"/>
                <w:bCs w:val="1"/>
                <w:color w:val="auto"/>
                <w:w w:val="88"/>
              </w:rPr>
              <w:t>Ended</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420"/>
              <w:spacing w:after="0" w:line="140" w:lineRule="exact"/>
              <w:rPr>
                <w:sz w:val="20"/>
                <w:szCs w:val="20"/>
                <w:color w:val="auto"/>
              </w:rPr>
            </w:pPr>
            <w:r>
              <w:rPr>
                <w:rFonts w:ascii="Arial" w:cs="Arial" w:eastAsia="Arial" w:hAnsi="Arial"/>
                <w:sz w:val="14"/>
                <w:szCs w:val="14"/>
                <w:b w:val="1"/>
                <w:bCs w:val="1"/>
                <w:color w:val="auto"/>
                <w:w w:val="88"/>
              </w:rPr>
              <w:t>Ended</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80"/>
              <w:spacing w:after="0" w:line="140" w:lineRule="exact"/>
              <w:rPr>
                <w:sz w:val="20"/>
                <w:szCs w:val="20"/>
                <w:color w:val="auto"/>
              </w:rPr>
            </w:pPr>
            <w:r>
              <w:rPr>
                <w:rFonts w:ascii="Arial" w:cs="Arial" w:eastAsia="Arial" w:hAnsi="Arial"/>
                <w:sz w:val="14"/>
                <w:szCs w:val="14"/>
                <w:b w:val="1"/>
                <w:bCs w:val="1"/>
                <w:color w:val="auto"/>
                <w:w w:val="85"/>
              </w:rPr>
              <w:t>June 30,</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40" w:lineRule="exact"/>
              <w:rPr>
                <w:sz w:val="20"/>
                <w:szCs w:val="20"/>
                <w:color w:val="auto"/>
              </w:rPr>
            </w:pPr>
            <w:r>
              <w:rPr>
                <w:rFonts w:ascii="Arial" w:cs="Arial" w:eastAsia="Arial" w:hAnsi="Arial"/>
                <w:sz w:val="14"/>
                <w:szCs w:val="14"/>
                <w:b w:val="1"/>
                <w:bCs w:val="1"/>
                <w:color w:val="auto"/>
                <w:w w:val="85"/>
              </w:rPr>
              <w:t>June 30,</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47"/>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67"/>
              <w:spacing w:after="0"/>
              <w:rPr>
                <w:sz w:val="20"/>
                <w:szCs w:val="20"/>
                <w:color w:val="auto"/>
              </w:rPr>
            </w:pPr>
            <w:r>
              <w:rPr>
                <w:rFonts w:ascii="Arial" w:cs="Arial" w:eastAsia="Arial" w:hAnsi="Arial"/>
                <w:sz w:val="14"/>
                <w:szCs w:val="14"/>
                <w:b w:val="1"/>
                <w:bCs w:val="1"/>
                <w:color w:val="auto"/>
                <w:w w:val="83"/>
              </w:rPr>
              <w:t>2018</w:t>
            </w:r>
          </w:p>
        </w:tc>
        <w:tc>
          <w:tcPr>
            <w:tcW w:w="240" w:type="dxa"/>
            <w:vAlign w:val="bottom"/>
          </w:tcPr>
          <w:p>
            <w:pPr>
              <w:spacing w:after="0"/>
              <w:rPr>
                <w:sz w:val="13"/>
                <w:szCs w:val="13"/>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940" w:type="dxa"/>
            <w:vAlign w:val="bottom"/>
            <w:gridSpan w:val="2"/>
          </w:tcPr>
          <w:p>
            <w:pPr>
              <w:jc w:val="right"/>
              <w:ind w:right="15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2"/>
        </w:trPr>
        <w:tc>
          <w:tcPr>
            <w:tcW w:w="28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40" w:type="dxa"/>
            <w:vAlign w:val="bottom"/>
            <w:tcBorders>
              <w:top w:val="single" w:sz="8" w:color="auto"/>
            </w:tcBorders>
            <w:gridSpan w:val="6"/>
          </w:tcPr>
          <w:p>
            <w:pPr>
              <w:jc w:val="right"/>
              <w:ind w:right="587"/>
              <w:spacing w:after="0" w:line="133"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20"/>
                <w:szCs w:val="20"/>
                <w:color w:val="auto"/>
              </w:rPr>
            </w:pPr>
            <w:r>
              <w:rPr>
                <w:rFonts w:ascii="Arial" w:cs="Arial" w:eastAsia="Arial" w:hAnsi="Arial"/>
                <w:sz w:val="17"/>
                <w:szCs w:val="17"/>
                <w:color w:val="auto"/>
              </w:rPr>
              <w:t>U.S.</w:t>
            </w: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122,693</w:t>
            </w:r>
          </w:p>
        </w:tc>
        <w:tc>
          <w:tcPr>
            <w:tcW w:w="1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109,540</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13,153</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12.0 %</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International</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67,792</w:t>
            </w:r>
          </w:p>
        </w:tc>
        <w:tc>
          <w:tcPr>
            <w:tcW w:w="16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61,475</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6,317</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10.3 %</w:t>
            </w:r>
          </w:p>
        </w:tc>
        <w:tc>
          <w:tcPr>
            <w:tcW w:w="0" w:type="dxa"/>
            <w:vAlign w:val="bottom"/>
          </w:tcPr>
          <w:p>
            <w:pPr>
              <w:spacing w:after="0"/>
              <w:rPr>
                <w:sz w:val="1"/>
                <w:szCs w:val="1"/>
                <w:color w:val="auto"/>
              </w:rPr>
            </w:pPr>
          </w:p>
        </w:tc>
      </w:tr>
      <w:tr>
        <w:trPr>
          <w:trHeight w:val="201"/>
        </w:trPr>
        <w:tc>
          <w:tcPr>
            <w:tcW w:w="2820" w:type="dxa"/>
            <w:vAlign w:val="bottom"/>
          </w:tcPr>
          <w:p>
            <w:pPr>
              <w:spacing w:after="0"/>
              <w:rPr>
                <w:sz w:val="20"/>
                <w:szCs w:val="20"/>
                <w:color w:val="auto"/>
              </w:rPr>
            </w:pPr>
            <w:r>
              <w:rPr>
                <w:rFonts w:ascii="Arial" w:cs="Arial" w:eastAsia="Arial" w:hAnsi="Arial"/>
                <w:sz w:val="17"/>
                <w:szCs w:val="17"/>
                <w:color w:val="auto"/>
              </w:rPr>
              <w:t>Total gross revenue</w:t>
            </w:r>
          </w:p>
        </w:tc>
        <w:tc>
          <w:tcPr>
            <w:tcW w:w="14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190,485</w:t>
            </w:r>
          </w:p>
        </w:tc>
        <w:tc>
          <w:tcPr>
            <w:tcW w:w="160" w:type="dxa"/>
            <w:vAlign w:val="bottom"/>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171,015</w:t>
            </w:r>
          </w:p>
        </w:tc>
        <w:tc>
          <w:tcPr>
            <w:tcW w:w="24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19,470</w:t>
            </w:r>
          </w:p>
        </w:tc>
        <w:tc>
          <w:tcPr>
            <w:tcW w:w="24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14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right="300" w:firstLine="305"/>
        <w:spacing w:after="0" w:line="261" w:lineRule="auto"/>
        <w:rPr>
          <w:sz w:val="20"/>
          <w:szCs w:val="20"/>
          <w:color w:val="auto"/>
        </w:rPr>
      </w:pPr>
      <w:r>
        <w:rPr>
          <w:rFonts w:ascii="Arial" w:cs="Arial" w:eastAsia="Arial" w:hAnsi="Arial"/>
          <w:sz w:val="17"/>
          <w:szCs w:val="17"/>
          <w:u w:val="single" w:color="auto"/>
          <w:color w:val="auto"/>
        </w:rPr>
        <w:t>U.S.</w:t>
      </w:r>
      <w:r>
        <w:rPr>
          <w:rFonts w:ascii="Arial" w:cs="Arial" w:eastAsia="Arial" w:hAnsi="Arial"/>
          <w:sz w:val="17"/>
          <w:szCs w:val="17"/>
          <w:color w:val="auto"/>
        </w:rPr>
        <w:t xml:space="preserve"> Revenues from U.S. clients increased by $13.2 million or 12.0% to $122.7 million for the three months ended June 30, 2019 from $109.5 million for the three months ended June 30, 2018 primarily due to higher trading volumes from our U.S. credit products, U.S. ETFs, U.S. dollar-denominated swaps and U.S. treasuries.</w:t>
      </w:r>
    </w:p>
    <w:p>
      <w:pPr>
        <w:spacing w:after="0" w:line="176" w:lineRule="exact"/>
        <w:rPr>
          <w:sz w:val="20"/>
          <w:szCs w:val="20"/>
          <w:color w:val="auto"/>
        </w:rPr>
      </w:pPr>
    </w:p>
    <w:p>
      <w:pPr>
        <w:ind w:right="140" w:firstLine="305"/>
        <w:spacing w:after="0" w:line="257" w:lineRule="auto"/>
        <w:rPr>
          <w:sz w:val="20"/>
          <w:szCs w:val="20"/>
          <w:color w:val="auto"/>
        </w:rPr>
      </w:pPr>
      <w:r>
        <w:rPr>
          <w:rFonts w:ascii="Arial" w:cs="Arial" w:eastAsia="Arial" w:hAnsi="Arial"/>
          <w:sz w:val="17"/>
          <w:szCs w:val="17"/>
          <w:u w:val="single" w:color="auto"/>
          <w:color w:val="auto"/>
        </w:rPr>
        <w:t>International.</w:t>
      </w:r>
      <w:r>
        <w:rPr>
          <w:rFonts w:ascii="Arial" w:cs="Arial" w:eastAsia="Arial" w:hAnsi="Arial"/>
          <w:sz w:val="17"/>
          <w:szCs w:val="17"/>
          <w:color w:val="auto"/>
        </w:rPr>
        <w:t xml:space="preserve"> Revenues from International clients increased by $6.3 million or 10.3% to $67.8 million for the three months ended June 30, 2019 from $61.5 million for the three months ended June 30, 2018 primarily due to increased volumes for European interest rate swaps, U.S. dollar-denominated swaps and European repurchase agreements. Fluctuations in foreign currency rates decreased our International gross revenue by $2.4 million.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expenses for the three months ended June 30, 2019 and 2018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6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79"/>
              </w:rPr>
              <w:t>Successor</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line="20" w:lineRule="exact"/>
              <w:rPr>
                <w:sz w:val="1"/>
                <w:szCs w:val="1"/>
                <w:color w:val="auto"/>
              </w:rPr>
            </w:pPr>
          </w:p>
        </w:tc>
      </w:tr>
      <w:tr>
        <w:trPr>
          <w:trHeight w:val="140"/>
        </w:trPr>
        <w:tc>
          <w:tcPr>
            <w:tcW w:w="68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6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center"/>
              <w:ind w:right="44"/>
              <w:spacing w:after="0" w:line="113" w:lineRule="exact"/>
              <w:rPr>
                <w:sz w:val="20"/>
                <w:szCs w:val="20"/>
                <w:color w:val="auto"/>
              </w:rPr>
            </w:pPr>
            <w:r>
              <w:rPr>
                <w:rFonts w:ascii="Arial" w:cs="Arial" w:eastAsia="Arial" w:hAnsi="Arial"/>
                <w:sz w:val="12"/>
                <w:szCs w:val="12"/>
                <w:b w:val="1"/>
                <w:bCs w:val="1"/>
                <w:color w:val="auto"/>
              </w:rPr>
              <w:t>Three</w:t>
            </w:r>
          </w:p>
        </w:tc>
        <w:tc>
          <w:tcPr>
            <w:tcW w:w="14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jc w:val="center"/>
              <w:ind w:right="44"/>
              <w:spacing w:after="0" w:line="113" w:lineRule="exact"/>
              <w:rPr>
                <w:sz w:val="20"/>
                <w:szCs w:val="20"/>
                <w:color w:val="auto"/>
              </w:rPr>
            </w:pPr>
            <w:r>
              <w:rPr>
                <w:rFonts w:ascii="Arial" w:cs="Arial" w:eastAsia="Arial" w:hAnsi="Arial"/>
                <w:sz w:val="12"/>
                <w:szCs w:val="12"/>
                <w:b w:val="1"/>
                <w:bCs w:val="1"/>
                <w:color w:val="auto"/>
              </w:rPr>
              <w:t>Three</w:t>
            </w:r>
          </w:p>
        </w:tc>
        <w:tc>
          <w:tcPr>
            <w:tcW w:w="0" w:type="dxa"/>
            <w:vAlign w:val="bottom"/>
          </w:tcPr>
          <w:p>
            <w:pPr>
              <w:spacing w:after="0"/>
              <w:rPr>
                <w:sz w:val="1"/>
                <w:szCs w:val="1"/>
                <w:color w:val="auto"/>
              </w:rPr>
            </w:pPr>
          </w:p>
        </w:tc>
      </w:tr>
      <w:tr>
        <w:trPr>
          <w:trHeight w:val="140"/>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64"/>
              <w:spacing w:after="0" w:line="140" w:lineRule="exact"/>
              <w:rPr>
                <w:sz w:val="20"/>
                <w:szCs w:val="20"/>
                <w:color w:val="auto"/>
              </w:rPr>
            </w:pPr>
            <w:r>
              <w:rPr>
                <w:rFonts w:ascii="Arial" w:cs="Arial" w:eastAsia="Arial" w:hAnsi="Arial"/>
                <w:sz w:val="14"/>
                <w:szCs w:val="14"/>
                <w:b w:val="1"/>
                <w:bCs w:val="1"/>
                <w:color w:val="auto"/>
                <w:w w:val="88"/>
              </w:rPr>
              <w:t>Months</w:t>
            </w:r>
          </w:p>
        </w:tc>
        <w:tc>
          <w:tcPr>
            <w:tcW w:w="1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4"/>
              <w:spacing w:after="0" w:line="140"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140"/>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44"/>
              <w:spacing w:after="0" w:line="140"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4"/>
              <w:spacing w:after="0" w:line="140"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0"/>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104"/>
              <w:spacing w:after="0" w:line="140" w:lineRule="exact"/>
              <w:rPr>
                <w:sz w:val="20"/>
                <w:szCs w:val="20"/>
                <w:color w:val="auto"/>
              </w:rPr>
            </w:pPr>
            <w:r>
              <w:rPr>
                <w:rFonts w:ascii="Arial" w:cs="Arial" w:eastAsia="Arial" w:hAnsi="Arial"/>
                <w:sz w:val="14"/>
                <w:szCs w:val="14"/>
                <w:b w:val="1"/>
                <w:bCs w:val="1"/>
                <w:color w:val="auto"/>
                <w:w w:val="85"/>
              </w:rPr>
              <w:t>June 30,</w:t>
            </w:r>
          </w:p>
        </w:tc>
        <w:tc>
          <w:tcPr>
            <w:tcW w:w="1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84"/>
              <w:spacing w:after="0" w:line="140"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0"/>
        </w:trPr>
        <w:tc>
          <w:tcPr>
            <w:tcW w:w="68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32"/>
        </w:trPr>
        <w:tc>
          <w:tcPr>
            <w:tcW w:w="6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60" w:type="dxa"/>
            <w:vAlign w:val="bottom"/>
            <w:gridSpan w:val="5"/>
          </w:tcPr>
          <w:p>
            <w:pPr>
              <w:jc w:val="right"/>
              <w:ind w:right="604"/>
              <w:spacing w:after="0" w:line="133"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spacing w:after="0"/>
              <w:rPr>
                <w:sz w:val="20"/>
                <w:szCs w:val="20"/>
                <w:color w:val="auto"/>
              </w:rPr>
            </w:pPr>
            <w:r>
              <w:rPr>
                <w:rFonts w:ascii="Arial" w:cs="Arial" w:eastAsia="Arial" w:hAnsi="Arial"/>
                <w:sz w:val="17"/>
                <w:szCs w:val="17"/>
                <w:color w:val="auto"/>
              </w:rPr>
              <w:t>Employee compensation and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95,995</w:t>
            </w:r>
          </w:p>
        </w:tc>
        <w:tc>
          <w:tcPr>
            <w:tcW w:w="140" w:type="dxa"/>
            <w:vAlign w:val="bottom"/>
            <w:tcBorders>
              <w:right w:val="single" w:sz="8" w:color="auto"/>
            </w:tcBorders>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68,407</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34,292</w:t>
            </w:r>
          </w:p>
        </w:tc>
        <w:tc>
          <w:tcPr>
            <w:tcW w:w="1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16,178</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spacing w:after="0"/>
              <w:rPr>
                <w:sz w:val="20"/>
                <w:szCs w:val="20"/>
                <w:color w:val="auto"/>
              </w:rPr>
            </w:pPr>
            <w:r>
              <w:rPr>
                <w:rFonts w:ascii="Arial" w:cs="Arial" w:eastAsia="Arial" w:hAnsi="Arial"/>
                <w:sz w:val="17"/>
                <w:szCs w:val="17"/>
                <w:color w:val="auto"/>
              </w:rPr>
              <w:t>Technology and communications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9,519</w:t>
            </w:r>
          </w:p>
        </w:tc>
        <w:tc>
          <w:tcPr>
            <w:tcW w:w="14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9,023</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9,365</w:t>
            </w:r>
          </w:p>
        </w:tc>
        <w:tc>
          <w:tcPr>
            <w:tcW w:w="1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7,153</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spacing w:after="0"/>
              <w:rPr>
                <w:sz w:val="20"/>
                <w:szCs w:val="20"/>
                <w:color w:val="auto"/>
              </w:rPr>
            </w:pPr>
            <w:r>
              <w:rPr>
                <w:rFonts w:ascii="Arial" w:cs="Arial" w:eastAsia="Arial" w:hAnsi="Arial"/>
                <w:sz w:val="17"/>
                <w:szCs w:val="17"/>
                <w:color w:val="auto"/>
              </w:rPr>
              <w:t>Professional fees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6,738</w:t>
            </w:r>
          </w:p>
        </w:tc>
        <w:tc>
          <w:tcPr>
            <w:tcW w:w="14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7,276</w:t>
            </w:r>
          </w:p>
        </w:tc>
        <w:tc>
          <w:tcPr>
            <w:tcW w:w="0" w:type="dxa"/>
            <w:vAlign w:val="bottom"/>
          </w:tcPr>
          <w:p>
            <w:pPr>
              <w:spacing w:after="0"/>
              <w:rPr>
                <w:sz w:val="1"/>
                <w:szCs w:val="1"/>
                <w:color w:val="auto"/>
              </w:rPr>
            </w:pPr>
          </w:p>
        </w:tc>
      </w:tr>
      <w:tr>
        <w:trPr>
          <w:trHeight w:val="203"/>
        </w:trPr>
        <w:tc>
          <w:tcPr>
            <w:tcW w:w="68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Occupancy</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3,621</w:t>
            </w:r>
          </w:p>
        </w:tc>
        <w:tc>
          <w:tcPr>
            <w:tcW w:w="140" w:type="dxa"/>
            <w:vAlign w:val="bottom"/>
            <w:tcBorders>
              <w:bottom w:val="single" w:sz="8" w:color="CCEEFF"/>
              <w:right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3,519</w:t>
            </w:r>
          </w:p>
        </w:tc>
        <w:tc>
          <w:tcPr>
            <w:tcW w:w="0" w:type="dxa"/>
            <w:vAlign w:val="bottom"/>
          </w:tcPr>
          <w:p>
            <w:pPr>
              <w:spacing w:after="0"/>
              <w:rPr>
                <w:sz w:val="1"/>
                <w:szCs w:val="1"/>
                <w:color w:val="auto"/>
              </w:rPr>
            </w:pPr>
          </w:p>
        </w:tc>
      </w:tr>
      <w:tr>
        <w:trPr>
          <w:trHeight w:val="201"/>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159,530</w:t>
            </w:r>
          </w:p>
        </w:tc>
        <w:tc>
          <w:tcPr>
            <w:tcW w:w="140" w:type="dxa"/>
            <w:vAlign w:val="bottom"/>
            <w:tcBorders>
              <w:bottom w:val="single" w:sz="8" w:color="CCEEFF"/>
              <w:right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111,556</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20" w:firstLine="305"/>
        <w:spacing w:after="0" w:line="292" w:lineRule="auto"/>
        <w:rPr>
          <w:sz w:val="20"/>
          <w:szCs w:val="20"/>
          <w:color w:val="auto"/>
        </w:rPr>
      </w:pPr>
      <w:r>
        <w:rPr>
          <w:rFonts w:ascii="Arial" w:cs="Arial" w:eastAsia="Arial" w:hAnsi="Arial"/>
          <w:sz w:val="15"/>
          <w:szCs w:val="15"/>
          <w:u w:val="single" w:color="auto"/>
          <w:color w:val="auto"/>
        </w:rPr>
        <w:t>Employee Compensation and Benefits</w:t>
      </w:r>
      <w:r>
        <w:rPr>
          <w:rFonts w:ascii="Arial" w:cs="Arial" w:eastAsia="Arial" w:hAnsi="Arial"/>
          <w:sz w:val="15"/>
          <w:szCs w:val="15"/>
          <w:color w:val="auto"/>
        </w:rPr>
        <w:t>. Employee compensation and benefits expense increased by $27.6 million or 40.3% to $96.0 million for the three months ended June 30, 2019 from $68.4 million for the three months ended June 30, 2018. The increase was primarily due to $20.4 million of non-cash stock-based compensation expense related to the Special Option Award which, as a result of the completion of the IPO, we began to expense during the three months ended June 30, 2019 (with $18.9 million recognized as compensation expense related to these options immediately upon the completion of the IPO), a $3.8 million increase in salaries and benefits, due to an increase in employee headcount, and an increase in commissions of $2.6 million due to higher Wholesale revenues. Total employee headcount increased to 915 as of June 30, 2019 from 872 as of June 30, 2018.</w:t>
      </w:r>
    </w:p>
    <w:p>
      <w:pPr>
        <w:spacing w:after="0" w:line="158" w:lineRule="exact"/>
        <w:rPr>
          <w:sz w:val="20"/>
          <w:szCs w:val="20"/>
          <w:color w:val="auto"/>
        </w:rPr>
      </w:pPr>
    </w:p>
    <w:p>
      <w:pPr>
        <w:ind w:right="60" w:firstLine="305"/>
        <w:spacing w:after="0" w:line="257"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xml:space="preserve"> Depreciation and amortization expense for the three months ended June 30, 2019 was $34.3 million. Depreciation and amortization expense for the three months ended June 30, 2018 was $16.2 million. As a result of the Refinitiv Transaction and the application of pushdown accounting, we adjusted our assets and liabilities to their estimated fair values as of October 1, 2018, which resulted in an increase in depreciation of tangible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8" w:name="page49"/>
    <w:bookmarkEnd w:id="4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assets and amortization of our intangible assets. The impact of such adjustments increased depreciation and amortization expense during the three months ended June 30, 2019 by $17.6 million.</w:t>
      </w:r>
    </w:p>
    <w:p>
      <w:pPr>
        <w:spacing w:after="0" w:line="165" w:lineRule="exact"/>
        <w:rPr>
          <w:sz w:val="20"/>
          <w:szCs w:val="20"/>
          <w:color w:val="auto"/>
        </w:rPr>
      </w:pPr>
    </w:p>
    <w:p>
      <w:pPr>
        <w:jc w:val="both"/>
        <w:ind w:right="140" w:firstLine="305"/>
        <w:spacing w:after="0" w:line="261" w:lineRule="auto"/>
        <w:rPr>
          <w:sz w:val="20"/>
          <w:szCs w:val="20"/>
          <w:color w:val="auto"/>
        </w:rPr>
      </w:pPr>
      <w:r>
        <w:rPr>
          <w:rFonts w:ascii="Arial" w:cs="Arial" w:eastAsia="Arial" w:hAnsi="Arial"/>
          <w:sz w:val="17"/>
          <w:szCs w:val="17"/>
          <w:u w:val="single" w:color="auto"/>
          <w:color w:val="auto"/>
        </w:rPr>
        <w:t>Technology and Communications</w:t>
      </w:r>
      <w:r>
        <w:rPr>
          <w:rFonts w:ascii="Arial" w:cs="Arial" w:eastAsia="Arial" w:hAnsi="Arial"/>
          <w:sz w:val="17"/>
          <w:szCs w:val="17"/>
          <w:color w:val="auto"/>
        </w:rPr>
        <w:t>. Technology and communications expense increased by $0.5 million or 5.5% to $9.5 million for the three months ended June 30, 2019 from $9.0 million for the three months ended June 30, 2018. The increase was primarily due to increased clearance fees as a result of higher trading volumes.</w:t>
      </w:r>
    </w:p>
    <w:p>
      <w:pPr>
        <w:spacing w:after="0" w:line="176" w:lineRule="exact"/>
        <w:rPr>
          <w:sz w:val="20"/>
          <w:szCs w:val="20"/>
          <w:color w:val="auto"/>
        </w:rPr>
      </w:pPr>
    </w:p>
    <w:p>
      <w:pPr>
        <w:ind w:firstLine="305"/>
        <w:spacing w:after="0" w:line="261" w:lineRule="auto"/>
        <w:rPr>
          <w:sz w:val="20"/>
          <w:szCs w:val="20"/>
          <w:color w:val="auto"/>
        </w:rPr>
      </w:pPr>
      <w:r>
        <w:rPr>
          <w:rFonts w:ascii="Arial" w:cs="Arial" w:eastAsia="Arial" w:hAnsi="Arial"/>
          <w:sz w:val="17"/>
          <w:szCs w:val="17"/>
          <w:u w:val="single" w:color="auto"/>
          <w:color w:val="auto"/>
        </w:rPr>
        <w:t>General and Administrative</w:t>
      </w:r>
      <w:r>
        <w:rPr>
          <w:rFonts w:ascii="Arial" w:cs="Arial" w:eastAsia="Arial" w:hAnsi="Arial"/>
          <w:sz w:val="17"/>
          <w:szCs w:val="17"/>
          <w:color w:val="auto"/>
        </w:rPr>
        <w:t>. General and administrative expense increased by $2.2 million or 30.9% to $9.4 million for the three months ended June 30, 2019 from $7.2 million for the three months ended June 30, 2018. The increase was primarily a result of an increase in foreign exchange losses of $1.5 million.</w:t>
      </w:r>
    </w:p>
    <w:p>
      <w:pPr>
        <w:spacing w:after="0" w:line="176" w:lineRule="exact"/>
        <w:rPr>
          <w:sz w:val="20"/>
          <w:szCs w:val="20"/>
          <w:color w:val="auto"/>
        </w:rPr>
      </w:pPr>
    </w:p>
    <w:p>
      <w:pPr>
        <w:ind w:right="80" w:firstLine="305"/>
        <w:spacing w:after="0" w:line="285" w:lineRule="auto"/>
        <w:rPr>
          <w:sz w:val="20"/>
          <w:szCs w:val="20"/>
          <w:color w:val="auto"/>
        </w:rPr>
      </w:pPr>
      <w:r>
        <w:rPr>
          <w:rFonts w:ascii="Arial" w:cs="Arial" w:eastAsia="Arial" w:hAnsi="Arial"/>
          <w:sz w:val="16"/>
          <w:szCs w:val="16"/>
          <w:u w:val="single" w:color="auto"/>
          <w:color w:val="auto"/>
        </w:rPr>
        <w:t>Professional Fees</w:t>
      </w:r>
      <w:r>
        <w:rPr>
          <w:rFonts w:ascii="Arial" w:cs="Arial" w:eastAsia="Arial" w:hAnsi="Arial"/>
          <w:sz w:val="16"/>
          <w:szCs w:val="16"/>
          <w:color w:val="auto"/>
        </w:rPr>
        <w:t>. Professional fees decreased by $0.5 million or (7.4)% to $6.7 million for the three months ended June 30, 2019 from $7.3 million for the three months ended June 30, 2018. The decrease was primarily due to decreased legal and consulting fees partially offset by increased tax advisory and audit fees, including fees incurred in connection with the IPO.</w:t>
      </w:r>
    </w:p>
    <w:p>
      <w:pPr>
        <w:spacing w:after="0" w:line="158" w:lineRule="exact"/>
        <w:rPr>
          <w:sz w:val="20"/>
          <w:szCs w:val="20"/>
          <w:color w:val="auto"/>
        </w:rPr>
      </w:pPr>
    </w:p>
    <w:p>
      <w:pPr>
        <w:ind w:right="120" w:firstLine="305"/>
        <w:spacing w:after="0" w:line="257" w:lineRule="auto"/>
        <w:rPr>
          <w:sz w:val="20"/>
          <w:szCs w:val="20"/>
          <w:color w:val="auto"/>
        </w:rPr>
      </w:pPr>
      <w:r>
        <w:rPr>
          <w:rFonts w:ascii="Arial" w:cs="Arial" w:eastAsia="Arial" w:hAnsi="Arial"/>
          <w:sz w:val="17"/>
          <w:szCs w:val="17"/>
          <w:u w:val="single" w:color="auto"/>
          <w:color w:val="auto"/>
        </w:rPr>
        <w:t>Occupancy</w:t>
      </w:r>
      <w:r>
        <w:rPr>
          <w:rFonts w:ascii="Arial" w:cs="Arial" w:eastAsia="Arial" w:hAnsi="Arial"/>
          <w:sz w:val="17"/>
          <w:szCs w:val="17"/>
          <w:color w:val="auto"/>
        </w:rPr>
        <w:t>. Occupancy expense for the three months ended June 30, 2019 was $3.6 million. Occupancy expense for the three months ended June 30, 2018 was $3.5 million. As a result of the Refinitiv Transaction and the application of pushdown accounting, at October 1, 2018, we established a leasehold interest liability, which resulted in a $0.1 million increase in occupancy expense during the three months ended June 30, 2019.</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Interest Income (Expense)</w:t>
      </w:r>
    </w:p>
    <w:p>
      <w:pPr>
        <w:spacing w:after="0" w:line="211" w:lineRule="exact"/>
        <w:rPr>
          <w:sz w:val="20"/>
          <w:szCs w:val="20"/>
          <w:color w:val="auto"/>
        </w:rPr>
      </w:pPr>
    </w:p>
    <w:p>
      <w:pPr>
        <w:ind w:right="20" w:firstLine="305"/>
        <w:spacing w:after="0" w:line="257" w:lineRule="auto"/>
        <w:rPr>
          <w:sz w:val="20"/>
          <w:szCs w:val="20"/>
          <w:color w:val="auto"/>
        </w:rPr>
      </w:pPr>
      <w:r>
        <w:rPr>
          <w:rFonts w:ascii="Arial" w:cs="Arial" w:eastAsia="Arial" w:hAnsi="Arial"/>
          <w:sz w:val="17"/>
          <w:szCs w:val="17"/>
          <w:color w:val="auto"/>
        </w:rPr>
        <w:t>Net interest income (expense) decreased by $0.4 million to net interest income of $0.2 million for the three months ended June 30, 2019 from net interest income of $0.6 million for the three months ended June 30, 2018. Net interest income for the three months ended June 30, 2019 was impacted by credit facility fees related to the Revolving Credit Facility, which we entered into during the three months ended June 30, 2019.</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211" w:lineRule="exact"/>
        <w:rPr>
          <w:sz w:val="20"/>
          <w:szCs w:val="20"/>
          <w:color w:val="auto"/>
        </w:rPr>
      </w:pPr>
    </w:p>
    <w:p>
      <w:pPr>
        <w:ind w:firstLine="305"/>
        <w:spacing w:after="0" w:line="294" w:lineRule="auto"/>
        <w:rPr>
          <w:sz w:val="20"/>
          <w:szCs w:val="20"/>
          <w:color w:val="auto"/>
        </w:rPr>
      </w:pPr>
      <w:r>
        <w:rPr>
          <w:rFonts w:ascii="Arial" w:cs="Arial" w:eastAsia="Arial" w:hAnsi="Arial"/>
          <w:sz w:val="15"/>
          <w:szCs w:val="15"/>
          <w:color w:val="auto"/>
        </w:rPr>
        <w:t>Provision for income taxes for the three months ended June 30, 2019 was $6.3 million. Provision for income taxes for the three months ended June 30, 2018 was $1.8 million. Provision for income taxes for the three months ended June 30, 2019 was impacted by the Reorganization Transactions and the IPO, which resulted in Tradeweb Markets Inc. becoming subject to U.S. federal, state and local income taxes with respect to its taxable income, including its allocable share of any taxable income of TWM LLC, and being taxed at prevailing corporate tax rates. Prior to the Reorganization Transactions, we were not required to maintain an income tax provision on our earnings as TWM LLC is a multiple member limited liability company taxed as a partnership.</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49" w:name="page50"/>
    <w:bookmarkEnd w:id="4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the Six Months Ended June 30, 2019 (Successor) and Six Months Ended June 30, 2018 (Predecessor)</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sets forth a summary of our statements of income for the six months ended June 30, 2019 and 2018:</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5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79"/>
              </w:rPr>
              <w:t>Successor</w:t>
            </w: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line="20" w:lineRule="exact"/>
              <w:rPr>
                <w:sz w:val="1"/>
                <w:szCs w:val="1"/>
                <w:color w:val="auto"/>
              </w:rPr>
            </w:pPr>
          </w:p>
        </w:tc>
      </w:tr>
      <w:tr>
        <w:trPr>
          <w:trHeight w:val="140"/>
        </w:trPr>
        <w:tc>
          <w:tcPr>
            <w:tcW w:w="5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5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122"/>
              <w:spacing w:after="0" w:line="113" w:lineRule="exact"/>
              <w:rPr>
                <w:sz w:val="20"/>
                <w:szCs w:val="20"/>
                <w:color w:val="auto"/>
              </w:rPr>
            </w:pPr>
            <w:r>
              <w:rPr>
                <w:rFonts w:ascii="Arial" w:cs="Arial" w:eastAsia="Arial" w:hAnsi="Arial"/>
                <w:sz w:val="12"/>
                <w:szCs w:val="12"/>
                <w:b w:val="1"/>
                <w:bCs w:val="1"/>
                <w:color w:val="auto"/>
                <w:w w:val="99"/>
              </w:rPr>
              <w:t>Six</w:t>
            </w:r>
          </w:p>
        </w:tc>
        <w:tc>
          <w:tcPr>
            <w:tcW w:w="32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ind w:right="102"/>
              <w:spacing w:after="0" w:line="113" w:lineRule="exact"/>
              <w:rPr>
                <w:sz w:val="20"/>
                <w:szCs w:val="20"/>
                <w:color w:val="auto"/>
              </w:rPr>
            </w:pPr>
            <w:r>
              <w:rPr>
                <w:rFonts w:ascii="Arial" w:cs="Arial" w:eastAsia="Arial" w:hAnsi="Arial"/>
                <w:sz w:val="12"/>
                <w:szCs w:val="12"/>
                <w:b w:val="1"/>
                <w:bCs w:val="1"/>
                <w:color w:val="auto"/>
                <w:w w:val="99"/>
              </w:rPr>
              <w:t>Six</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5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02"/>
              <w:spacing w:after="0" w:line="140" w:lineRule="exact"/>
              <w:rPr>
                <w:sz w:val="20"/>
                <w:szCs w:val="20"/>
                <w:color w:val="auto"/>
              </w:rPr>
            </w:pPr>
            <w:r>
              <w:rPr>
                <w:rFonts w:ascii="Arial" w:cs="Arial" w:eastAsia="Arial" w:hAnsi="Arial"/>
                <w:sz w:val="14"/>
                <w:szCs w:val="14"/>
                <w:b w:val="1"/>
                <w:bCs w:val="1"/>
                <w:color w:val="auto"/>
                <w:w w:val="88"/>
              </w:rPr>
              <w:t>Months</w:t>
            </w: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0"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140"/>
        </w:trPr>
        <w:tc>
          <w:tcPr>
            <w:tcW w:w="5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22"/>
              <w:spacing w:after="0" w:line="140"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80"/>
              <w:spacing w:after="0" w:line="140"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0"/>
        </w:trPr>
        <w:tc>
          <w:tcPr>
            <w:tcW w:w="5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42"/>
              <w:spacing w:after="0" w:line="140" w:lineRule="exact"/>
              <w:rPr>
                <w:sz w:val="20"/>
                <w:szCs w:val="20"/>
                <w:color w:val="auto"/>
              </w:rPr>
            </w:pPr>
            <w:r>
              <w:rPr>
                <w:rFonts w:ascii="Arial" w:cs="Arial" w:eastAsia="Arial" w:hAnsi="Arial"/>
                <w:sz w:val="14"/>
                <w:szCs w:val="14"/>
                <w:b w:val="1"/>
                <w:bCs w:val="1"/>
                <w:color w:val="auto"/>
                <w:w w:val="85"/>
              </w:rPr>
              <w:t>June 30,</w:t>
            </w:r>
          </w:p>
        </w:tc>
        <w:tc>
          <w:tcPr>
            <w:tcW w:w="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00"/>
              <w:spacing w:after="0" w:line="140"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0"/>
        </w:trPr>
        <w:tc>
          <w:tcPr>
            <w:tcW w:w="5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5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00" w:type="dxa"/>
            <w:vAlign w:val="bottom"/>
            <w:gridSpan w:val="6"/>
          </w:tcPr>
          <w:p>
            <w:pPr>
              <w:jc w:val="right"/>
              <w:ind w:right="920"/>
              <w:spacing w:after="0" w:line="133" w:lineRule="exact"/>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Gross revenue</w:t>
            </w:r>
          </w:p>
        </w:tc>
        <w:tc>
          <w:tcPr>
            <w:tcW w:w="48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377,277</w:t>
            </w:r>
          </w:p>
        </w:tc>
        <w:tc>
          <w:tcPr>
            <w:tcW w:w="320" w:type="dxa"/>
            <w:vAlign w:val="bottom"/>
            <w:tcBorders>
              <w:right w:val="single" w:sz="8" w:color="auto"/>
            </w:tcBorders>
            <w:shd w:val="clear" w:color="auto" w:fill="CCEEFF"/>
          </w:tcPr>
          <w:p>
            <w:pPr>
              <w:spacing w:after="0"/>
              <w:rPr>
                <w:sz w:val="17"/>
                <w:szCs w:val="17"/>
                <w:color w:val="auto"/>
              </w:rPr>
            </w:pPr>
          </w:p>
        </w:tc>
        <w:tc>
          <w:tcPr>
            <w:tcW w:w="44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340,518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200"/>
              <w:spacing w:after="0"/>
              <w:rPr>
                <w:sz w:val="20"/>
                <w:szCs w:val="20"/>
                <w:color w:val="auto"/>
              </w:rPr>
            </w:pPr>
            <w:r>
              <w:rPr>
                <w:rFonts w:ascii="Arial" w:cs="Arial" w:eastAsia="Arial" w:hAnsi="Arial"/>
                <w:sz w:val="17"/>
                <w:szCs w:val="17"/>
                <w:color w:val="auto"/>
              </w:rPr>
              <w:t>Contingent consideration</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(29,367)</w:t>
            </w:r>
          </w:p>
        </w:tc>
        <w:tc>
          <w:tcPr>
            <w:tcW w:w="0" w:type="dxa"/>
            <w:vAlign w:val="bottom"/>
          </w:tcPr>
          <w:p>
            <w:pPr>
              <w:spacing w:after="0"/>
              <w:rPr>
                <w:sz w:val="1"/>
                <w:szCs w:val="1"/>
                <w:color w:val="auto"/>
              </w:rPr>
            </w:pPr>
          </w:p>
        </w:tc>
      </w:tr>
      <w:tr>
        <w:trPr>
          <w:trHeight w:val="196"/>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revenue</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377,277</w:t>
            </w:r>
          </w:p>
        </w:tc>
        <w:tc>
          <w:tcPr>
            <w:tcW w:w="320" w:type="dxa"/>
            <w:vAlign w:val="bottom"/>
            <w:tcBorders>
              <w:top w:val="single" w:sz="8" w:color="CCEEFF"/>
              <w:right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311,151</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expenses</w:t>
            </w: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300,045</w:t>
            </w:r>
          </w:p>
        </w:tc>
        <w:tc>
          <w:tcPr>
            <w:tcW w:w="320" w:type="dxa"/>
            <w:vAlign w:val="bottom"/>
            <w:tcBorders>
              <w:bottom w:val="single" w:sz="8" w:color="CCEEFF"/>
              <w:right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223,634</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77,232</w:t>
            </w:r>
          </w:p>
        </w:tc>
        <w:tc>
          <w:tcPr>
            <w:tcW w:w="3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87,517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interest income</w:t>
            </w: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1,033</w:t>
            </w:r>
          </w:p>
        </w:tc>
        <w:tc>
          <w:tcPr>
            <w:tcW w:w="320" w:type="dxa"/>
            <w:vAlign w:val="bottom"/>
            <w:tcBorders>
              <w:bottom w:val="single" w:sz="8" w:color="CCEEFF"/>
              <w:right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1,053</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Income before taxes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78,265</w:t>
            </w:r>
          </w:p>
        </w:tc>
        <w:tc>
          <w:tcPr>
            <w:tcW w:w="3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88,570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200"/>
              <w:spacing w:after="0"/>
              <w:rPr>
                <w:sz w:val="20"/>
                <w:szCs w:val="20"/>
                <w:color w:val="auto"/>
              </w:rPr>
            </w:pPr>
            <w:r>
              <w:rPr>
                <w:rFonts w:ascii="Arial" w:cs="Arial" w:eastAsia="Arial" w:hAnsi="Arial"/>
                <w:sz w:val="17"/>
                <w:szCs w:val="17"/>
                <w:color w:val="auto"/>
              </w:rPr>
              <w:t>Income taxes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(11,097)</w:t>
            </w:r>
          </w:p>
        </w:tc>
        <w:tc>
          <w:tcPr>
            <w:tcW w:w="3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(4,365)</w:t>
            </w:r>
          </w:p>
        </w:tc>
        <w:tc>
          <w:tcPr>
            <w:tcW w:w="0" w:type="dxa"/>
            <w:vAlign w:val="bottom"/>
          </w:tcPr>
          <w:p>
            <w:pPr>
              <w:spacing w:after="0"/>
              <w:rPr>
                <w:sz w:val="1"/>
                <w:szCs w:val="1"/>
                <w:color w:val="auto"/>
              </w:rPr>
            </w:pPr>
          </w:p>
        </w:tc>
      </w:tr>
      <w:tr>
        <w:trPr>
          <w:trHeight w:val="216"/>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67,168</w:t>
            </w:r>
          </w:p>
        </w:tc>
        <w:tc>
          <w:tcPr>
            <w:tcW w:w="32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84,205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680" w:type="dxa"/>
            <w:vAlign w:val="bottom"/>
            <w:tcBorders>
              <w:bottom w:val="single" w:sz="8" w:color="CCEEFF"/>
            </w:tcBorders>
          </w:tcPr>
          <w:p>
            <w:pPr>
              <w:spacing w:after="0" w:line="189" w:lineRule="exact"/>
              <w:rPr>
                <w:sz w:val="20"/>
                <w:szCs w:val="20"/>
                <w:color w:val="auto"/>
              </w:rPr>
            </w:pPr>
            <w:r>
              <w:rPr>
                <w:rFonts w:ascii="Arial" w:cs="Arial" w:eastAsia="Arial" w:hAnsi="Arial"/>
                <w:sz w:val="17"/>
                <w:szCs w:val="17"/>
                <w:color w:val="auto"/>
              </w:rPr>
              <w:t>Less: Pre-IPO net income attributable to Tradeweb Markets LLC</w:t>
            </w:r>
          </w:p>
        </w:tc>
        <w:tc>
          <w:tcPr>
            <w:tcW w:w="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42,352</w:t>
            </w:r>
          </w:p>
        </w:tc>
        <w:tc>
          <w:tcPr>
            <w:tcW w:w="320" w:type="dxa"/>
            <w:vAlign w:val="bottom"/>
            <w:tcBorders>
              <w:bottom w:val="single" w:sz="8" w:color="CCEEFF"/>
              <w:right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w w:val="95"/>
              </w:rPr>
              <w:t>Net income attributable to Tradeweb Markets Inc. and non-controlling interests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24,816</w:t>
            </w:r>
          </w:p>
        </w:tc>
        <w:tc>
          <w:tcPr>
            <w:tcW w:w="3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Less: Net income attributable to non-controlling interests</w:t>
            </w: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11,988</w:t>
            </w:r>
          </w:p>
        </w:tc>
        <w:tc>
          <w:tcPr>
            <w:tcW w:w="320" w:type="dxa"/>
            <w:vAlign w:val="bottom"/>
            <w:tcBorders>
              <w:bottom w:val="single" w:sz="8" w:color="CCEEFF"/>
              <w:right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attributable to Tradeweb Markets Inc.</w:t>
            </w:r>
          </w:p>
        </w:tc>
        <w:tc>
          <w:tcPr>
            <w:tcW w:w="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12,828</w:t>
            </w:r>
          </w:p>
        </w:tc>
        <w:tc>
          <w:tcPr>
            <w:tcW w:w="320" w:type="dxa"/>
            <w:vAlign w:val="bottom"/>
            <w:tcBorders>
              <w:bottom w:val="single" w:sz="8" w:color="CCEEFF"/>
              <w:right w:val="single" w:sz="8" w:color="auto"/>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211" w:lineRule="exact"/>
        <w:rPr>
          <w:sz w:val="20"/>
          <w:szCs w:val="20"/>
          <w:color w:val="auto"/>
        </w:rPr>
      </w:pPr>
    </w:p>
    <w:p>
      <w:pPr>
        <w:ind w:right="40" w:firstLine="305"/>
        <w:spacing w:after="0" w:line="297" w:lineRule="auto"/>
        <w:rPr>
          <w:sz w:val="20"/>
          <w:szCs w:val="20"/>
          <w:color w:val="auto"/>
        </w:rPr>
      </w:pPr>
      <w:r>
        <w:rPr>
          <w:rFonts w:ascii="Arial" w:cs="Arial" w:eastAsia="Arial" w:hAnsi="Arial"/>
          <w:sz w:val="15"/>
          <w:szCs w:val="15"/>
          <w:color w:val="auto"/>
        </w:rPr>
        <w:t>During the six months ended June 30, 2019, our business was impacted by a number of factors, including higher client trading activity, driving revenue increases in rates, credit, equities and money markets trading. Our market data business also grew due to the expansion of our market data license agreement with Refinitiv. Our expenses were impacted by non-cash stock-based compensation expense related to the Special Option Award as a result of the completion of the IPO during the second quarter of 2019 and higher depreciation and amortization expense as a result of the application of pushdown accounting.</w:t>
      </w:r>
    </w:p>
    <w:p>
      <w:pPr>
        <w:spacing w:after="0" w:line="153" w:lineRule="exact"/>
        <w:rPr>
          <w:sz w:val="20"/>
          <w:szCs w:val="20"/>
          <w:color w:val="auto"/>
        </w:rPr>
      </w:pPr>
    </w:p>
    <w:p>
      <w:pPr>
        <w:ind w:right="40" w:firstLine="305"/>
        <w:spacing w:after="0" w:line="254" w:lineRule="auto"/>
        <w:rPr>
          <w:sz w:val="20"/>
          <w:szCs w:val="20"/>
          <w:color w:val="auto"/>
        </w:rPr>
      </w:pPr>
      <w:r>
        <w:rPr>
          <w:rFonts w:ascii="Arial" w:cs="Arial" w:eastAsia="Arial" w:hAnsi="Arial"/>
          <w:sz w:val="17"/>
          <w:szCs w:val="17"/>
          <w:color w:val="auto"/>
        </w:rPr>
        <w:t>Gross revenue increased by $36.8 million or 10.8% to $377.3 million for the six months ended June 30, 2019 from $340.5 million for the six months ended June 30, 2018. This increase in gross revenue was mainly due to higher trading volumes resulting in a $25.4 million increase in transaction fees and a $15.2 million increase in commissions. Net revenue increased by $66.1 million or 21.3% to $377.3 million for the six months ended June 30, 2019 from $311.2 million for the six months ended June 30, 2018. Non-cash contingent consideration decreased by $29.4 million for the six months ended June 30, 2019 as a result of the vesting of the Credit Initiative Earnout at July 31, 2018.</w:t>
      </w:r>
    </w:p>
    <w:p>
      <w:pPr>
        <w:spacing w:after="0" w:line="182" w:lineRule="exact"/>
        <w:rPr>
          <w:sz w:val="20"/>
          <w:szCs w:val="20"/>
          <w:color w:val="auto"/>
        </w:rPr>
      </w:pPr>
    </w:p>
    <w:p>
      <w:pPr>
        <w:ind w:firstLine="305"/>
        <w:spacing w:after="0" w:line="294" w:lineRule="auto"/>
        <w:rPr>
          <w:sz w:val="20"/>
          <w:szCs w:val="20"/>
          <w:color w:val="auto"/>
        </w:rPr>
      </w:pPr>
      <w:r>
        <w:rPr>
          <w:rFonts w:ascii="Arial" w:cs="Arial" w:eastAsia="Arial" w:hAnsi="Arial"/>
          <w:sz w:val="15"/>
          <w:szCs w:val="15"/>
          <w:color w:val="auto"/>
        </w:rPr>
        <w:t>Total expenses for the six months ended June 30, 2019 and 2018 were $300.0 million, and $223.6 million, respectively. Total expenses for the six months ended June 30, 2019 were impacted by higher employee compensation and benefits expense, including the impact of stock-based compensation expense related to the Special Option Award, which, as a result of the completion of the IPO, we began to expense during the second quarter of 2019, higher technology and communication costs and higher general and administrative costs, specifically foreign exchange losses. Total expenses for the six months ended June 30, 2019 were also impacted by higher depreciation and amortization expense as a result of the application of pushdown accounting.</w:t>
      </w:r>
    </w:p>
    <w:p>
      <w:pPr>
        <w:spacing w:after="0" w:line="156" w:lineRule="exact"/>
        <w:rPr>
          <w:sz w:val="20"/>
          <w:szCs w:val="20"/>
          <w:color w:val="auto"/>
        </w:rPr>
      </w:pPr>
    </w:p>
    <w:p>
      <w:pPr>
        <w:ind w:right="120" w:firstLine="305"/>
        <w:spacing w:after="0" w:line="278" w:lineRule="auto"/>
        <w:rPr>
          <w:sz w:val="20"/>
          <w:szCs w:val="20"/>
          <w:color w:val="auto"/>
        </w:rPr>
      </w:pPr>
      <w:r>
        <w:rPr>
          <w:rFonts w:ascii="Arial" w:cs="Arial" w:eastAsia="Arial" w:hAnsi="Arial"/>
          <w:sz w:val="16"/>
          <w:szCs w:val="16"/>
          <w:color w:val="auto"/>
        </w:rPr>
        <w:t>Income before taxes for the six months ended June 30, 2019 and 2018 was $78.3 million and $88.6 million, respectively. Net income for the six months ended June 30, 2019 and 2018 was $67.2 million and $84.2 million, respectively. Net income attributable to Tradeweb Markets Inc. for the six months ended June 30, 2019 was $12.8 million. Income before taxes, net income and net income attributable to Tradeweb Markets Inc. for the six months ended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50" w:name="page51"/>
    <w:bookmarkEnd w:id="50"/>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jc w:val="both"/>
        <w:ind w:left="2" w:right="100"/>
        <w:spacing w:after="0" w:line="261" w:lineRule="auto"/>
        <w:rPr>
          <w:sz w:val="20"/>
          <w:szCs w:val="20"/>
          <w:color w:val="auto"/>
        </w:rPr>
      </w:pPr>
      <w:r>
        <w:rPr>
          <w:rFonts w:ascii="Arial" w:cs="Arial" w:eastAsia="Arial" w:hAnsi="Arial"/>
          <w:sz w:val="17"/>
          <w:szCs w:val="17"/>
          <w:color w:val="auto"/>
        </w:rPr>
        <w:t>June 30, 2019 were negatively impacted by $20.4 million of compensation expense related to the Special Option Award and higher depreciation and amortization expense as a result of the application of pushdown accounting, resulting in a $34.3 million increase in depreciation and amortization expense, partially offset by higher revenues.</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7"/>
          <w:szCs w:val="17"/>
          <w:i w:val="1"/>
          <w:iCs w:val="1"/>
          <w:color w:val="auto"/>
        </w:rPr>
        <w:t>Revenues</w:t>
      </w:r>
    </w:p>
    <w:p>
      <w:pPr>
        <w:spacing w:after="0" w:line="211" w:lineRule="exact"/>
        <w:rPr>
          <w:sz w:val="20"/>
          <w:szCs w:val="20"/>
          <w:color w:val="auto"/>
        </w:rPr>
      </w:pPr>
    </w:p>
    <w:p>
      <w:pPr>
        <w:ind w:left="2" w:right="580" w:firstLine="305"/>
        <w:spacing w:after="0" w:line="273" w:lineRule="auto"/>
        <w:rPr>
          <w:sz w:val="20"/>
          <w:szCs w:val="20"/>
          <w:color w:val="auto"/>
        </w:rPr>
      </w:pPr>
      <w:r>
        <w:rPr>
          <w:rFonts w:ascii="Arial" w:cs="Arial" w:eastAsia="Arial" w:hAnsi="Arial"/>
          <w:sz w:val="17"/>
          <w:szCs w:val="17"/>
          <w:color w:val="auto"/>
        </w:rPr>
        <w:t>Our revenues for the six months ended June 30, 2019 and 2018, and the resulting dollar and percentage changes, were as follows:</w:t>
      </w:r>
    </w:p>
    <w:p>
      <w:pPr>
        <w:spacing w:after="0" w:line="169" w:lineRule="exact"/>
        <w:rPr>
          <w:sz w:val="20"/>
          <w:szCs w:val="20"/>
          <w:color w:val="auto"/>
        </w:rPr>
      </w:pPr>
    </w:p>
    <w:tbl>
      <w:tblPr>
        <w:tblLayout w:type="fixed"/>
        <w:tblInd w:w="2" w:type="dxa"/>
        <w:tblCellMar>
          <w:top w:w="0" w:type="dxa"/>
          <w:left w:w="0" w:type="dxa"/>
          <w:bottom w:w="0" w:type="dxa"/>
          <w:right w:w="0" w:type="dxa"/>
        </w:tblCellMar>
      </w:tblPr>
      <w:tr>
        <w:trPr>
          <w:trHeight w:val="21"/>
        </w:trPr>
        <w:tc>
          <w:tcPr>
            <w:tcW w:w="2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4"/>
            <w:vMerge w:val="restart"/>
          </w:tcPr>
          <w:p>
            <w:pPr>
              <w:jc w:val="center"/>
              <w:ind w:right="326"/>
              <w:spacing w:after="0"/>
              <w:rPr>
                <w:sz w:val="20"/>
                <w:szCs w:val="20"/>
                <w:color w:val="auto"/>
              </w:rPr>
            </w:pPr>
            <w:r>
              <w:rPr>
                <w:rFonts w:ascii="Arial" w:cs="Arial" w:eastAsia="Arial" w:hAnsi="Arial"/>
                <w:sz w:val="14"/>
                <w:szCs w:val="14"/>
                <w:b w:val="1"/>
                <w:bCs w:val="1"/>
                <w:color w:val="auto"/>
                <w:w w:val="79"/>
              </w:rPr>
              <w:t>Successor</w:t>
            </w: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gridSpan w:val="4"/>
            <w:vMerge w:val="restart"/>
          </w:tcPr>
          <w:p>
            <w:pPr>
              <w:jc w:val="center"/>
              <w:ind w:right="306"/>
              <w:spacing w:after="0"/>
              <w:rPr>
                <w:sz w:val="20"/>
                <w:szCs w:val="20"/>
                <w:color w:val="auto"/>
              </w:rPr>
            </w:pPr>
            <w:r>
              <w:rPr>
                <w:rFonts w:ascii="Arial" w:cs="Arial" w:eastAsia="Arial" w:hAnsi="Arial"/>
                <w:sz w:val="14"/>
                <w:szCs w:val="14"/>
                <w:b w:val="1"/>
                <w:bCs w:val="1"/>
                <w:color w:val="auto"/>
                <w:w w:val="83"/>
              </w:rPr>
              <w:t>Predecessor</w:t>
            </w: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4"/>
            <w:vMerge w:val="continue"/>
          </w:tcPr>
          <w:p>
            <w:pPr>
              <w:spacing w:after="0"/>
              <w:rPr>
                <w:sz w:val="12"/>
                <w:szCs w:val="12"/>
                <w:color w:val="auto"/>
              </w:rPr>
            </w:pPr>
          </w:p>
        </w:tc>
        <w:tc>
          <w:tcPr>
            <w:tcW w:w="140" w:type="dxa"/>
            <w:vAlign w:val="bottom"/>
            <w:tcBorders>
              <w:lef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660" w:type="dxa"/>
            <w:vAlign w:val="bottom"/>
            <w:tcBorders>
              <w:top w:val="single" w:sz="8" w:color="auto"/>
            </w:tcBorders>
            <w:gridSpan w:val="3"/>
          </w:tcPr>
          <w:p>
            <w:pPr>
              <w:jc w:val="center"/>
              <w:ind w:right="107"/>
              <w:spacing w:after="0" w:line="113" w:lineRule="exact"/>
              <w:rPr>
                <w:sz w:val="20"/>
                <w:szCs w:val="20"/>
                <w:color w:val="auto"/>
              </w:rPr>
            </w:pPr>
            <w:r>
              <w:rPr>
                <w:rFonts w:ascii="Arial" w:cs="Arial" w:eastAsia="Arial" w:hAnsi="Arial"/>
                <w:sz w:val="12"/>
                <w:szCs w:val="12"/>
                <w:b w:val="1"/>
                <w:bCs w:val="1"/>
                <w:color w:val="auto"/>
                <w:w w:val="99"/>
              </w:rPr>
              <w:t>Six Months</w:t>
            </w:r>
          </w:p>
        </w:tc>
        <w:tc>
          <w:tcPr>
            <w:tcW w:w="220" w:type="dxa"/>
            <w:vAlign w:val="bottom"/>
          </w:tcPr>
          <w:p>
            <w:pPr>
              <w:spacing w:after="0"/>
              <w:rPr>
                <w:sz w:val="9"/>
                <w:szCs w:val="9"/>
                <w:color w:val="auto"/>
              </w:rPr>
            </w:pPr>
          </w:p>
        </w:tc>
        <w:tc>
          <w:tcPr>
            <w:tcW w:w="140" w:type="dxa"/>
            <w:vAlign w:val="bottom"/>
            <w:tcBorders>
              <w:left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660" w:type="dxa"/>
            <w:vAlign w:val="bottom"/>
            <w:tcBorders>
              <w:top w:val="single" w:sz="8" w:color="auto"/>
            </w:tcBorders>
            <w:gridSpan w:val="3"/>
          </w:tcPr>
          <w:p>
            <w:pPr>
              <w:jc w:val="center"/>
              <w:ind w:right="128"/>
              <w:spacing w:after="0" w:line="113" w:lineRule="exact"/>
              <w:rPr>
                <w:sz w:val="20"/>
                <w:szCs w:val="20"/>
                <w:color w:val="auto"/>
              </w:rPr>
            </w:pPr>
            <w:r>
              <w:rPr>
                <w:rFonts w:ascii="Arial" w:cs="Arial" w:eastAsia="Arial" w:hAnsi="Arial"/>
                <w:sz w:val="12"/>
                <w:szCs w:val="12"/>
                <w:b w:val="1"/>
                <w:bCs w:val="1"/>
                <w:color w:val="auto"/>
              </w:rPr>
              <w:t>Six Months</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4"/>
          </w:tcPr>
          <w:p>
            <w:pPr>
              <w:jc w:val="center"/>
              <w:ind w:right="326"/>
              <w:spacing w:after="0"/>
              <w:rPr>
                <w:sz w:val="20"/>
                <w:szCs w:val="20"/>
                <w:color w:val="auto"/>
              </w:rPr>
            </w:pPr>
            <w:r>
              <w:rPr>
                <w:rFonts w:ascii="Arial" w:cs="Arial" w:eastAsia="Arial" w:hAnsi="Arial"/>
                <w:sz w:val="14"/>
                <w:szCs w:val="14"/>
                <w:b w:val="1"/>
                <w:bCs w:val="1"/>
                <w:color w:val="auto"/>
                <w:w w:val="87"/>
              </w:rPr>
              <w:t>Ended June 30, 2019</w:t>
            </w:r>
          </w:p>
        </w:tc>
        <w:tc>
          <w:tcPr>
            <w:tcW w:w="14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4"/>
          </w:tcPr>
          <w:p>
            <w:pPr>
              <w:jc w:val="center"/>
              <w:ind w:right="286"/>
              <w:spacing w:after="0"/>
              <w:rPr>
                <w:sz w:val="20"/>
                <w:szCs w:val="20"/>
                <w:color w:val="auto"/>
              </w:rPr>
            </w:pPr>
            <w:r>
              <w:rPr>
                <w:rFonts w:ascii="Arial" w:cs="Arial" w:eastAsia="Arial" w:hAnsi="Arial"/>
                <w:sz w:val="14"/>
                <w:szCs w:val="14"/>
                <w:b w:val="1"/>
                <w:bCs w:val="1"/>
                <w:color w:val="auto"/>
                <w:w w:val="87"/>
              </w:rPr>
              <w:t>Ended June 30, 2018</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2"/>
                <w:szCs w:val="12"/>
                <w:b w:val="1"/>
                <w:bCs w:val="1"/>
                <w:color w:val="auto"/>
              </w:rPr>
              <w:t>% of Gross</w:t>
            </w:r>
          </w:p>
        </w:tc>
        <w:tc>
          <w:tcPr>
            <w:tcW w:w="220" w:type="dxa"/>
            <w:vAlign w:val="bottom"/>
          </w:tcPr>
          <w:p>
            <w:pPr>
              <w:spacing w:after="0"/>
              <w:rPr>
                <w:sz w:val="9"/>
                <w:szCs w:val="9"/>
                <w:color w:val="auto"/>
              </w:rPr>
            </w:pPr>
          </w:p>
        </w:tc>
        <w:tc>
          <w:tcPr>
            <w:tcW w:w="140" w:type="dxa"/>
            <w:vAlign w:val="bottom"/>
            <w:tcBorders>
              <w:left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2"/>
                <w:szCs w:val="12"/>
                <w:b w:val="1"/>
                <w:bCs w:val="1"/>
                <w:color w:val="auto"/>
              </w:rPr>
              <w:t>% of Gross</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30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980" w:type="dxa"/>
            <w:vAlign w:val="bottom"/>
            <w:gridSpan w:val="2"/>
          </w:tcPr>
          <w:p>
            <w:pPr>
              <w:jc w:val="right"/>
              <w:ind w:right="286"/>
              <w:spacing w:after="0"/>
              <w:rPr>
                <w:sz w:val="20"/>
                <w:szCs w:val="20"/>
                <w:color w:val="auto"/>
              </w:rPr>
            </w:pPr>
            <w:r>
              <w:rPr>
                <w:rFonts w:ascii="Arial" w:cs="Arial" w:eastAsia="Arial" w:hAnsi="Arial"/>
                <w:sz w:val="14"/>
                <w:szCs w:val="14"/>
                <w:b w:val="1"/>
                <w:bCs w:val="1"/>
                <w:color w:val="auto"/>
              </w:rPr>
              <w:t>Revenue</w:t>
            </w:r>
          </w:p>
        </w:tc>
        <w:tc>
          <w:tcPr>
            <w:tcW w:w="14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32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940" w:type="dxa"/>
            <w:vAlign w:val="bottom"/>
            <w:gridSpan w:val="2"/>
          </w:tcPr>
          <w:p>
            <w:pPr>
              <w:jc w:val="right"/>
              <w:ind w:right="246"/>
              <w:spacing w:after="0"/>
              <w:rPr>
                <w:sz w:val="20"/>
                <w:szCs w:val="20"/>
                <w:color w:val="auto"/>
              </w:rPr>
            </w:pPr>
            <w:r>
              <w:rPr>
                <w:rFonts w:ascii="Arial" w:cs="Arial" w:eastAsia="Arial" w:hAnsi="Arial"/>
                <w:sz w:val="14"/>
                <w:szCs w:val="14"/>
                <w:b w:val="1"/>
                <w:bCs w:val="1"/>
                <w:color w:val="auto"/>
              </w:rPr>
              <w:t>Revenue</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77"/>
              <w:spacing w:after="0"/>
              <w:rPr>
                <w:sz w:val="20"/>
                <w:szCs w:val="20"/>
                <w:color w:val="auto"/>
              </w:rPr>
            </w:pPr>
            <w:r>
              <w:rPr>
                <w:rFonts w:ascii="Arial" w:cs="Arial" w:eastAsia="Arial" w:hAnsi="Arial"/>
                <w:sz w:val="14"/>
                <w:szCs w:val="14"/>
                <w:b w:val="1"/>
                <w:bCs w:val="1"/>
                <w:color w:val="auto"/>
                <w:w w:val="85"/>
              </w:rPr>
              <w:t>Change</w:t>
            </w:r>
          </w:p>
        </w:tc>
        <w:tc>
          <w:tcPr>
            <w:tcW w:w="22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980" w:type="dxa"/>
            <w:vAlign w:val="bottom"/>
            <w:tcBorders>
              <w:top w:val="single" w:sz="8" w:color="auto"/>
            </w:tcBorders>
            <w:gridSpan w:val="5"/>
          </w:tcPr>
          <w:p>
            <w:pPr>
              <w:jc w:val="right"/>
              <w:ind w:right="222"/>
              <w:spacing w:after="0" w:line="133"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7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rPr>
                <w:sz w:val="20"/>
                <w:szCs w:val="20"/>
                <w:color w:val="auto"/>
              </w:rPr>
            </w:pPr>
            <w:r>
              <w:rPr>
                <w:rFonts w:ascii="Arial" w:cs="Arial" w:eastAsia="Arial" w:hAnsi="Arial"/>
                <w:sz w:val="17"/>
                <w:szCs w:val="17"/>
                <w:color w:val="auto"/>
              </w:rPr>
              <w:t>Transaction fees</w:t>
            </w:r>
          </w:p>
        </w:tc>
        <w:tc>
          <w:tcPr>
            <w:tcW w:w="30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206,592</w:t>
            </w:r>
          </w:p>
        </w:tc>
        <w:tc>
          <w:tcPr>
            <w:tcW w:w="1200" w:type="dxa"/>
            <w:vAlign w:val="bottom"/>
            <w:gridSpan w:val="3"/>
          </w:tcPr>
          <w:p>
            <w:pPr>
              <w:jc w:val="right"/>
              <w:ind w:right="26"/>
              <w:spacing w:after="0"/>
              <w:rPr>
                <w:sz w:val="20"/>
                <w:szCs w:val="20"/>
                <w:color w:val="auto"/>
              </w:rPr>
            </w:pPr>
            <w:r>
              <w:rPr>
                <w:rFonts w:ascii="Arial" w:cs="Arial" w:eastAsia="Arial" w:hAnsi="Arial"/>
                <w:sz w:val="17"/>
                <w:szCs w:val="17"/>
                <w:color w:val="auto"/>
              </w:rPr>
              <w:t>54.8 %</w:t>
            </w:r>
          </w:p>
        </w:tc>
        <w:tc>
          <w:tcPr>
            <w:tcW w:w="320" w:type="dxa"/>
            <w:vAlign w:val="bottom"/>
            <w:tcBorders>
              <w:left w:val="single" w:sz="8" w:color="auto"/>
            </w:tcBorders>
            <w:gridSpan w:val="2"/>
          </w:tcPr>
          <w:p>
            <w:pPr>
              <w:jc w:val="right"/>
              <w:ind w:right="26"/>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181,169</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53.2 %</w:t>
            </w:r>
          </w:p>
        </w:tc>
        <w:tc>
          <w:tcPr>
            <w:tcW w:w="26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25,423</w:t>
            </w:r>
          </w:p>
        </w:tc>
        <w:tc>
          <w:tcPr>
            <w:tcW w:w="1140" w:type="dxa"/>
            <w:vAlign w:val="bottom"/>
            <w:gridSpan w:val="3"/>
          </w:tcPr>
          <w:p>
            <w:pPr>
              <w:jc w:val="right"/>
              <w:ind w:right="60"/>
              <w:spacing w:after="0"/>
              <w:rPr>
                <w:sz w:val="20"/>
                <w:szCs w:val="20"/>
                <w:color w:val="auto"/>
              </w:rPr>
            </w:pPr>
            <w:r>
              <w:rPr>
                <w:rFonts w:ascii="Arial" w:cs="Arial" w:eastAsia="Arial" w:hAnsi="Arial"/>
                <w:sz w:val="17"/>
                <w:szCs w:val="17"/>
                <w:color w:val="auto"/>
              </w:rPr>
              <w:t>14.0 %</w:t>
            </w:r>
          </w:p>
        </w:tc>
        <w:tc>
          <w:tcPr>
            <w:tcW w:w="0" w:type="dxa"/>
            <w:vAlign w:val="bottom"/>
          </w:tcPr>
          <w:p>
            <w:pPr>
              <w:spacing w:after="0"/>
              <w:rPr>
                <w:sz w:val="1"/>
                <w:szCs w:val="1"/>
                <w:color w:val="auto"/>
              </w:rPr>
            </w:pPr>
          </w:p>
        </w:tc>
      </w:tr>
      <w:tr>
        <w:trPr>
          <w:trHeight w:val="203"/>
        </w:trPr>
        <w:tc>
          <w:tcPr>
            <w:tcW w:w="2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Subscription fees</w:t>
            </w:r>
            <w:r>
              <w:rPr>
                <w:rFonts w:ascii="Arial" w:cs="Arial" w:eastAsia="Arial" w:hAnsi="Arial"/>
                <w:sz w:val="8"/>
                <w:szCs w:val="8"/>
                <w:color w:val="auto"/>
              </w:rPr>
              <w:t>(1)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96,012</w:t>
            </w:r>
          </w:p>
        </w:tc>
        <w:tc>
          <w:tcPr>
            <w:tcW w:w="1200" w:type="dxa"/>
            <w:vAlign w:val="bottom"/>
            <w:gridSpan w:val="3"/>
            <w:shd w:val="clear" w:color="auto" w:fill="CCEEFF"/>
          </w:tcPr>
          <w:p>
            <w:pPr>
              <w:jc w:val="right"/>
              <w:ind w:right="26"/>
              <w:spacing w:after="0"/>
              <w:rPr>
                <w:sz w:val="20"/>
                <w:szCs w:val="20"/>
                <w:color w:val="auto"/>
              </w:rPr>
            </w:pPr>
            <w:r>
              <w:rPr>
                <w:rFonts w:ascii="Arial" w:cs="Arial" w:eastAsia="Arial" w:hAnsi="Arial"/>
                <w:sz w:val="17"/>
                <w:szCs w:val="17"/>
                <w:color w:val="auto"/>
              </w:rPr>
              <w:t>25.4 %</w:t>
            </w:r>
          </w:p>
        </w:tc>
        <w:tc>
          <w:tcPr>
            <w:tcW w:w="14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98,291</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28.9 %</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(2,279)</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rPr>
                <w:sz w:val="20"/>
                <w:szCs w:val="20"/>
                <w:color w:val="auto"/>
              </w:rPr>
            </w:pPr>
            <w:r>
              <w:rPr>
                <w:rFonts w:ascii="Arial" w:cs="Arial" w:eastAsia="Arial" w:hAnsi="Arial"/>
                <w:sz w:val="17"/>
                <w:szCs w:val="17"/>
                <w:color w:val="auto"/>
              </w:rPr>
              <w:t>Commissions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70,610</w:t>
            </w:r>
          </w:p>
        </w:tc>
        <w:tc>
          <w:tcPr>
            <w:tcW w:w="1200" w:type="dxa"/>
            <w:vAlign w:val="bottom"/>
            <w:gridSpan w:val="3"/>
          </w:tcPr>
          <w:p>
            <w:pPr>
              <w:jc w:val="right"/>
              <w:ind w:right="26"/>
              <w:spacing w:after="0"/>
              <w:rPr>
                <w:sz w:val="20"/>
                <w:szCs w:val="20"/>
                <w:color w:val="auto"/>
              </w:rPr>
            </w:pPr>
            <w:r>
              <w:rPr>
                <w:rFonts w:ascii="Arial" w:cs="Arial" w:eastAsia="Arial" w:hAnsi="Arial"/>
                <w:sz w:val="17"/>
                <w:szCs w:val="17"/>
                <w:color w:val="auto"/>
              </w:rPr>
              <w:t>18.7 %</w:t>
            </w:r>
          </w:p>
        </w:tc>
        <w:tc>
          <w:tcPr>
            <w:tcW w:w="140" w:type="dxa"/>
            <w:vAlign w:val="bottom"/>
            <w:tcBorders>
              <w:lef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55,436</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16.3 %</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15,174</w:t>
            </w:r>
          </w:p>
        </w:tc>
        <w:tc>
          <w:tcPr>
            <w:tcW w:w="1140" w:type="dxa"/>
            <w:vAlign w:val="bottom"/>
            <w:gridSpan w:val="3"/>
          </w:tcPr>
          <w:p>
            <w:pPr>
              <w:jc w:val="right"/>
              <w:ind w:right="60"/>
              <w:spacing w:after="0"/>
              <w:rPr>
                <w:sz w:val="20"/>
                <w:szCs w:val="20"/>
                <w:color w:val="auto"/>
              </w:rPr>
            </w:pPr>
            <w:r>
              <w:rPr>
                <w:rFonts w:ascii="Arial" w:cs="Arial" w:eastAsia="Arial" w:hAnsi="Arial"/>
                <w:sz w:val="17"/>
                <w:szCs w:val="17"/>
                <w:color w:val="auto"/>
              </w:rPr>
              <w:t>27.4 %</w:t>
            </w:r>
          </w:p>
        </w:tc>
        <w:tc>
          <w:tcPr>
            <w:tcW w:w="0" w:type="dxa"/>
            <w:vAlign w:val="bottom"/>
          </w:tcPr>
          <w:p>
            <w:pPr>
              <w:spacing w:after="0"/>
              <w:rPr>
                <w:sz w:val="1"/>
                <w:szCs w:val="1"/>
                <w:color w:val="auto"/>
              </w:rPr>
            </w:pPr>
          </w:p>
        </w:tc>
      </w:tr>
      <w:tr>
        <w:trPr>
          <w:trHeight w:val="203"/>
        </w:trPr>
        <w:tc>
          <w:tcPr>
            <w:tcW w:w="2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4,063</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1.1 %</w:t>
            </w:r>
          </w:p>
        </w:tc>
        <w:tc>
          <w:tcPr>
            <w:tcW w:w="14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5,622</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(1,559)</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spacing w:after="0"/>
              <w:rPr>
                <w:sz w:val="20"/>
                <w:szCs w:val="20"/>
                <w:color w:val="auto"/>
              </w:rPr>
            </w:pPr>
            <w:r>
              <w:rPr>
                <w:rFonts w:ascii="Arial" w:cs="Arial" w:eastAsia="Arial" w:hAnsi="Arial"/>
                <w:sz w:val="17"/>
                <w:szCs w:val="17"/>
                <w:color w:val="auto"/>
              </w:rPr>
              <w:t>Gross revenue</w:t>
            </w: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26"/>
              <w:spacing w:after="0"/>
              <w:rPr>
                <w:sz w:val="20"/>
                <w:szCs w:val="20"/>
                <w:color w:val="auto"/>
              </w:rPr>
            </w:pPr>
            <w:r>
              <w:rPr>
                <w:rFonts w:ascii="Arial" w:cs="Arial" w:eastAsia="Arial" w:hAnsi="Arial"/>
                <w:sz w:val="15"/>
                <w:szCs w:val="15"/>
                <w:color w:val="auto"/>
                <w:w w:val="74"/>
              </w:rPr>
              <w:t>%</w:t>
            </w:r>
          </w:p>
        </w:tc>
        <w:tc>
          <w:tcPr>
            <w:tcW w:w="14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w w:val="74"/>
              </w:rPr>
              <w:t>%</w:t>
            </w: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700" w:type="dxa"/>
            <w:vAlign w:val="bottom"/>
            <w:tcBorders>
              <w:bottom w:val="single" w:sz="8" w:color="CCEEFF"/>
            </w:tcBorders>
            <w:gridSpan w:val="2"/>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377,277</w:t>
            </w:r>
          </w:p>
        </w:tc>
        <w:tc>
          <w:tcPr>
            <w:tcW w:w="220" w:type="dxa"/>
            <w:vAlign w:val="bottom"/>
            <w:tcBorders>
              <w:bottom w:val="single" w:sz="8" w:color="CCEEFF"/>
            </w:tcBorders>
            <w:vMerge w:val="continue"/>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220" w:type="dxa"/>
            <w:vAlign w:val="bottom"/>
            <w:tcBorders>
              <w:bottom w:val="single" w:sz="8" w:color="CCEEFF"/>
            </w:tcBorders>
            <w:vMerge w:val="continue"/>
          </w:tcPr>
          <w:p>
            <w:pPr>
              <w:spacing w:after="0"/>
              <w:rPr>
                <w:sz w:val="17"/>
                <w:szCs w:val="17"/>
                <w:color w:val="auto"/>
              </w:rPr>
            </w:pPr>
          </w:p>
        </w:tc>
        <w:tc>
          <w:tcPr>
            <w:tcW w:w="140" w:type="dxa"/>
            <w:vAlign w:val="bottom"/>
            <w:tcBorders>
              <w:left w:val="single" w:sz="8" w:color="auto"/>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340,518</w:t>
            </w:r>
          </w:p>
        </w:tc>
        <w:tc>
          <w:tcPr>
            <w:tcW w:w="220" w:type="dxa"/>
            <w:vAlign w:val="bottom"/>
            <w:tcBorders>
              <w:bottom w:val="single" w:sz="8" w:color="CCEEFF"/>
            </w:tcBorders>
            <w:vMerge w:val="continue"/>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180" w:type="dxa"/>
            <w:vAlign w:val="bottom"/>
            <w:tcBorders>
              <w:bottom w:val="single" w:sz="8" w:color="CCEEFF"/>
            </w:tcBorders>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36,759</w:t>
            </w: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7"/>
                <w:szCs w:val="17"/>
                <w:color w:val="auto"/>
              </w:rPr>
              <w:t>10.8 %</w:t>
            </w:r>
          </w:p>
        </w:tc>
        <w:tc>
          <w:tcPr>
            <w:tcW w:w="0" w:type="dxa"/>
            <w:vAlign w:val="bottom"/>
          </w:tcPr>
          <w:p>
            <w:pPr>
              <w:spacing w:after="0"/>
              <w:rPr>
                <w:sz w:val="1"/>
                <w:szCs w:val="1"/>
                <w:color w:val="auto"/>
              </w:rPr>
            </w:pPr>
          </w:p>
        </w:tc>
      </w:tr>
      <w:tr>
        <w:trPr>
          <w:trHeight w:val="203"/>
        </w:trPr>
        <w:tc>
          <w:tcPr>
            <w:tcW w:w="2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Contingent consideration</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(29,367)</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29,367</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spacing w:after="0"/>
              <w:rPr>
                <w:sz w:val="20"/>
                <w:szCs w:val="20"/>
                <w:color w:val="auto"/>
              </w:rPr>
            </w:pPr>
            <w:r>
              <w:rPr>
                <w:rFonts w:ascii="Arial" w:cs="Arial" w:eastAsia="Arial" w:hAnsi="Arial"/>
                <w:sz w:val="17"/>
                <w:szCs w:val="17"/>
                <w:color w:val="auto"/>
              </w:rPr>
              <w:t>Net revenue</w:t>
            </w:r>
          </w:p>
        </w:tc>
        <w:tc>
          <w:tcPr>
            <w:tcW w:w="1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left w:val="single" w:sz="8" w:color="auto"/>
            </w:tcBorders>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700" w:type="dxa"/>
            <w:vAlign w:val="bottom"/>
            <w:tcBorders>
              <w:bottom w:val="single" w:sz="8" w:color="CCEEFF"/>
            </w:tcBorders>
            <w:gridSpan w:val="2"/>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377,277</w:t>
            </w:r>
          </w:p>
        </w:tc>
        <w:tc>
          <w:tcPr>
            <w:tcW w:w="22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0" w:type="dxa"/>
            <w:vAlign w:val="bottom"/>
            <w:tcBorders>
              <w:left w:val="single" w:sz="8" w:color="auto"/>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311,151</w:t>
            </w:r>
          </w:p>
        </w:tc>
        <w:tc>
          <w:tcPr>
            <w:tcW w:w="22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66,126</w:t>
            </w: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7"/>
                <w:szCs w:val="17"/>
                <w:color w:val="auto"/>
              </w:rPr>
              <w:t>21.3 %</w:t>
            </w:r>
          </w:p>
        </w:tc>
        <w:tc>
          <w:tcPr>
            <w:tcW w:w="0" w:type="dxa"/>
            <w:vAlign w:val="bottom"/>
          </w:tcPr>
          <w:p>
            <w:pPr>
              <w:spacing w:after="0"/>
              <w:rPr>
                <w:sz w:val="1"/>
                <w:szCs w:val="1"/>
                <w:color w:val="auto"/>
              </w:rPr>
            </w:pPr>
          </w:p>
        </w:tc>
      </w:tr>
      <w:tr>
        <w:trPr>
          <w:trHeight w:val="203"/>
        </w:trPr>
        <w:tc>
          <w:tcPr>
            <w:tcW w:w="27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2"/>
              </w:rPr>
              <w:t>Components of gross revenue growth:</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rPr>
                <w:sz w:val="20"/>
                <w:szCs w:val="20"/>
                <w:color w:val="auto"/>
              </w:rPr>
            </w:pPr>
            <w:r>
              <w:rPr>
                <w:rFonts w:ascii="Arial" w:cs="Arial" w:eastAsia="Arial" w:hAnsi="Arial"/>
                <w:sz w:val="17"/>
                <w:szCs w:val="17"/>
                <w:color w:val="auto"/>
              </w:rPr>
              <w:t>Constant currency growth</w:t>
            </w:r>
            <w:r>
              <w:rPr>
                <w:rFonts w:ascii="Arial" w:cs="Arial" w:eastAsia="Arial" w:hAnsi="Arial"/>
                <w:sz w:val="8"/>
                <w:szCs w:val="8"/>
                <w:color w:val="auto"/>
              </w:rPr>
              <w:t>(2)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7"/>
                <w:szCs w:val="17"/>
                <w:color w:val="auto"/>
              </w:rPr>
              <w:t>12.9 %</w:t>
            </w:r>
          </w:p>
        </w:tc>
        <w:tc>
          <w:tcPr>
            <w:tcW w:w="0" w:type="dxa"/>
            <w:vAlign w:val="bottom"/>
          </w:tcPr>
          <w:p>
            <w:pPr>
              <w:spacing w:after="0"/>
              <w:rPr>
                <w:sz w:val="1"/>
                <w:szCs w:val="1"/>
                <w:color w:val="auto"/>
              </w:rPr>
            </w:pPr>
          </w:p>
        </w:tc>
      </w:tr>
      <w:tr>
        <w:trPr>
          <w:trHeight w:val="203"/>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Foreign currency impact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3"/>
        </w:trPr>
        <w:tc>
          <w:tcPr>
            <w:tcW w:w="2700" w:type="dxa"/>
            <w:vAlign w:val="bottom"/>
            <w:gridSpan w:val="2"/>
          </w:tcPr>
          <w:p>
            <w:pPr>
              <w:ind w:left="200"/>
              <w:spacing w:after="0"/>
              <w:rPr>
                <w:sz w:val="20"/>
                <w:szCs w:val="20"/>
                <w:color w:val="auto"/>
              </w:rPr>
            </w:pPr>
            <w:r>
              <w:rPr>
                <w:rFonts w:ascii="Arial" w:cs="Arial" w:eastAsia="Arial" w:hAnsi="Arial"/>
                <w:sz w:val="17"/>
                <w:szCs w:val="17"/>
                <w:color w:val="auto"/>
              </w:rPr>
              <w:t>Total gross revenue growth</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7"/>
                <w:szCs w:val="17"/>
                <w:color w:val="auto"/>
              </w:rPr>
              <w:t>10.8 %</w:t>
            </w:r>
          </w:p>
        </w:tc>
        <w:tc>
          <w:tcPr>
            <w:tcW w:w="0" w:type="dxa"/>
            <w:vAlign w:val="bottom"/>
          </w:tcPr>
          <w:p>
            <w:pPr>
              <w:spacing w:after="0"/>
              <w:rPr>
                <w:sz w:val="1"/>
                <w:szCs w:val="1"/>
                <w:color w:val="auto"/>
              </w:rPr>
            </w:pPr>
          </w:p>
        </w:tc>
      </w:tr>
      <w:tr>
        <w:trPr>
          <w:trHeight w:val="102"/>
        </w:trPr>
        <w:tc>
          <w:tcPr>
            <w:tcW w:w="22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302" w:right="420" w:hanging="302"/>
        <w:spacing w:after="0" w:line="232" w:lineRule="auto"/>
        <w:tabs>
          <w:tab w:leader="none" w:pos="302" w:val="left"/>
        </w:tabs>
        <w:numPr>
          <w:ilvl w:val="0"/>
          <w:numId w:val="35"/>
        </w:numPr>
        <w:rPr>
          <w:rFonts w:ascii="Arial" w:cs="Arial" w:eastAsia="Arial" w:hAnsi="Arial"/>
          <w:sz w:val="14"/>
          <w:szCs w:val="14"/>
          <w:color w:val="auto"/>
        </w:rPr>
      </w:pPr>
      <w:r>
        <w:rPr>
          <w:rFonts w:ascii="Arial" w:cs="Arial" w:eastAsia="Arial" w:hAnsi="Arial"/>
          <w:sz w:val="14"/>
          <w:szCs w:val="14"/>
          <w:color w:val="auto"/>
        </w:rPr>
        <w:t>Subscription fees for the six months ended June 30, 2019 and 2018 include $27.0 million and $24.3 million, respectively, of Refinitiv (formerly Thomson Reuters) market data fees.</w:t>
      </w:r>
    </w:p>
    <w:p>
      <w:pPr>
        <w:spacing w:after="0" w:line="171" w:lineRule="exact"/>
        <w:rPr>
          <w:rFonts w:ascii="Arial" w:cs="Arial" w:eastAsia="Arial" w:hAnsi="Arial"/>
          <w:sz w:val="14"/>
          <w:szCs w:val="14"/>
          <w:color w:val="auto"/>
        </w:rPr>
      </w:pPr>
    </w:p>
    <w:p>
      <w:pPr>
        <w:ind w:left="302" w:right="100" w:hanging="302"/>
        <w:spacing w:after="0" w:line="218" w:lineRule="auto"/>
        <w:tabs>
          <w:tab w:leader="none" w:pos="302"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Constant currency growth, which is a non-GAAP financial measure, is defined as gross revenue growth excluding the effects of foreign currency fluctuations. Gross revenue excluding the effects of foreign currency fluctuations is calculated by translating the current period and prior period’s gross revenue using the average exchange rates for 2018. We use constant currency growth as a supplemental metric to evaluate our underlying gross revenue performance between periods by removing the impact of foreign currency fluctuations. We believe that providing constant currency growth provides a useful comparison of our gross revenue performance and trends between periods.</w:t>
      </w:r>
    </w:p>
    <w:p>
      <w:pPr>
        <w:spacing w:after="0" w:line="177" w:lineRule="exact"/>
        <w:rPr>
          <w:sz w:val="20"/>
          <w:szCs w:val="20"/>
          <w:color w:val="auto"/>
        </w:rPr>
      </w:pPr>
    </w:p>
    <w:p>
      <w:pPr>
        <w:ind w:left="2" w:right="760" w:firstLine="305"/>
        <w:spacing w:after="0" w:line="273" w:lineRule="auto"/>
        <w:rPr>
          <w:sz w:val="20"/>
          <w:szCs w:val="20"/>
          <w:color w:val="auto"/>
        </w:rPr>
      </w:pPr>
      <w:r>
        <w:rPr>
          <w:rFonts w:ascii="Arial" w:cs="Arial" w:eastAsia="Arial" w:hAnsi="Arial"/>
          <w:sz w:val="17"/>
          <w:szCs w:val="17"/>
          <w:color w:val="auto"/>
        </w:rPr>
        <w:t>Our variable and fixed revenues by fee type for the six months ended June 30, 2019 and 2018, and the resulting dollar and percentage changes, were as follows:</w:t>
      </w:r>
    </w:p>
    <w:p>
      <w:pPr>
        <w:spacing w:after="0" w:line="373" w:lineRule="exact"/>
        <w:rPr>
          <w:sz w:val="20"/>
          <w:szCs w:val="20"/>
          <w:color w:val="auto"/>
        </w:rPr>
      </w:pPr>
    </w:p>
    <w:tbl>
      <w:tblPr>
        <w:tblLayout w:type="fixed"/>
        <w:tblInd w:w="2" w:type="dxa"/>
        <w:tblCellMar>
          <w:top w:w="0" w:type="dxa"/>
          <w:left w:w="0" w:type="dxa"/>
          <w:bottom w:w="0" w:type="dxa"/>
          <w:right w:w="0" w:type="dxa"/>
        </w:tblCellMar>
      </w:tblPr>
      <w:tr>
        <w:trPr>
          <w:trHeight w:val="21"/>
        </w:trPr>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1"/>
              </w:rPr>
              <w:t>Successor</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Borders>
              <w:bottom w:val="single" w:sz="8" w:color="auto"/>
            </w:tcBorders>
            <w:gridSpan w:val="4"/>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Borders>
              <w:bottom w:val="single" w:sz="8" w:color="auto"/>
            </w:tcBorders>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gridSpan w:val="4"/>
          </w:tcPr>
          <w:p>
            <w:pPr>
              <w:jc w:val="center"/>
              <w:spacing w:after="0" w:line="113" w:lineRule="exact"/>
              <w:rPr>
                <w:sz w:val="20"/>
                <w:szCs w:val="20"/>
                <w:color w:val="auto"/>
              </w:rPr>
            </w:pPr>
            <w:r>
              <w:rPr>
                <w:rFonts w:ascii="Arial" w:cs="Arial" w:eastAsia="Arial" w:hAnsi="Arial"/>
                <w:sz w:val="12"/>
                <w:szCs w:val="12"/>
                <w:b w:val="1"/>
                <w:bCs w:val="1"/>
                <w:color w:val="auto"/>
              </w:rPr>
              <w:t>Six Months Ended</w:t>
            </w: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4"/>
          </w:tcPr>
          <w:p>
            <w:pPr>
              <w:jc w:val="center"/>
              <w:spacing w:after="0" w:line="113" w:lineRule="exact"/>
              <w:rPr>
                <w:sz w:val="20"/>
                <w:szCs w:val="20"/>
                <w:color w:val="auto"/>
              </w:rPr>
            </w:pPr>
            <w:r>
              <w:rPr>
                <w:rFonts w:ascii="Arial" w:cs="Arial" w:eastAsia="Arial" w:hAnsi="Arial"/>
                <w:sz w:val="12"/>
                <w:szCs w:val="12"/>
                <w:b w:val="1"/>
                <w:bCs w:val="1"/>
                <w:color w:val="auto"/>
              </w:rPr>
              <w:t>Six Months Ended</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June 30, 2019</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June 30, 2018</w:t>
            </w:r>
          </w:p>
        </w:tc>
        <w:tc>
          <w:tcPr>
            <w:tcW w:w="180" w:type="dxa"/>
            <w:vAlign w:val="bottom"/>
          </w:tcPr>
          <w:p>
            <w:pPr>
              <w:spacing w:after="0"/>
              <w:rPr>
                <w:sz w:val="13"/>
                <w:szCs w:val="13"/>
                <w:color w:val="auto"/>
              </w:rPr>
            </w:pPr>
          </w:p>
        </w:tc>
        <w:tc>
          <w:tcPr>
            <w:tcW w:w="1420" w:type="dxa"/>
            <w:vAlign w:val="bottom"/>
            <w:gridSpan w:val="4"/>
          </w:tcPr>
          <w:p>
            <w:pPr>
              <w:jc w:val="right"/>
              <w:ind w:right="358"/>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c>
          <w:tcPr>
            <w:tcW w:w="1360" w:type="dxa"/>
            <w:vAlign w:val="bottom"/>
            <w:gridSpan w:val="5"/>
          </w:tcPr>
          <w:p>
            <w:pPr>
              <w:jc w:val="right"/>
              <w:ind w:right="38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Borders>
              <w:top w:val="single" w:sz="8" w:color="auto"/>
            </w:tcBorders>
          </w:tcPr>
          <w:p>
            <w:pPr>
              <w:jc w:val="right"/>
              <w:ind w:right="50"/>
              <w:spacing w:after="0" w:line="133" w:lineRule="exact"/>
              <w:rPr>
                <w:sz w:val="20"/>
                <w:szCs w:val="20"/>
                <w:color w:val="auto"/>
              </w:rPr>
            </w:pPr>
            <w:r>
              <w:rPr>
                <w:rFonts w:ascii="Arial" w:cs="Arial" w:eastAsia="Arial" w:hAnsi="Arial"/>
                <w:sz w:val="14"/>
                <w:szCs w:val="14"/>
                <w:b w:val="1"/>
                <w:bCs w:val="1"/>
                <w:color w:val="auto"/>
              </w:rPr>
              <w:t>Variable</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40"/>
              <w:spacing w:after="0" w:line="133" w:lineRule="exact"/>
              <w:rPr>
                <w:sz w:val="20"/>
                <w:szCs w:val="20"/>
                <w:color w:val="auto"/>
              </w:rPr>
            </w:pPr>
            <w:r>
              <w:rPr>
                <w:rFonts w:ascii="Arial" w:cs="Arial" w:eastAsia="Arial" w:hAnsi="Arial"/>
                <w:sz w:val="14"/>
                <w:szCs w:val="14"/>
                <w:b w:val="1"/>
                <w:bCs w:val="1"/>
                <w:color w:val="auto"/>
              </w:rPr>
              <w:t>Fixed</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top w:val="single" w:sz="8" w:color="auto"/>
            </w:tcBorders>
          </w:tcPr>
          <w:p>
            <w:pPr>
              <w:jc w:val="right"/>
              <w:ind w:right="50"/>
              <w:spacing w:after="0" w:line="133" w:lineRule="exact"/>
              <w:rPr>
                <w:sz w:val="20"/>
                <w:szCs w:val="20"/>
                <w:color w:val="auto"/>
              </w:rPr>
            </w:pPr>
            <w:r>
              <w:rPr>
                <w:rFonts w:ascii="Arial" w:cs="Arial" w:eastAsia="Arial" w:hAnsi="Arial"/>
                <w:sz w:val="14"/>
                <w:szCs w:val="14"/>
                <w:b w:val="1"/>
                <w:bCs w:val="1"/>
                <w:color w:val="auto"/>
              </w:rPr>
              <w:t>Variable</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18"/>
              <w:spacing w:after="0" w:line="133" w:lineRule="exact"/>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1"/>
                <w:szCs w:val="11"/>
                <w:color w:val="auto"/>
              </w:rPr>
            </w:pPr>
          </w:p>
        </w:tc>
        <w:tc>
          <w:tcPr>
            <w:tcW w:w="640" w:type="dxa"/>
            <w:vAlign w:val="bottom"/>
            <w:tcBorders>
              <w:top w:val="single" w:sz="8" w:color="auto"/>
            </w:tcBorders>
          </w:tcPr>
          <w:p>
            <w:pPr>
              <w:jc w:val="right"/>
              <w:ind w:right="7"/>
              <w:spacing w:after="0" w:line="133" w:lineRule="exact"/>
              <w:rPr>
                <w:sz w:val="20"/>
                <w:szCs w:val="20"/>
                <w:color w:val="auto"/>
              </w:rPr>
            </w:pPr>
            <w:r>
              <w:rPr>
                <w:rFonts w:ascii="Arial" w:cs="Arial" w:eastAsia="Arial" w:hAnsi="Arial"/>
                <w:sz w:val="14"/>
                <w:szCs w:val="14"/>
                <w:b w:val="1"/>
                <w:bCs w:val="1"/>
                <w:color w:val="auto"/>
                <w:w w:val="99"/>
              </w:rPr>
              <w:t>Variable</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58"/>
              <w:spacing w:after="0" w:line="133" w:lineRule="exact"/>
              <w:rPr>
                <w:sz w:val="20"/>
                <w:szCs w:val="20"/>
                <w:color w:val="auto"/>
              </w:rPr>
            </w:pPr>
            <w:r>
              <w:rPr>
                <w:rFonts w:ascii="Arial" w:cs="Arial" w:eastAsia="Arial" w:hAnsi="Arial"/>
                <w:sz w:val="14"/>
                <w:szCs w:val="14"/>
                <w:b w:val="1"/>
                <w:bCs w:val="1"/>
                <w:color w:val="auto"/>
                <w:w w:val="92"/>
              </w:rPr>
              <w:t>Fixed</w:t>
            </w:r>
          </w:p>
        </w:tc>
        <w:tc>
          <w:tcPr>
            <w:tcW w:w="180" w:type="dxa"/>
            <w:vAlign w:val="bottom"/>
          </w:tcPr>
          <w:p>
            <w:pPr>
              <w:spacing w:after="0"/>
              <w:rPr>
                <w:sz w:val="11"/>
                <w:szCs w:val="11"/>
                <w:color w:val="auto"/>
              </w:rPr>
            </w:pPr>
          </w:p>
        </w:tc>
        <w:tc>
          <w:tcPr>
            <w:tcW w:w="800" w:type="dxa"/>
            <w:vAlign w:val="bottom"/>
            <w:tcBorders>
              <w:top w:val="single" w:sz="8" w:color="auto"/>
            </w:tcBorders>
            <w:gridSpan w:val="2"/>
          </w:tcPr>
          <w:p>
            <w:pPr>
              <w:jc w:val="right"/>
              <w:ind w:right="195"/>
              <w:spacing w:after="0" w:line="133" w:lineRule="exact"/>
              <w:rPr>
                <w:sz w:val="20"/>
                <w:szCs w:val="20"/>
                <w:color w:val="auto"/>
              </w:rPr>
            </w:pPr>
            <w:r>
              <w:rPr>
                <w:rFonts w:ascii="Arial" w:cs="Arial" w:eastAsia="Arial" w:hAnsi="Arial"/>
                <w:sz w:val="14"/>
                <w:szCs w:val="14"/>
                <w:b w:val="1"/>
                <w:bCs w:val="1"/>
                <w:color w:val="auto"/>
                <w:w w:val="91"/>
              </w:rPr>
              <w:t>Variable</w:t>
            </w:r>
          </w:p>
        </w:tc>
        <w:tc>
          <w:tcPr>
            <w:tcW w:w="420" w:type="dxa"/>
            <w:vAlign w:val="bottom"/>
            <w:tcBorders>
              <w:top w:val="single" w:sz="8" w:color="auto"/>
            </w:tcBorders>
            <w:gridSpan w:val="2"/>
          </w:tcPr>
          <w:p>
            <w:pPr>
              <w:ind w:left="40"/>
              <w:spacing w:after="0" w:line="133" w:lineRule="exact"/>
              <w:rPr>
                <w:sz w:val="20"/>
                <w:szCs w:val="20"/>
                <w:color w:val="auto"/>
              </w:rPr>
            </w:pPr>
            <w:r>
              <w:rPr>
                <w:rFonts w:ascii="Arial" w:cs="Arial" w:eastAsia="Arial" w:hAnsi="Arial"/>
                <w:sz w:val="14"/>
                <w:szCs w:val="14"/>
                <w:b w:val="1"/>
                <w:bCs w:val="1"/>
                <w:color w:val="auto"/>
                <w:w w:val="98"/>
              </w:rPr>
              <w:t>Fixed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4"/>
          </w:tcPr>
          <w:p>
            <w:pPr>
              <w:jc w:val="right"/>
              <w:ind w:right="150"/>
              <w:spacing w:after="0" w:line="133"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20"/>
                <w:szCs w:val="20"/>
                <w:color w:val="auto"/>
              </w:rPr>
            </w:pPr>
            <w:r>
              <w:rPr>
                <w:rFonts w:ascii="Arial" w:cs="Arial" w:eastAsia="Arial" w:hAnsi="Arial"/>
                <w:sz w:val="17"/>
                <w:szCs w:val="17"/>
                <w:color w:val="auto"/>
              </w:rPr>
              <w:t>Transaction fees</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$ 158,492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48,100</w:t>
            </w:r>
          </w:p>
        </w:tc>
        <w:tc>
          <w:tcPr>
            <w:tcW w:w="120" w:type="dxa"/>
            <w:vAlign w:val="bottom"/>
            <w:tcBorders>
              <w:right w:val="single" w:sz="8" w:color="auto"/>
            </w:tcBorders>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w w:val="97"/>
              </w:rPr>
              <w:t>$ 139,194</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41,975</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$ 19,298</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6,125</w:t>
            </w:r>
          </w:p>
        </w:tc>
        <w:tc>
          <w:tcPr>
            <w:tcW w:w="1540" w:type="dxa"/>
            <w:vAlign w:val="bottom"/>
            <w:gridSpan w:val="6"/>
          </w:tcPr>
          <w:p>
            <w:pPr>
              <w:jc w:val="right"/>
              <w:spacing w:after="0"/>
              <w:rPr>
                <w:sz w:val="20"/>
                <w:szCs w:val="20"/>
                <w:color w:val="auto"/>
              </w:rPr>
            </w:pPr>
            <w:r>
              <w:rPr>
                <w:rFonts w:ascii="Arial" w:cs="Arial" w:eastAsia="Arial" w:hAnsi="Arial"/>
                <w:sz w:val="17"/>
                <w:szCs w:val="17"/>
                <w:color w:val="auto"/>
              </w:rPr>
              <w:t>13.9 %  14.6 %</w:t>
            </w: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spacing w:after="0"/>
              <w:rPr>
                <w:sz w:val="20"/>
                <w:szCs w:val="20"/>
                <w:color w:val="auto"/>
              </w:rPr>
            </w:pPr>
            <w:r>
              <w:rPr>
                <w:rFonts w:ascii="Arial" w:cs="Arial" w:eastAsia="Arial" w:hAnsi="Arial"/>
                <w:sz w:val="17"/>
                <w:szCs w:val="17"/>
                <w:color w:val="auto"/>
              </w:rPr>
              <w:t>Subscription fees</w:t>
            </w:r>
            <w:r>
              <w:rPr>
                <w:rFonts w:ascii="Arial" w:cs="Arial" w:eastAsia="Arial" w:hAnsi="Arial"/>
                <w:sz w:val="8"/>
                <w:szCs w:val="8"/>
                <w:color w:val="auto"/>
              </w:rPr>
              <w:t>(1)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95,122</w:t>
            </w:r>
          </w:p>
        </w:tc>
        <w:tc>
          <w:tcPr>
            <w:tcW w:w="120" w:type="dxa"/>
            <w:vAlign w:val="bottom"/>
            <w:tcBorders>
              <w:right w:val="single" w:sz="8" w:color="auto"/>
            </w:tcBorders>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97,391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(2,269)</w:t>
            </w:r>
          </w:p>
        </w:tc>
        <w:tc>
          <w:tcPr>
            <w:tcW w:w="980" w:type="dxa"/>
            <w:vAlign w:val="bottom"/>
            <w:gridSpan w:val="3"/>
            <w:shd w:val="clear" w:color="auto" w:fill="CCEEFF"/>
          </w:tcPr>
          <w:p>
            <w:pPr>
              <w:jc w:val="right"/>
              <w:ind w:right="15"/>
              <w:spacing w:after="0"/>
              <w:rPr>
                <w:sz w:val="20"/>
                <w:szCs w:val="20"/>
                <w:color w:val="auto"/>
              </w:rPr>
            </w:pPr>
            <w:r>
              <w:rPr>
                <w:rFonts w:ascii="Arial" w:cs="Arial" w:eastAsia="Arial" w:hAnsi="Arial"/>
                <w:sz w:val="17"/>
                <w:szCs w:val="17"/>
                <w:color w:val="auto"/>
              </w:rPr>
              <w:t>(1.1)%</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20"/>
                <w:szCs w:val="20"/>
                <w:color w:val="auto"/>
              </w:rPr>
            </w:pPr>
            <w:r>
              <w:rPr>
                <w:rFonts w:ascii="Arial" w:cs="Arial" w:eastAsia="Arial" w:hAnsi="Arial"/>
                <w:sz w:val="17"/>
                <w:szCs w:val="17"/>
                <w:color w:val="auto"/>
              </w:rPr>
              <w:t>Commissions</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50,945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19,665</w:t>
            </w:r>
          </w:p>
        </w:tc>
        <w:tc>
          <w:tcPr>
            <w:tcW w:w="120" w:type="dxa"/>
            <w:vAlign w:val="bottom"/>
            <w:tcBorders>
              <w:right w:val="single" w:sz="8" w:color="auto"/>
            </w:tcBorders>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35,126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20,310</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15,819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(645)</w:t>
            </w:r>
          </w:p>
        </w:tc>
        <w:tc>
          <w:tcPr>
            <w:tcW w:w="980" w:type="dxa"/>
            <w:vAlign w:val="bottom"/>
            <w:gridSpan w:val="3"/>
          </w:tcPr>
          <w:p>
            <w:pPr>
              <w:jc w:val="right"/>
              <w:ind w:right="15"/>
              <w:spacing w:after="0"/>
              <w:rPr>
                <w:sz w:val="20"/>
                <w:szCs w:val="20"/>
                <w:color w:val="auto"/>
              </w:rPr>
            </w:pPr>
            <w:r>
              <w:rPr>
                <w:rFonts w:ascii="Arial" w:cs="Arial" w:eastAsia="Arial" w:hAnsi="Arial"/>
                <w:sz w:val="17"/>
                <w:szCs w:val="17"/>
                <w:color w:val="auto"/>
              </w:rPr>
              <w:t>45.0 %</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3,458</w:t>
            </w:r>
          </w:p>
        </w:tc>
        <w:tc>
          <w:tcPr>
            <w:tcW w:w="120" w:type="dxa"/>
            <w:vAlign w:val="bottom"/>
            <w:tcBorders>
              <w:right w:val="single" w:sz="8" w:color="auto"/>
            </w:tcBorders>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(2,138)</w:t>
            </w:r>
          </w:p>
        </w:tc>
        <w:tc>
          <w:tcPr>
            <w:tcW w:w="154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2,226.</w:t>
            </w:r>
            <w:r>
              <w:rPr>
                <w:rFonts w:ascii="Arial" w:cs="Arial" w:eastAsia="Arial" w:hAnsi="Arial"/>
                <w:sz w:val="17"/>
                <w:szCs w:val="17"/>
                <w:u w:val="single" w:color="auto"/>
                <w:color w:val="auto"/>
              </w:rPr>
              <w:t>9</w:t>
            </w:r>
            <w:r>
              <w:rPr>
                <w:rFonts w:ascii="Arial" w:cs="Arial" w:eastAsia="Arial" w:hAnsi="Arial"/>
                <w:sz w:val="17"/>
                <w:szCs w:val="17"/>
                <w:color w:val="auto"/>
              </w:rPr>
              <w:t xml:space="preserve"> % (38.2)%</w:t>
            </w:r>
          </w:p>
        </w:tc>
        <w:tc>
          <w:tcPr>
            <w:tcW w:w="0" w:type="dxa"/>
            <w:vAlign w:val="bottom"/>
          </w:tcPr>
          <w:p>
            <w:pPr>
              <w:spacing w:after="0"/>
              <w:rPr>
                <w:sz w:val="1"/>
                <w:szCs w:val="1"/>
                <w:color w:val="auto"/>
              </w:rPr>
            </w:pPr>
          </w:p>
        </w:tc>
      </w:tr>
      <w:tr>
        <w:trPr>
          <w:trHeight w:val="201"/>
        </w:trPr>
        <w:tc>
          <w:tcPr>
            <w:tcW w:w="2260" w:type="dxa"/>
            <w:vAlign w:val="bottom"/>
          </w:tcPr>
          <w:p>
            <w:pPr>
              <w:spacing w:after="0"/>
              <w:rPr>
                <w:sz w:val="20"/>
                <w:szCs w:val="20"/>
                <w:color w:val="auto"/>
              </w:rPr>
            </w:pPr>
            <w:r>
              <w:rPr>
                <w:rFonts w:ascii="Arial" w:cs="Arial" w:eastAsia="Arial" w:hAnsi="Arial"/>
                <w:sz w:val="17"/>
                <w:szCs w:val="17"/>
                <w:color w:val="auto"/>
              </w:rPr>
              <w:t>Gross revenue</w:t>
            </w:r>
          </w:p>
        </w:tc>
        <w:tc>
          <w:tcPr>
            <w:tcW w:w="18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$ 210,932</w:t>
            </w:r>
          </w:p>
        </w:tc>
        <w:tc>
          <w:tcPr>
            <w:tcW w:w="1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166,345</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$ 175,246</w:t>
            </w:r>
          </w:p>
        </w:tc>
        <w:tc>
          <w:tcPr>
            <w:tcW w:w="1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165,272</w:t>
            </w:r>
          </w:p>
        </w:tc>
        <w:tc>
          <w:tcPr>
            <w:tcW w:w="18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$ 35,686</w:t>
            </w:r>
          </w:p>
        </w:tc>
        <w:tc>
          <w:tcPr>
            <w:tcW w:w="1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1,073</w:t>
            </w:r>
          </w:p>
        </w:tc>
        <w:tc>
          <w:tcPr>
            <w:tcW w:w="180" w:type="dxa"/>
            <w:vAlign w:val="bottom"/>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20.4</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w w:val="79"/>
              </w:rPr>
              <w:t>%</w:t>
            </w:r>
          </w:p>
        </w:tc>
        <w:tc>
          <w:tcPr>
            <w:tcW w:w="4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0.6</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02"/>
        </w:trPr>
        <w:tc>
          <w:tcPr>
            <w:tcW w:w="22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302" w:right="420" w:hanging="302"/>
        <w:spacing w:after="0" w:line="232" w:lineRule="auto"/>
        <w:tabs>
          <w:tab w:leader="none" w:pos="302" w:val="left"/>
        </w:tabs>
        <w:numPr>
          <w:ilvl w:val="0"/>
          <w:numId w:val="36"/>
        </w:numPr>
        <w:rPr>
          <w:rFonts w:ascii="Arial" w:cs="Arial" w:eastAsia="Arial" w:hAnsi="Arial"/>
          <w:sz w:val="14"/>
          <w:szCs w:val="14"/>
          <w:color w:val="auto"/>
        </w:rPr>
      </w:pPr>
      <w:r>
        <w:rPr>
          <w:rFonts w:ascii="Arial" w:cs="Arial" w:eastAsia="Arial" w:hAnsi="Arial"/>
          <w:sz w:val="14"/>
          <w:szCs w:val="14"/>
          <w:color w:val="auto"/>
        </w:rPr>
        <w:t>Subscription fees for the six months ended June 30, 2019 and 2018 include $27.0 million and $24.3 million, respectively, of Refinitiv (formerly Thomson Reuters) market data fees.</w:t>
      </w:r>
    </w:p>
    <w:p>
      <w:pPr>
        <w:spacing w:after="0" w:line="200" w:lineRule="exact"/>
        <w:rPr>
          <w:sz w:val="20"/>
          <w:szCs w:val="20"/>
          <w:color w:val="auto"/>
        </w:rPr>
      </w:pPr>
    </w:p>
    <w:p>
      <w:pPr>
        <w:spacing w:after="0" w:line="384"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335915</wp:posOffset>
            </wp:positionV>
            <wp:extent cx="5753735" cy="24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2"/>
          </w:cols>
          <w:pgMar w:left="1418" w:top="127" w:right="1419" w:bottom="1440" w:gutter="0" w:footer="0" w:header="0"/>
        </w:sectPr>
      </w:pPr>
    </w:p>
    <w:bookmarkStart w:id="51" w:name="page52"/>
    <w:bookmarkEnd w:id="5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right="20" w:firstLine="305"/>
        <w:spacing w:after="0" w:line="261" w:lineRule="auto"/>
        <w:rPr>
          <w:sz w:val="20"/>
          <w:szCs w:val="20"/>
          <w:color w:val="auto"/>
        </w:rPr>
      </w:pPr>
      <w:r>
        <w:rPr>
          <w:rFonts w:ascii="Arial" w:cs="Arial" w:eastAsia="Arial" w:hAnsi="Arial"/>
          <w:sz w:val="17"/>
          <w:szCs w:val="17"/>
          <w:u w:val="single" w:color="auto"/>
          <w:color w:val="auto"/>
        </w:rPr>
        <w:t>Transaction fees</w:t>
      </w:r>
      <w:r>
        <w:rPr>
          <w:rFonts w:ascii="Arial" w:cs="Arial" w:eastAsia="Arial" w:hAnsi="Arial"/>
          <w:sz w:val="17"/>
          <w:szCs w:val="17"/>
          <w:color w:val="auto"/>
        </w:rPr>
        <w:t>. Transaction fees increased by $25.4 million or 14.0% to $206.6 million for the six months ended June 30, 2019 from $181.2 million for the six months ended June 30, 2018 primarily due to increased volumes for rates derivatives products and ETFs.</w:t>
      </w:r>
    </w:p>
    <w:p>
      <w:pPr>
        <w:spacing w:after="0" w:line="176" w:lineRule="exact"/>
        <w:rPr>
          <w:sz w:val="20"/>
          <w:szCs w:val="20"/>
          <w:color w:val="auto"/>
        </w:rPr>
      </w:pPr>
    </w:p>
    <w:p>
      <w:pPr>
        <w:ind w:right="20" w:firstLine="305"/>
        <w:spacing w:after="0" w:line="285" w:lineRule="auto"/>
        <w:rPr>
          <w:sz w:val="20"/>
          <w:szCs w:val="20"/>
          <w:color w:val="auto"/>
        </w:rPr>
      </w:pPr>
      <w:r>
        <w:rPr>
          <w:rFonts w:ascii="Arial" w:cs="Arial" w:eastAsia="Arial" w:hAnsi="Arial"/>
          <w:sz w:val="16"/>
          <w:szCs w:val="16"/>
          <w:u w:val="single" w:color="auto"/>
          <w:color w:val="auto"/>
        </w:rPr>
        <w:t>Subscription fees</w:t>
      </w:r>
      <w:r>
        <w:rPr>
          <w:rFonts w:ascii="Arial" w:cs="Arial" w:eastAsia="Arial" w:hAnsi="Arial"/>
          <w:sz w:val="16"/>
          <w:szCs w:val="16"/>
          <w:color w:val="auto"/>
        </w:rPr>
        <w:t>. Subscription fees decreased by $2.3 million or (2.3)% to $96.0 million for the six months ended June 30, 2019 from $98.3 million for the six months ended June 30, 2018 primarily due to the timing of Retail fees for software development and implementation and lower European government bond fees, partially offset by higher market data fees.</w:t>
      </w:r>
    </w:p>
    <w:p>
      <w:pPr>
        <w:spacing w:after="0" w:line="154" w:lineRule="exact"/>
        <w:rPr>
          <w:sz w:val="20"/>
          <w:szCs w:val="20"/>
          <w:color w:val="auto"/>
        </w:rPr>
      </w:pPr>
    </w:p>
    <w:p>
      <w:pPr>
        <w:ind w:right="60" w:firstLine="305"/>
        <w:spacing w:after="0" w:line="264" w:lineRule="auto"/>
        <w:rPr>
          <w:sz w:val="20"/>
          <w:szCs w:val="20"/>
          <w:color w:val="auto"/>
        </w:rPr>
      </w:pPr>
      <w:r>
        <w:rPr>
          <w:rFonts w:ascii="Arial" w:cs="Arial" w:eastAsia="Arial" w:hAnsi="Arial"/>
          <w:sz w:val="17"/>
          <w:szCs w:val="17"/>
          <w:u w:val="single" w:color="auto"/>
          <w:color w:val="auto"/>
        </w:rPr>
        <w:t>Commissions</w:t>
      </w:r>
      <w:r>
        <w:rPr>
          <w:rFonts w:ascii="Arial" w:cs="Arial" w:eastAsia="Arial" w:hAnsi="Arial"/>
          <w:sz w:val="17"/>
          <w:szCs w:val="17"/>
          <w:b w:val="1"/>
          <w:bCs w:val="1"/>
          <w:color w:val="auto"/>
        </w:rPr>
        <w:t>.</w:t>
      </w:r>
      <w:r>
        <w:rPr>
          <w:rFonts w:ascii="Arial" w:cs="Arial" w:eastAsia="Arial" w:hAnsi="Arial"/>
          <w:sz w:val="17"/>
          <w:szCs w:val="17"/>
          <w:color w:val="auto"/>
        </w:rPr>
        <w:t xml:space="preserve"> Commissions increased by $15.2 million or 27.4% to $70.6 million for the six months ended June 30, 2019 from $55.4 million for the six months ended June 30, 2018 primarily due to higher trading volumes for U.S. corporate bonds and U.S. treasuries.</w:t>
      </w:r>
    </w:p>
    <w:p>
      <w:pPr>
        <w:spacing w:after="0" w:line="172" w:lineRule="exact"/>
        <w:rPr>
          <w:sz w:val="20"/>
          <w:szCs w:val="20"/>
          <w:color w:val="auto"/>
        </w:rPr>
      </w:pPr>
    </w:p>
    <w:p>
      <w:pPr>
        <w:ind w:right="300" w:firstLine="305"/>
        <w:spacing w:after="0" w:line="261" w:lineRule="auto"/>
        <w:rPr>
          <w:sz w:val="20"/>
          <w:szCs w:val="20"/>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Other revenue decreased by $1.6 million or (27.7)% to $4.1 million for the six months ended June 30, 2019 from $5.6 million for the six months ended June 30, 2018 primarily as a result of lower fees from a third party for certain licensing and development in Canada.</w:t>
      </w:r>
    </w:p>
    <w:p>
      <w:pPr>
        <w:spacing w:after="0" w:line="176" w:lineRule="exact"/>
        <w:rPr>
          <w:sz w:val="20"/>
          <w:szCs w:val="20"/>
          <w:color w:val="auto"/>
        </w:rPr>
      </w:pPr>
    </w:p>
    <w:p>
      <w:pPr>
        <w:jc w:val="both"/>
        <w:ind w:right="220" w:firstLine="305"/>
        <w:spacing w:after="0" w:line="341" w:lineRule="auto"/>
        <w:rPr>
          <w:sz w:val="20"/>
          <w:szCs w:val="20"/>
          <w:color w:val="auto"/>
        </w:rPr>
      </w:pPr>
      <w:r>
        <w:rPr>
          <w:rFonts w:ascii="Arial" w:cs="Arial" w:eastAsia="Arial" w:hAnsi="Arial"/>
          <w:sz w:val="15"/>
          <w:szCs w:val="15"/>
          <w:u w:val="single" w:color="auto"/>
          <w:color w:val="auto"/>
        </w:rPr>
        <w:t>Contingent consideration.</w:t>
      </w:r>
      <w:r>
        <w:rPr>
          <w:rFonts w:ascii="Arial" w:cs="Arial" w:eastAsia="Arial" w:hAnsi="Arial"/>
          <w:sz w:val="15"/>
          <w:szCs w:val="15"/>
          <w:color w:val="auto"/>
        </w:rPr>
        <w:t xml:space="preserve"> There was no contingent consideration for the six months ended June 30, 2019 due to the vesting of the Credit Initiative Earnout at July 31, 2018. Contingent consideration for the six months ended June 30, 2018 was $29.4 million.</w:t>
      </w:r>
    </w:p>
    <w:p>
      <w:pPr>
        <w:spacing w:after="0" w:line="120" w:lineRule="exact"/>
        <w:rPr>
          <w:sz w:val="20"/>
          <w:szCs w:val="20"/>
          <w:color w:val="auto"/>
        </w:rPr>
      </w:pPr>
    </w:p>
    <w:p>
      <w:pPr>
        <w:ind w:right="360" w:firstLine="305"/>
        <w:spacing w:after="0" w:line="273" w:lineRule="auto"/>
        <w:rPr>
          <w:sz w:val="20"/>
          <w:szCs w:val="20"/>
          <w:color w:val="auto"/>
        </w:rPr>
      </w:pPr>
      <w:r>
        <w:rPr>
          <w:rFonts w:ascii="Arial" w:cs="Arial" w:eastAsia="Arial" w:hAnsi="Arial"/>
          <w:sz w:val="17"/>
          <w:szCs w:val="17"/>
          <w:color w:val="auto"/>
        </w:rPr>
        <w:t>Our gross revenue by client sector for the six months ended June 30, 2019 and 2018,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2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vMerge w:val="restart"/>
          </w:tcPr>
          <w:p>
            <w:pPr>
              <w:jc w:val="center"/>
              <w:ind w:right="85"/>
              <w:spacing w:after="0"/>
              <w:rPr>
                <w:sz w:val="20"/>
                <w:szCs w:val="20"/>
                <w:color w:val="auto"/>
              </w:rPr>
            </w:pPr>
            <w:r>
              <w:rPr>
                <w:rFonts w:ascii="Arial" w:cs="Arial" w:eastAsia="Arial" w:hAnsi="Arial"/>
                <w:sz w:val="14"/>
                <w:szCs w:val="14"/>
                <w:b w:val="1"/>
                <w:bCs w:val="1"/>
                <w:color w:val="auto"/>
                <w:w w:val="79"/>
              </w:rPr>
              <w:t>Successor</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vMerge w:val="restart"/>
          </w:tcPr>
          <w:p>
            <w:pPr>
              <w:jc w:val="center"/>
              <w:ind w:right="84"/>
              <w:spacing w:after="0"/>
              <w:rPr>
                <w:sz w:val="20"/>
                <w:szCs w:val="20"/>
                <w:color w:val="auto"/>
              </w:rPr>
            </w:pPr>
            <w:r>
              <w:rPr>
                <w:rFonts w:ascii="Arial" w:cs="Arial" w:eastAsia="Arial" w:hAnsi="Arial"/>
                <w:sz w:val="14"/>
                <w:szCs w:val="14"/>
                <w:b w:val="1"/>
                <w:bCs w:val="1"/>
                <w:color w:val="auto"/>
                <w:w w:val="80"/>
              </w:rPr>
              <w:t>Predecessor</w:t>
            </w: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8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8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jc w:val="center"/>
              <w:ind w:right="105"/>
              <w:spacing w:after="0" w:line="113" w:lineRule="exact"/>
              <w:rPr>
                <w:sz w:val="20"/>
                <w:szCs w:val="20"/>
                <w:color w:val="auto"/>
              </w:rPr>
            </w:pPr>
            <w:r>
              <w:rPr>
                <w:rFonts w:ascii="Arial" w:cs="Arial" w:eastAsia="Arial" w:hAnsi="Arial"/>
                <w:sz w:val="12"/>
                <w:szCs w:val="12"/>
                <w:b w:val="1"/>
                <w:bCs w:val="1"/>
                <w:color w:val="auto"/>
              </w:rPr>
              <w:t>Six Months</w:t>
            </w:r>
          </w:p>
        </w:tc>
        <w:tc>
          <w:tcPr>
            <w:tcW w:w="1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jc w:val="center"/>
              <w:ind w:right="84"/>
              <w:spacing w:after="0" w:line="113" w:lineRule="exact"/>
              <w:rPr>
                <w:sz w:val="20"/>
                <w:szCs w:val="20"/>
                <w:color w:val="auto"/>
              </w:rPr>
            </w:pPr>
            <w:r>
              <w:rPr>
                <w:rFonts w:ascii="Arial" w:cs="Arial" w:eastAsia="Arial" w:hAnsi="Arial"/>
                <w:sz w:val="12"/>
                <w:szCs w:val="12"/>
                <w:b w:val="1"/>
                <w:bCs w:val="1"/>
                <w:color w:val="auto"/>
                <w:w w:val="99"/>
              </w:rPr>
              <w:t>Six Months</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8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45"/>
              <w:spacing w:after="0" w:line="140"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104"/>
              <w:spacing w:after="0" w:line="140"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85"/>
              <w:spacing w:after="0" w:line="140" w:lineRule="exact"/>
              <w:rPr>
                <w:sz w:val="20"/>
                <w:szCs w:val="20"/>
                <w:color w:val="auto"/>
              </w:rPr>
            </w:pPr>
            <w:r>
              <w:rPr>
                <w:rFonts w:ascii="Arial" w:cs="Arial" w:eastAsia="Arial" w:hAnsi="Arial"/>
                <w:sz w:val="14"/>
                <w:szCs w:val="14"/>
                <w:b w:val="1"/>
                <w:bCs w:val="1"/>
                <w:color w:val="auto"/>
              </w:rPr>
              <w:t>June 30,</w:t>
            </w:r>
          </w:p>
        </w:tc>
        <w:tc>
          <w:tcPr>
            <w:tcW w:w="1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4"/>
              <w:spacing w:after="0" w:line="140" w:lineRule="exact"/>
              <w:rPr>
                <w:sz w:val="20"/>
                <w:szCs w:val="20"/>
                <w:color w:val="auto"/>
              </w:rPr>
            </w:pPr>
            <w:r>
              <w:rPr>
                <w:rFonts w:ascii="Arial" w:cs="Arial" w:eastAsia="Arial" w:hAnsi="Arial"/>
                <w:sz w:val="14"/>
                <w:szCs w:val="14"/>
                <w:b w:val="1"/>
                <w:bCs w:val="1"/>
                <w:color w:val="auto"/>
                <w:w w:val="85"/>
              </w:rPr>
              <w:t>June 30,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85"/>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84"/>
              <w:spacing w:after="0"/>
              <w:rPr>
                <w:sz w:val="20"/>
                <w:szCs w:val="20"/>
                <w:color w:val="auto"/>
              </w:rPr>
            </w:pPr>
            <w:r>
              <w:rPr>
                <w:rFonts w:ascii="Arial" w:cs="Arial" w:eastAsia="Arial" w:hAnsi="Arial"/>
                <w:sz w:val="14"/>
                <w:szCs w:val="14"/>
                <w:b w:val="1"/>
                <w:bCs w:val="1"/>
                <w:color w:val="auto"/>
                <w:w w:val="89"/>
              </w:rPr>
              <w:t>2018</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940" w:type="dxa"/>
            <w:vAlign w:val="bottom"/>
            <w:gridSpan w:val="3"/>
          </w:tcPr>
          <w:p>
            <w:pPr>
              <w:jc w:val="right"/>
              <w:ind w:right="16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2"/>
        </w:trPr>
        <w:tc>
          <w:tcPr>
            <w:tcW w:w="28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340" w:type="dxa"/>
            <w:vAlign w:val="bottom"/>
            <w:tcBorders>
              <w:top w:val="single" w:sz="8" w:color="auto"/>
            </w:tcBorders>
            <w:gridSpan w:val="5"/>
          </w:tcPr>
          <w:p>
            <w:pPr>
              <w:jc w:val="right"/>
              <w:ind w:right="544"/>
              <w:spacing w:after="0" w:line="133"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Arial" w:cs="Arial" w:eastAsia="Arial" w:hAnsi="Arial"/>
                <w:sz w:val="17"/>
                <w:szCs w:val="17"/>
                <w:color w:val="auto"/>
              </w:rPr>
              <w:t>Institutional</w:t>
            </w:r>
          </w:p>
        </w:tc>
        <w:tc>
          <w:tcPr>
            <w:tcW w:w="156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220,309</w:t>
            </w:r>
          </w:p>
        </w:tc>
        <w:tc>
          <w:tcPr>
            <w:tcW w:w="16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204,415</w:t>
            </w:r>
          </w:p>
        </w:tc>
        <w:tc>
          <w:tcPr>
            <w:tcW w:w="500" w:type="dxa"/>
            <w:vAlign w:val="bottom"/>
            <w:gridSpan w:val="2"/>
          </w:tcPr>
          <w:p>
            <w:pPr>
              <w:jc w:val="right"/>
              <w:ind w:right="126"/>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15,894</w:t>
            </w:r>
          </w:p>
        </w:tc>
        <w:tc>
          <w:tcPr>
            <w:tcW w:w="22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7.8 %</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Wholesale</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81,376</w:t>
            </w: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64,860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16,516</w:t>
            </w:r>
          </w:p>
        </w:tc>
        <w:tc>
          <w:tcPr>
            <w:tcW w:w="2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25.5 %</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Arial" w:cs="Arial" w:eastAsia="Arial" w:hAnsi="Arial"/>
                <w:sz w:val="17"/>
                <w:szCs w:val="17"/>
                <w:color w:val="auto"/>
              </w:rPr>
              <w:t>Retail</w:t>
            </w: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41,145</w:t>
            </w: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39,954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1,191</w:t>
            </w:r>
          </w:p>
        </w:tc>
        <w:tc>
          <w:tcPr>
            <w:tcW w:w="22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3.0 %</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Market Data</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34,447</w:t>
            </w: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31,289</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3,158</w:t>
            </w:r>
          </w:p>
        </w:tc>
        <w:tc>
          <w:tcPr>
            <w:tcW w:w="2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10.1 %</w:t>
            </w:r>
          </w:p>
        </w:tc>
        <w:tc>
          <w:tcPr>
            <w:tcW w:w="0" w:type="dxa"/>
            <w:vAlign w:val="bottom"/>
          </w:tcPr>
          <w:p>
            <w:pPr>
              <w:spacing w:after="0"/>
              <w:rPr>
                <w:sz w:val="1"/>
                <w:szCs w:val="1"/>
                <w:color w:val="auto"/>
              </w:rPr>
            </w:pPr>
          </w:p>
        </w:tc>
      </w:tr>
      <w:tr>
        <w:trPr>
          <w:trHeight w:val="201"/>
        </w:trPr>
        <w:tc>
          <w:tcPr>
            <w:tcW w:w="2840" w:type="dxa"/>
            <w:vAlign w:val="bottom"/>
          </w:tcPr>
          <w:p>
            <w:pPr>
              <w:ind w:left="100"/>
              <w:spacing w:after="0"/>
              <w:rPr>
                <w:sz w:val="20"/>
                <w:szCs w:val="20"/>
                <w:color w:val="auto"/>
              </w:rPr>
            </w:pPr>
            <w:r>
              <w:rPr>
                <w:rFonts w:ascii="Arial" w:cs="Arial" w:eastAsia="Arial" w:hAnsi="Arial"/>
                <w:sz w:val="17"/>
                <w:szCs w:val="17"/>
                <w:color w:val="auto"/>
              </w:rPr>
              <w:t>Total gross revenue</w:t>
            </w:r>
          </w:p>
        </w:tc>
        <w:tc>
          <w:tcPr>
            <w:tcW w:w="14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377,277</w:t>
            </w: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340,518</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36,759</w:t>
            </w:r>
          </w:p>
        </w:tc>
        <w:tc>
          <w:tcPr>
            <w:tcW w:w="22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20" w:type="dxa"/>
            <w:vAlign w:val="bottom"/>
            <w:tcBorders>
              <w:top w:val="single" w:sz="8" w:color="auto"/>
            </w:tcBorders>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bl>
    <w:p>
      <w:pPr>
        <w:spacing w:after="0" w:line="394" w:lineRule="exact"/>
        <w:rPr>
          <w:sz w:val="20"/>
          <w:szCs w:val="20"/>
          <w:color w:val="auto"/>
        </w:rPr>
      </w:pPr>
    </w:p>
    <w:p>
      <w:pPr>
        <w:ind w:right="160" w:firstLine="305"/>
        <w:spacing w:after="0" w:line="257" w:lineRule="auto"/>
        <w:rPr>
          <w:sz w:val="20"/>
          <w:szCs w:val="20"/>
          <w:color w:val="auto"/>
        </w:rPr>
      </w:pPr>
      <w:r>
        <w:rPr>
          <w:rFonts w:ascii="Arial" w:cs="Arial" w:eastAsia="Arial" w:hAnsi="Arial"/>
          <w:sz w:val="17"/>
          <w:szCs w:val="17"/>
          <w:u w:val="single" w:color="auto"/>
          <w:color w:val="auto"/>
        </w:rPr>
        <w:t>Institutional.</w:t>
      </w:r>
      <w:r>
        <w:rPr>
          <w:rFonts w:ascii="Arial" w:cs="Arial" w:eastAsia="Arial" w:hAnsi="Arial"/>
          <w:sz w:val="17"/>
          <w:szCs w:val="17"/>
          <w:color w:val="auto"/>
        </w:rPr>
        <w:t xml:space="preserve"> Revenues from our Institutional client sector increased by $15.9 million or 7.8% to $220.3 million for the six months ended June 30, 2019 from $204.4 million for the six months ended June 30, 2018. The increase was derived primarily from increased volumes for rates derivatives products and ETFs, partially offset by the impact of foreign exchange, mainly the deterioration of the euro.</w:t>
      </w:r>
    </w:p>
    <w:p>
      <w:pPr>
        <w:spacing w:after="0" w:line="179" w:lineRule="exact"/>
        <w:rPr>
          <w:sz w:val="20"/>
          <w:szCs w:val="20"/>
          <w:color w:val="auto"/>
        </w:rPr>
      </w:pPr>
    </w:p>
    <w:p>
      <w:pPr>
        <w:ind w:right="120" w:firstLine="305"/>
        <w:spacing w:after="0" w:line="261" w:lineRule="auto"/>
        <w:rPr>
          <w:sz w:val="20"/>
          <w:szCs w:val="20"/>
          <w:color w:val="auto"/>
        </w:rPr>
      </w:pPr>
      <w:r>
        <w:rPr>
          <w:rFonts w:ascii="Arial" w:cs="Arial" w:eastAsia="Arial" w:hAnsi="Arial"/>
          <w:sz w:val="17"/>
          <w:szCs w:val="17"/>
          <w:u w:val="single" w:color="auto"/>
          <w:color w:val="auto"/>
        </w:rPr>
        <w:t>Wholesale</w:t>
      </w:r>
      <w:r>
        <w:rPr>
          <w:rFonts w:ascii="Arial" w:cs="Arial" w:eastAsia="Arial" w:hAnsi="Arial"/>
          <w:sz w:val="17"/>
          <w:szCs w:val="17"/>
          <w:color w:val="auto"/>
        </w:rPr>
        <w:t>. Revenues from our Wholesale client sector increased by $16.5 million or 25.5% to $81.4 million for the six months ended June 30, 2019 from $64.9 million for the six months ended June 30, 2018. The increase was derived primarily from U.S. session-based trading volumes.</w:t>
      </w:r>
    </w:p>
    <w:p>
      <w:pPr>
        <w:spacing w:after="0" w:line="176" w:lineRule="exact"/>
        <w:rPr>
          <w:sz w:val="20"/>
          <w:szCs w:val="20"/>
          <w:color w:val="auto"/>
        </w:rPr>
      </w:pPr>
    </w:p>
    <w:p>
      <w:pPr>
        <w:ind w:right="80" w:firstLine="305"/>
        <w:spacing w:after="0" w:line="312" w:lineRule="auto"/>
        <w:rPr>
          <w:sz w:val="20"/>
          <w:szCs w:val="20"/>
          <w:color w:val="auto"/>
        </w:rPr>
      </w:pPr>
      <w:r>
        <w:rPr>
          <w:rFonts w:ascii="Arial" w:cs="Arial" w:eastAsia="Arial" w:hAnsi="Arial"/>
          <w:sz w:val="15"/>
          <w:szCs w:val="15"/>
          <w:u w:val="single" w:color="auto"/>
          <w:color w:val="auto"/>
        </w:rPr>
        <w:t>Retail.</w:t>
      </w:r>
      <w:r>
        <w:rPr>
          <w:rFonts w:ascii="Arial" w:cs="Arial" w:eastAsia="Arial" w:hAnsi="Arial"/>
          <w:sz w:val="15"/>
          <w:szCs w:val="15"/>
          <w:color w:val="auto"/>
        </w:rPr>
        <w:t xml:space="preserve"> Revenues from our Retail client sector increased by $1.2 million or 3.0% to $41.1 million for the six months ended June 30, 2019 from $40.0 million for the six months ended June 30, 2018. The increase was derived primarily from higher trading volumes for U.S. corporate and municipal bonds partially offset by the timing of fees for software development and implementation.</w:t>
      </w:r>
    </w:p>
    <w:p>
      <w:pPr>
        <w:spacing w:after="0" w:line="141" w:lineRule="exact"/>
        <w:rPr>
          <w:sz w:val="20"/>
          <w:szCs w:val="20"/>
          <w:color w:val="auto"/>
        </w:rPr>
      </w:pPr>
    </w:p>
    <w:p>
      <w:pPr>
        <w:ind w:right="480" w:firstLine="305"/>
        <w:spacing w:after="0" w:line="305" w:lineRule="auto"/>
        <w:rPr>
          <w:sz w:val="20"/>
          <w:szCs w:val="20"/>
          <w:color w:val="auto"/>
        </w:rPr>
      </w:pPr>
      <w:r>
        <w:rPr>
          <w:rFonts w:ascii="Arial" w:cs="Arial" w:eastAsia="Arial" w:hAnsi="Arial"/>
          <w:sz w:val="16"/>
          <w:szCs w:val="16"/>
          <w:u w:val="single" w:color="auto"/>
          <w:color w:val="auto"/>
        </w:rPr>
        <w:t>Market Data.</w:t>
      </w:r>
      <w:r>
        <w:rPr>
          <w:rFonts w:ascii="Arial" w:cs="Arial" w:eastAsia="Arial" w:hAnsi="Arial"/>
          <w:sz w:val="16"/>
          <w:szCs w:val="16"/>
          <w:color w:val="auto"/>
        </w:rPr>
        <w:t xml:space="preserve"> Revenues from our Market Data client sector increased by $3.2 million or 10.1% to $34.4 million for the six months ended June 30, 2019 from $31.3 million for the six months ended June 30, 2018 primarily as a result of</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52" w:name="page53"/>
    <w:bookmarkEnd w:id="5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increased Refinitiv (formerly Thomson Reuters) license fees due to an increase in the number of market data feeds provided to Refinitiv.</w:t>
      </w:r>
    </w:p>
    <w:p>
      <w:pPr>
        <w:spacing w:after="0" w:line="369" w:lineRule="exact"/>
        <w:rPr>
          <w:sz w:val="20"/>
          <w:szCs w:val="20"/>
          <w:color w:val="auto"/>
        </w:rPr>
      </w:pPr>
    </w:p>
    <w:p>
      <w:pPr>
        <w:ind w:right="480" w:firstLine="305"/>
        <w:spacing w:after="0" w:line="273" w:lineRule="auto"/>
        <w:rPr>
          <w:sz w:val="20"/>
          <w:szCs w:val="20"/>
          <w:color w:val="auto"/>
        </w:rPr>
      </w:pPr>
      <w:r>
        <w:rPr>
          <w:rFonts w:ascii="Arial" w:cs="Arial" w:eastAsia="Arial" w:hAnsi="Arial"/>
          <w:sz w:val="17"/>
          <w:szCs w:val="17"/>
          <w:color w:val="auto"/>
        </w:rPr>
        <w:t>Our gross revenue by asset class for the six months ended June 30, 2019 and 2018,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2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vMerge w:val="restart"/>
          </w:tcPr>
          <w:p>
            <w:pPr>
              <w:jc w:val="center"/>
              <w:ind w:right="84"/>
              <w:spacing w:after="0"/>
              <w:rPr>
                <w:sz w:val="20"/>
                <w:szCs w:val="20"/>
                <w:color w:val="auto"/>
              </w:rPr>
            </w:pPr>
            <w:r>
              <w:rPr>
                <w:rFonts w:ascii="Arial" w:cs="Arial" w:eastAsia="Arial" w:hAnsi="Arial"/>
                <w:sz w:val="14"/>
                <w:szCs w:val="14"/>
                <w:b w:val="1"/>
                <w:bCs w:val="1"/>
                <w:color w:val="auto"/>
                <w:w w:val="79"/>
              </w:rPr>
              <w:t>Successor</w:t>
            </w: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vMerge w:val="restart"/>
          </w:tcPr>
          <w:p>
            <w:pPr>
              <w:jc w:val="center"/>
              <w:ind w:right="83"/>
              <w:spacing w:after="0"/>
              <w:rPr>
                <w:sz w:val="20"/>
                <w:szCs w:val="20"/>
                <w:color w:val="auto"/>
              </w:rPr>
            </w:pPr>
            <w:r>
              <w:rPr>
                <w:rFonts w:ascii="Arial" w:cs="Arial" w:eastAsia="Arial" w:hAnsi="Arial"/>
                <w:sz w:val="14"/>
                <w:szCs w:val="14"/>
                <w:b w:val="1"/>
                <w:bCs w:val="1"/>
                <w:color w:val="auto"/>
                <w:w w:val="83"/>
              </w:rPr>
              <w:t>Predecessor</w:t>
            </w: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8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jc w:val="center"/>
              <w:ind w:right="104"/>
              <w:spacing w:after="0" w:line="113" w:lineRule="exact"/>
              <w:rPr>
                <w:sz w:val="20"/>
                <w:szCs w:val="20"/>
                <w:color w:val="auto"/>
              </w:rPr>
            </w:pPr>
            <w:r>
              <w:rPr>
                <w:rFonts w:ascii="Arial" w:cs="Arial" w:eastAsia="Arial" w:hAnsi="Arial"/>
                <w:sz w:val="12"/>
                <w:szCs w:val="12"/>
                <w:b w:val="1"/>
                <w:bCs w:val="1"/>
                <w:color w:val="auto"/>
              </w:rPr>
              <w:t>Six Months</w:t>
            </w:r>
          </w:p>
        </w:tc>
        <w:tc>
          <w:tcPr>
            <w:tcW w:w="18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jc w:val="center"/>
              <w:ind w:right="83"/>
              <w:spacing w:after="0" w:line="113" w:lineRule="exact"/>
              <w:rPr>
                <w:sz w:val="20"/>
                <w:szCs w:val="20"/>
                <w:color w:val="auto"/>
              </w:rPr>
            </w:pPr>
            <w:r>
              <w:rPr>
                <w:rFonts w:ascii="Arial" w:cs="Arial" w:eastAsia="Arial" w:hAnsi="Arial"/>
                <w:sz w:val="12"/>
                <w:szCs w:val="12"/>
                <w:b w:val="1"/>
                <w:bCs w:val="1"/>
                <w:color w:val="auto"/>
              </w:rPr>
              <w:t>Six Months</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24"/>
              <w:spacing w:after="0" w:line="140" w:lineRule="exact"/>
              <w:rPr>
                <w:sz w:val="20"/>
                <w:szCs w:val="20"/>
                <w:color w:val="auto"/>
              </w:rPr>
            </w:pPr>
            <w:r>
              <w:rPr>
                <w:rFonts w:ascii="Arial" w:cs="Arial" w:eastAsia="Arial" w:hAnsi="Arial"/>
                <w:sz w:val="14"/>
                <w:szCs w:val="14"/>
                <w:b w:val="1"/>
                <w:bCs w:val="1"/>
                <w:color w:val="auto"/>
                <w:w w:val="84"/>
              </w:rPr>
              <w:t>Ended</w:t>
            </w: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23"/>
              <w:spacing w:after="0" w:line="140" w:lineRule="exact"/>
              <w:rPr>
                <w:sz w:val="20"/>
                <w:szCs w:val="20"/>
                <w:color w:val="auto"/>
              </w:rPr>
            </w:pPr>
            <w:r>
              <w:rPr>
                <w:rFonts w:ascii="Arial" w:cs="Arial" w:eastAsia="Arial" w:hAnsi="Arial"/>
                <w:sz w:val="14"/>
                <w:szCs w:val="14"/>
                <w:b w:val="1"/>
                <w:bCs w:val="1"/>
                <w:color w:val="auto"/>
                <w:w w:val="88"/>
              </w:rPr>
              <w:t>Ended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84"/>
              <w:spacing w:after="0" w:line="140" w:lineRule="exact"/>
              <w:rPr>
                <w:sz w:val="20"/>
                <w:szCs w:val="20"/>
                <w:color w:val="auto"/>
              </w:rPr>
            </w:pPr>
            <w:r>
              <w:rPr>
                <w:rFonts w:ascii="Arial" w:cs="Arial" w:eastAsia="Arial" w:hAnsi="Arial"/>
                <w:sz w:val="14"/>
                <w:szCs w:val="14"/>
                <w:b w:val="1"/>
                <w:bCs w:val="1"/>
                <w:color w:val="auto"/>
                <w:w w:val="85"/>
              </w:rPr>
              <w:t>June 30,</w:t>
            </w: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3"/>
              <w:spacing w:after="0" w:line="140" w:lineRule="exact"/>
              <w:rPr>
                <w:sz w:val="20"/>
                <w:szCs w:val="20"/>
                <w:color w:val="auto"/>
              </w:rPr>
            </w:pPr>
            <w:r>
              <w:rPr>
                <w:rFonts w:ascii="Arial" w:cs="Arial" w:eastAsia="Arial" w:hAnsi="Arial"/>
                <w:sz w:val="14"/>
                <w:szCs w:val="14"/>
                <w:b w:val="1"/>
                <w:bCs w:val="1"/>
                <w:color w:val="auto"/>
                <w:w w:val="85"/>
              </w:rPr>
              <w:t>June 30,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84"/>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83"/>
              <w:spacing w:after="0"/>
              <w:rPr>
                <w:sz w:val="20"/>
                <w:szCs w:val="20"/>
                <w:color w:val="auto"/>
              </w:rPr>
            </w:pPr>
            <w:r>
              <w:rPr>
                <w:rFonts w:ascii="Arial" w:cs="Arial" w:eastAsia="Arial" w:hAnsi="Arial"/>
                <w:sz w:val="14"/>
                <w:szCs w:val="14"/>
                <w:b w:val="1"/>
                <w:bCs w:val="1"/>
                <w:color w:val="auto"/>
                <w:w w:val="83"/>
              </w:rPr>
              <w:t>2018</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940" w:type="dxa"/>
            <w:vAlign w:val="bottom"/>
            <w:gridSpan w:val="3"/>
          </w:tcPr>
          <w:p>
            <w:pPr>
              <w:jc w:val="right"/>
              <w:ind w:right="16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2"/>
        </w:trPr>
        <w:tc>
          <w:tcPr>
            <w:tcW w:w="28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460" w:type="dxa"/>
            <w:vAlign w:val="bottom"/>
            <w:tcBorders>
              <w:top w:val="single" w:sz="8" w:color="auto"/>
            </w:tcBorders>
            <w:gridSpan w:val="5"/>
          </w:tcPr>
          <w:p>
            <w:pPr>
              <w:jc w:val="right"/>
              <w:ind w:right="603"/>
              <w:spacing w:after="0" w:line="133"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20"/>
                <w:szCs w:val="20"/>
                <w:color w:val="auto"/>
              </w:rPr>
            </w:pPr>
            <w:r>
              <w:rPr>
                <w:rFonts w:ascii="Arial" w:cs="Arial" w:eastAsia="Arial" w:hAnsi="Arial"/>
                <w:sz w:val="17"/>
                <w:szCs w:val="17"/>
                <w:color w:val="auto"/>
              </w:rPr>
              <w:t>Rates</w:t>
            </w:r>
          </w:p>
        </w:tc>
        <w:tc>
          <w:tcPr>
            <w:tcW w:w="148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211,153</w:t>
            </w:r>
          </w:p>
        </w:tc>
        <w:tc>
          <w:tcPr>
            <w:tcW w:w="180" w:type="dxa"/>
            <w:vAlign w:val="bottom"/>
            <w:tcBorders>
              <w:right w:val="single" w:sz="8" w:color="auto"/>
            </w:tcBorders>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189,049</w:t>
            </w:r>
          </w:p>
        </w:tc>
        <w:tc>
          <w:tcPr>
            <w:tcW w:w="46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22,104</w:t>
            </w:r>
          </w:p>
        </w:tc>
        <w:tc>
          <w:tcPr>
            <w:tcW w:w="24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11.7 %</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Credit</w:t>
            </w: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79,034</w:t>
            </w: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68,810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10,224</w:t>
            </w:r>
          </w:p>
        </w:tc>
        <w:tc>
          <w:tcPr>
            <w:tcW w:w="2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14.9 %</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20"/>
                <w:szCs w:val="20"/>
                <w:color w:val="auto"/>
              </w:rPr>
            </w:pPr>
            <w:r>
              <w:rPr>
                <w:rFonts w:ascii="Arial" w:cs="Arial" w:eastAsia="Arial" w:hAnsi="Arial"/>
                <w:sz w:val="17"/>
                <w:szCs w:val="17"/>
                <w:color w:val="auto"/>
              </w:rPr>
              <w:t>Equities</w:t>
            </w: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22,914</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19,863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3,051</w:t>
            </w:r>
          </w:p>
        </w:tc>
        <w:tc>
          <w:tcPr>
            <w:tcW w:w="24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15.4 %</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Money Markets</w:t>
            </w: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19,884</w:t>
            </w: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16,581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3,303</w:t>
            </w:r>
          </w:p>
        </w:tc>
        <w:tc>
          <w:tcPr>
            <w:tcW w:w="2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19.9 %</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20"/>
                <w:szCs w:val="20"/>
                <w:color w:val="auto"/>
              </w:rPr>
            </w:pPr>
            <w:r>
              <w:rPr>
                <w:rFonts w:ascii="Arial" w:cs="Arial" w:eastAsia="Arial" w:hAnsi="Arial"/>
                <w:sz w:val="17"/>
                <w:szCs w:val="17"/>
                <w:color w:val="auto"/>
              </w:rPr>
              <w:t>Market Data</w:t>
            </w: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34,447</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31,289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3,158</w:t>
            </w:r>
          </w:p>
        </w:tc>
        <w:tc>
          <w:tcPr>
            <w:tcW w:w="24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10.1 %</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Other Fees</w:t>
            </w: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9,845</w:t>
            </w: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14,926</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(5,081)</w:t>
            </w:r>
          </w:p>
        </w:tc>
        <w:tc>
          <w:tcPr>
            <w:tcW w:w="2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0" w:type="dxa"/>
            <w:vAlign w:val="bottom"/>
          </w:tcPr>
          <w:p>
            <w:pPr>
              <w:spacing w:after="0"/>
              <w:rPr>
                <w:sz w:val="1"/>
                <w:szCs w:val="1"/>
                <w:color w:val="auto"/>
              </w:rPr>
            </w:pPr>
          </w:p>
        </w:tc>
      </w:tr>
      <w:tr>
        <w:trPr>
          <w:trHeight w:val="201"/>
        </w:trPr>
        <w:tc>
          <w:tcPr>
            <w:tcW w:w="2860" w:type="dxa"/>
            <w:vAlign w:val="bottom"/>
          </w:tcPr>
          <w:p>
            <w:pPr>
              <w:ind w:left="200"/>
              <w:spacing w:after="0"/>
              <w:rPr>
                <w:sz w:val="20"/>
                <w:szCs w:val="20"/>
                <w:color w:val="auto"/>
              </w:rPr>
            </w:pPr>
            <w:r>
              <w:rPr>
                <w:rFonts w:ascii="Arial" w:cs="Arial" w:eastAsia="Arial" w:hAnsi="Arial"/>
                <w:sz w:val="17"/>
                <w:szCs w:val="17"/>
                <w:color w:val="auto"/>
              </w:rPr>
              <w:t>Total gross revenue</w:t>
            </w:r>
          </w:p>
        </w:tc>
        <w:tc>
          <w:tcPr>
            <w:tcW w:w="13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377,277</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340,518</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36,759</w:t>
            </w:r>
          </w:p>
        </w:tc>
        <w:tc>
          <w:tcPr>
            <w:tcW w:w="24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20" w:type="dxa"/>
            <w:vAlign w:val="bottom"/>
            <w:tcBorders>
              <w:top w:val="single" w:sz="8" w:color="auto"/>
            </w:tcBorders>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bl>
    <w:p>
      <w:pPr>
        <w:spacing w:after="0" w:line="394" w:lineRule="exact"/>
        <w:rPr>
          <w:sz w:val="20"/>
          <w:szCs w:val="20"/>
          <w:color w:val="auto"/>
        </w:rPr>
      </w:pPr>
    </w:p>
    <w:p>
      <w:pPr>
        <w:ind w:right="600" w:firstLine="305"/>
        <w:spacing w:after="0" w:line="273" w:lineRule="auto"/>
        <w:rPr>
          <w:sz w:val="20"/>
          <w:szCs w:val="20"/>
          <w:color w:val="auto"/>
        </w:rPr>
      </w:pPr>
      <w:r>
        <w:rPr>
          <w:rFonts w:ascii="Arial" w:cs="Arial" w:eastAsia="Arial" w:hAnsi="Arial"/>
          <w:sz w:val="17"/>
          <w:szCs w:val="17"/>
          <w:color w:val="auto"/>
        </w:rPr>
        <w:t>Our variable and fixed revenues by asset class for the six months ended June 30, 2019 and 2018,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1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79"/>
              </w:rPr>
              <w:t>Successor</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Borders>
              <w:bottom w:val="single" w:sz="8" w:color="auto"/>
            </w:tcBorders>
            <w:gridSpan w:val="3"/>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Borders>
              <w:bottom w:val="single" w:sz="8" w:color="auto"/>
            </w:tcBorders>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80" w:type="dxa"/>
            <w:vAlign w:val="bottom"/>
            <w:gridSpan w:val="3"/>
          </w:tcPr>
          <w:p>
            <w:pPr>
              <w:jc w:val="center"/>
              <w:spacing w:after="0" w:line="113" w:lineRule="exact"/>
              <w:rPr>
                <w:sz w:val="20"/>
                <w:szCs w:val="20"/>
                <w:color w:val="auto"/>
              </w:rPr>
            </w:pPr>
            <w:r>
              <w:rPr>
                <w:rFonts w:ascii="Arial" w:cs="Arial" w:eastAsia="Arial" w:hAnsi="Arial"/>
                <w:sz w:val="12"/>
                <w:szCs w:val="12"/>
                <w:b w:val="1"/>
                <w:bCs w:val="1"/>
                <w:color w:val="auto"/>
              </w:rPr>
              <w:t>Six Months Ended</w:t>
            </w: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tcPr>
          <w:p>
            <w:pPr>
              <w:jc w:val="center"/>
              <w:spacing w:after="0" w:line="113" w:lineRule="exact"/>
              <w:rPr>
                <w:sz w:val="20"/>
                <w:szCs w:val="20"/>
                <w:color w:val="auto"/>
              </w:rPr>
            </w:pPr>
            <w:r>
              <w:rPr>
                <w:rFonts w:ascii="Arial" w:cs="Arial" w:eastAsia="Arial" w:hAnsi="Arial"/>
                <w:sz w:val="12"/>
                <w:szCs w:val="12"/>
                <w:b w:val="1"/>
                <w:bCs w:val="1"/>
                <w:color w:val="auto"/>
              </w:rPr>
              <w:t>Six Months Ended</w:t>
            </w: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June 30, 2019</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June 30, 2018</w:t>
            </w:r>
          </w:p>
        </w:tc>
        <w:tc>
          <w:tcPr>
            <w:tcW w:w="160" w:type="dxa"/>
            <w:vAlign w:val="bottom"/>
          </w:tcPr>
          <w:p>
            <w:pPr>
              <w:spacing w:after="0"/>
              <w:rPr>
                <w:sz w:val="13"/>
                <w:szCs w:val="13"/>
                <w:color w:val="auto"/>
              </w:rPr>
            </w:pPr>
          </w:p>
        </w:tc>
        <w:tc>
          <w:tcPr>
            <w:tcW w:w="1420" w:type="dxa"/>
            <w:vAlign w:val="bottom"/>
            <w:gridSpan w:val="4"/>
          </w:tcPr>
          <w:p>
            <w:pPr>
              <w:jc w:val="right"/>
              <w:ind w:right="357"/>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3"/>
                <w:szCs w:val="13"/>
                <w:color w:val="auto"/>
              </w:rPr>
            </w:pPr>
          </w:p>
        </w:tc>
        <w:tc>
          <w:tcPr>
            <w:tcW w:w="1300" w:type="dxa"/>
            <w:vAlign w:val="bottom"/>
            <w:gridSpan w:val="5"/>
          </w:tcPr>
          <w:p>
            <w:pPr>
              <w:jc w:val="center"/>
              <w:ind w:right="86"/>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32"/>
        </w:trPr>
        <w:tc>
          <w:tcPr>
            <w:tcW w:w="1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Borders>
              <w:top w:val="single" w:sz="8" w:color="auto"/>
            </w:tcBorders>
          </w:tcPr>
          <w:p>
            <w:pPr>
              <w:jc w:val="right"/>
              <w:ind w:right="46"/>
              <w:spacing w:after="0" w:line="133" w:lineRule="exact"/>
              <w:rPr>
                <w:sz w:val="20"/>
                <w:szCs w:val="20"/>
                <w:color w:val="auto"/>
              </w:rPr>
            </w:pPr>
            <w:r>
              <w:rPr>
                <w:rFonts w:ascii="Arial" w:cs="Arial" w:eastAsia="Arial" w:hAnsi="Arial"/>
                <w:sz w:val="14"/>
                <w:szCs w:val="14"/>
                <w:b w:val="1"/>
                <w:bCs w:val="1"/>
                <w:color w:val="auto"/>
              </w:rPr>
              <w:t>Variable</w:t>
            </w: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27"/>
              <w:spacing w:after="0" w:line="133" w:lineRule="exact"/>
              <w:rPr>
                <w:sz w:val="20"/>
                <w:szCs w:val="20"/>
                <w:color w:val="auto"/>
              </w:rPr>
            </w:pPr>
            <w:r>
              <w:rPr>
                <w:rFonts w:ascii="Arial" w:cs="Arial" w:eastAsia="Arial" w:hAnsi="Arial"/>
                <w:sz w:val="14"/>
                <w:szCs w:val="14"/>
                <w:b w:val="1"/>
                <w:bCs w:val="1"/>
                <w:color w:val="auto"/>
              </w:rPr>
              <w:t>Fixed</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jc w:val="right"/>
              <w:ind w:right="48"/>
              <w:spacing w:after="0" w:line="133" w:lineRule="exact"/>
              <w:rPr>
                <w:sz w:val="20"/>
                <w:szCs w:val="20"/>
                <w:color w:val="auto"/>
              </w:rPr>
            </w:pPr>
            <w:r>
              <w:rPr>
                <w:rFonts w:ascii="Arial" w:cs="Arial" w:eastAsia="Arial" w:hAnsi="Arial"/>
                <w:sz w:val="14"/>
                <w:szCs w:val="14"/>
                <w:b w:val="1"/>
                <w:bCs w:val="1"/>
                <w:color w:val="auto"/>
              </w:rPr>
              <w:t>Variable</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17"/>
              <w:spacing w:after="0" w:line="133" w:lineRule="exact"/>
              <w:rPr>
                <w:sz w:val="20"/>
                <w:szCs w:val="20"/>
                <w:color w:val="auto"/>
              </w:rPr>
            </w:pPr>
            <w:r>
              <w:rPr>
                <w:rFonts w:ascii="Arial" w:cs="Arial" w:eastAsia="Arial" w:hAnsi="Arial"/>
                <w:sz w:val="14"/>
                <w:szCs w:val="14"/>
                <w:b w:val="1"/>
                <w:bCs w:val="1"/>
                <w:color w:val="auto"/>
              </w:rPr>
              <w:t>Fixed</w:t>
            </w:r>
          </w:p>
        </w:tc>
        <w:tc>
          <w:tcPr>
            <w:tcW w:w="160" w:type="dxa"/>
            <w:vAlign w:val="bottom"/>
          </w:tcPr>
          <w:p>
            <w:pPr>
              <w:spacing w:after="0"/>
              <w:rPr>
                <w:sz w:val="11"/>
                <w:szCs w:val="11"/>
                <w:color w:val="auto"/>
              </w:rPr>
            </w:pPr>
          </w:p>
        </w:tc>
        <w:tc>
          <w:tcPr>
            <w:tcW w:w="660" w:type="dxa"/>
            <w:vAlign w:val="bottom"/>
            <w:tcBorders>
              <w:top w:val="single" w:sz="8" w:color="auto"/>
            </w:tcBorders>
          </w:tcPr>
          <w:p>
            <w:pPr>
              <w:jc w:val="right"/>
              <w:ind w:right="4"/>
              <w:spacing w:after="0" w:line="133" w:lineRule="exact"/>
              <w:rPr>
                <w:sz w:val="20"/>
                <w:szCs w:val="20"/>
                <w:color w:val="auto"/>
              </w:rPr>
            </w:pPr>
            <w:r>
              <w:rPr>
                <w:rFonts w:ascii="Arial" w:cs="Arial" w:eastAsia="Arial" w:hAnsi="Arial"/>
                <w:sz w:val="14"/>
                <w:szCs w:val="14"/>
                <w:b w:val="1"/>
                <w:bCs w:val="1"/>
                <w:color w:val="auto"/>
              </w:rPr>
              <w:t>Variable</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w w:val="92"/>
              </w:rPr>
              <w:t>Fixed</w:t>
            </w:r>
          </w:p>
        </w:tc>
        <w:tc>
          <w:tcPr>
            <w:tcW w:w="160" w:type="dxa"/>
            <w:vAlign w:val="bottom"/>
          </w:tcPr>
          <w:p>
            <w:pPr>
              <w:spacing w:after="0"/>
              <w:rPr>
                <w:sz w:val="11"/>
                <w:szCs w:val="11"/>
                <w:color w:val="auto"/>
              </w:rPr>
            </w:pPr>
          </w:p>
        </w:tc>
        <w:tc>
          <w:tcPr>
            <w:tcW w:w="66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rPr>
              <w:t>Variable</w:t>
            </w:r>
          </w:p>
        </w:tc>
        <w:tc>
          <w:tcPr>
            <w:tcW w:w="500" w:type="dxa"/>
            <w:vAlign w:val="bottom"/>
            <w:tcBorders>
              <w:top w:val="single" w:sz="8" w:color="auto"/>
            </w:tcBorders>
            <w:gridSpan w:val="2"/>
          </w:tcPr>
          <w:p>
            <w:pPr>
              <w:ind w:left="80"/>
              <w:spacing w:after="0" w:line="133" w:lineRule="exact"/>
              <w:rPr>
                <w:sz w:val="20"/>
                <w:szCs w:val="20"/>
                <w:color w:val="auto"/>
              </w:rPr>
            </w:pPr>
            <w:r>
              <w:rPr>
                <w:rFonts w:ascii="Arial" w:cs="Arial" w:eastAsia="Arial" w:hAnsi="Arial"/>
                <w:sz w:val="14"/>
                <w:szCs w:val="14"/>
                <w:b w:val="1"/>
                <w:bCs w:val="1"/>
                <w:color w:val="auto"/>
              </w:rPr>
              <w:t>Fixed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4"/>
          </w:tcPr>
          <w:p>
            <w:pPr>
              <w:jc w:val="right"/>
              <w:ind w:right="128"/>
              <w:spacing w:after="0" w:line="133" w:lineRule="exact"/>
              <w:rPr>
                <w:sz w:val="20"/>
                <w:szCs w:val="20"/>
                <w:color w:val="auto"/>
              </w:rPr>
            </w:pPr>
            <w:r>
              <w:rPr>
                <w:rFonts w:ascii="Arial" w:cs="Arial" w:eastAsia="Arial" w:hAnsi="Arial"/>
                <w:sz w:val="14"/>
                <w:szCs w:val="14"/>
                <w:b w:val="1"/>
                <w:bCs w:val="1"/>
                <w:color w:val="auto"/>
                <w:w w:val="95"/>
              </w:rPr>
              <w:t>(dollars in thousands)</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7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rPr>
                <w:sz w:val="20"/>
                <w:szCs w:val="20"/>
                <w:color w:val="auto"/>
              </w:rPr>
            </w:pPr>
            <w:r>
              <w:rPr>
                <w:rFonts w:ascii="Arial" w:cs="Arial" w:eastAsia="Arial" w:hAnsi="Arial"/>
                <w:sz w:val="17"/>
                <w:szCs w:val="17"/>
                <w:color w:val="auto"/>
              </w:rPr>
              <w:t>Rates</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$ 110,393</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$ 100,760</w:t>
            </w:r>
          </w:p>
        </w:tc>
        <w:tc>
          <w:tcPr>
            <w:tcW w:w="120" w:type="dxa"/>
            <w:vAlign w:val="bottom"/>
            <w:tcBorders>
              <w:right w:val="single" w:sz="8" w:color="auto"/>
            </w:tcBorders>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  90,375</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98,674</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$ 20,018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8"/>
              </w:rPr>
              <w:t>2,086</w:t>
            </w:r>
          </w:p>
        </w:tc>
        <w:tc>
          <w:tcPr>
            <w:tcW w:w="1460" w:type="dxa"/>
            <w:vAlign w:val="bottom"/>
            <w:gridSpan w:val="6"/>
          </w:tcPr>
          <w:p>
            <w:pPr>
              <w:jc w:val="right"/>
              <w:spacing w:after="0"/>
              <w:rPr>
                <w:sz w:val="20"/>
                <w:szCs w:val="20"/>
                <w:color w:val="auto"/>
              </w:rPr>
            </w:pPr>
            <w:r>
              <w:rPr>
                <w:rFonts w:ascii="Arial" w:cs="Arial" w:eastAsia="Arial" w:hAnsi="Arial"/>
                <w:sz w:val="17"/>
                <w:szCs w:val="17"/>
                <w:color w:val="auto"/>
              </w:rPr>
              <w:t>22.1 %   2.1 %</w:t>
            </w:r>
          </w:p>
        </w:tc>
        <w:tc>
          <w:tcPr>
            <w:tcW w:w="0" w:type="dxa"/>
            <w:vAlign w:val="bottom"/>
          </w:tcPr>
          <w:p>
            <w:pPr>
              <w:spacing w:after="0"/>
              <w:rPr>
                <w:sz w:val="1"/>
                <w:szCs w:val="1"/>
                <w:color w:val="auto"/>
              </w:rPr>
            </w:pPr>
          </w:p>
        </w:tc>
      </w:tr>
      <w:tr>
        <w:trPr>
          <w:trHeight w:val="203"/>
        </w:trPr>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Credit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68,695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10,339</w:t>
            </w:r>
          </w:p>
        </w:tc>
        <w:tc>
          <w:tcPr>
            <w:tcW w:w="120" w:type="dxa"/>
            <w:vAlign w:val="bottom"/>
            <w:tcBorders>
              <w:right w:val="single" w:sz="8" w:color="auto"/>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58,715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10,095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9,980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146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17.0 %   2.4 %</w:t>
            </w:r>
          </w:p>
        </w:tc>
        <w:tc>
          <w:tcPr>
            <w:tcW w:w="0" w:type="dxa"/>
            <w:vAlign w:val="bottom"/>
          </w:tcPr>
          <w:p>
            <w:pPr>
              <w:spacing w:after="0"/>
              <w:rPr>
                <w:sz w:val="1"/>
                <w:szCs w:val="1"/>
                <w:color w:val="auto"/>
              </w:rPr>
            </w:pPr>
          </w:p>
        </w:tc>
      </w:tr>
      <w:tr>
        <w:trPr>
          <w:trHeight w:val="203"/>
        </w:trPr>
        <w:tc>
          <w:tcPr>
            <w:tcW w:w="1860" w:type="dxa"/>
            <w:vAlign w:val="bottom"/>
          </w:tcPr>
          <w:p>
            <w:pPr>
              <w:spacing w:after="0"/>
              <w:rPr>
                <w:sz w:val="20"/>
                <w:szCs w:val="20"/>
                <w:color w:val="auto"/>
              </w:rPr>
            </w:pPr>
            <w:r>
              <w:rPr>
                <w:rFonts w:ascii="Arial" w:cs="Arial" w:eastAsia="Arial" w:hAnsi="Arial"/>
                <w:sz w:val="17"/>
                <w:szCs w:val="17"/>
                <w:color w:val="auto"/>
              </w:rPr>
              <w:t>Equities</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19,347</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3,567</w:t>
            </w:r>
          </w:p>
        </w:tc>
        <w:tc>
          <w:tcPr>
            <w:tcW w:w="120" w:type="dxa"/>
            <w:vAlign w:val="bottom"/>
            <w:tcBorders>
              <w:right w:val="single" w:sz="8" w:color="auto"/>
            </w:tcBorders>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16,428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3,435</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2,919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132</w:t>
            </w:r>
          </w:p>
        </w:tc>
        <w:tc>
          <w:tcPr>
            <w:tcW w:w="1460" w:type="dxa"/>
            <w:vAlign w:val="bottom"/>
            <w:gridSpan w:val="6"/>
          </w:tcPr>
          <w:p>
            <w:pPr>
              <w:jc w:val="right"/>
              <w:spacing w:after="0"/>
              <w:rPr>
                <w:sz w:val="20"/>
                <w:szCs w:val="20"/>
                <w:color w:val="auto"/>
              </w:rPr>
            </w:pPr>
            <w:r>
              <w:rPr>
                <w:rFonts w:ascii="Arial" w:cs="Arial" w:eastAsia="Arial" w:hAnsi="Arial"/>
                <w:sz w:val="17"/>
                <w:szCs w:val="17"/>
                <w:color w:val="auto"/>
              </w:rPr>
              <w:t>17.8 %   3.8 %</w:t>
            </w:r>
          </w:p>
        </w:tc>
        <w:tc>
          <w:tcPr>
            <w:tcW w:w="0" w:type="dxa"/>
            <w:vAlign w:val="bottom"/>
          </w:tcPr>
          <w:p>
            <w:pPr>
              <w:spacing w:after="0"/>
              <w:rPr>
                <w:sz w:val="1"/>
                <w:szCs w:val="1"/>
                <w:color w:val="auto"/>
              </w:rPr>
            </w:pPr>
          </w:p>
        </w:tc>
      </w:tr>
      <w:tr>
        <w:trPr>
          <w:trHeight w:val="203"/>
        </w:trPr>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Money Markets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12,497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7,387</w:t>
            </w:r>
          </w:p>
        </w:tc>
        <w:tc>
          <w:tcPr>
            <w:tcW w:w="120" w:type="dxa"/>
            <w:vAlign w:val="bottom"/>
            <w:tcBorders>
              <w:right w:val="single" w:sz="8" w:color="auto"/>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9,714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2,783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146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28.6 %   7.6 %</w:t>
            </w:r>
          </w:p>
        </w:tc>
        <w:tc>
          <w:tcPr>
            <w:tcW w:w="0" w:type="dxa"/>
            <w:vAlign w:val="bottom"/>
          </w:tcPr>
          <w:p>
            <w:pPr>
              <w:spacing w:after="0"/>
              <w:rPr>
                <w:sz w:val="1"/>
                <w:szCs w:val="1"/>
                <w:color w:val="auto"/>
              </w:rPr>
            </w:pPr>
          </w:p>
        </w:tc>
      </w:tr>
      <w:tr>
        <w:trPr>
          <w:trHeight w:val="203"/>
        </w:trPr>
        <w:tc>
          <w:tcPr>
            <w:tcW w:w="1860" w:type="dxa"/>
            <w:vAlign w:val="bottom"/>
          </w:tcPr>
          <w:p>
            <w:pPr>
              <w:spacing w:after="0"/>
              <w:rPr>
                <w:sz w:val="20"/>
                <w:szCs w:val="20"/>
                <w:color w:val="auto"/>
              </w:rPr>
            </w:pPr>
            <w:r>
              <w:rPr>
                <w:rFonts w:ascii="Arial" w:cs="Arial" w:eastAsia="Arial" w:hAnsi="Arial"/>
                <w:sz w:val="17"/>
                <w:szCs w:val="17"/>
                <w:color w:val="auto"/>
              </w:rPr>
              <w:t>Market Data</w:t>
            </w:r>
          </w:p>
        </w:tc>
        <w:tc>
          <w:tcPr>
            <w:tcW w:w="7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34,447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31,289</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8"/>
              </w:rPr>
              <w:t>3,158</w:t>
            </w:r>
          </w:p>
        </w:tc>
        <w:tc>
          <w:tcPr>
            <w:tcW w:w="160" w:type="dxa"/>
            <w:vAlign w:val="bottom"/>
          </w:tcPr>
          <w:p>
            <w:pPr>
              <w:spacing w:after="0"/>
              <w:rPr>
                <w:sz w:val="17"/>
                <w:szCs w:val="17"/>
                <w:color w:val="auto"/>
              </w:rPr>
            </w:pPr>
          </w:p>
        </w:tc>
        <w:tc>
          <w:tcPr>
            <w:tcW w:w="660" w:type="dxa"/>
            <w:vAlign w:val="bottom"/>
            <w:gridSpan w:val="2"/>
          </w:tcPr>
          <w:p>
            <w:pPr>
              <w:ind w:left="240"/>
              <w:spacing w:after="0"/>
              <w:rPr>
                <w:sz w:val="20"/>
                <w:szCs w:val="20"/>
                <w:color w:val="auto"/>
              </w:rPr>
            </w:pPr>
            <w:r>
              <w:rPr>
                <w:rFonts w:ascii="Arial" w:cs="Arial" w:eastAsia="Arial" w:hAnsi="Arial"/>
                <w:sz w:val="17"/>
                <w:szCs w:val="17"/>
                <w:color w:val="auto"/>
              </w:rPr>
              <w:t>n/a</w:t>
            </w: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10.1 %</w:t>
            </w:r>
          </w:p>
        </w:tc>
        <w:tc>
          <w:tcPr>
            <w:tcW w:w="0" w:type="dxa"/>
            <w:vAlign w:val="bottom"/>
          </w:tcPr>
          <w:p>
            <w:pPr>
              <w:spacing w:after="0"/>
              <w:rPr>
                <w:sz w:val="1"/>
                <w:szCs w:val="1"/>
                <w:color w:val="auto"/>
              </w:rPr>
            </w:pPr>
          </w:p>
        </w:tc>
      </w:tr>
      <w:tr>
        <w:trPr>
          <w:trHeight w:val="203"/>
        </w:trPr>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7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9,845</w:t>
            </w:r>
          </w:p>
        </w:tc>
        <w:tc>
          <w:tcPr>
            <w:tcW w:w="120" w:type="dxa"/>
            <w:vAlign w:val="bottom"/>
            <w:tcBorders>
              <w:right w:val="single" w:sz="8" w:color="auto"/>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14,912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(5,067)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7"/>
                <w:szCs w:val="17"/>
                <w:u w:val="single" w:color="auto"/>
                <w:color w:val="auto"/>
              </w:rPr>
              <w:t>0)</w:t>
            </w:r>
          </w:p>
        </w:tc>
        <w:tc>
          <w:tcPr>
            <w:tcW w:w="1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0" w:type="dxa"/>
            <w:vAlign w:val="bottom"/>
          </w:tcPr>
          <w:p>
            <w:pPr>
              <w:spacing w:after="0"/>
              <w:rPr>
                <w:sz w:val="1"/>
                <w:szCs w:val="1"/>
                <w:color w:val="auto"/>
              </w:rPr>
            </w:pPr>
          </w:p>
        </w:tc>
      </w:tr>
      <w:tr>
        <w:trPr>
          <w:trHeight w:val="201"/>
        </w:trPr>
        <w:tc>
          <w:tcPr>
            <w:tcW w:w="1860" w:type="dxa"/>
            <w:vAlign w:val="bottom"/>
          </w:tcPr>
          <w:p>
            <w:pPr>
              <w:spacing w:after="0"/>
              <w:rPr>
                <w:sz w:val="20"/>
                <w:szCs w:val="20"/>
                <w:color w:val="auto"/>
              </w:rPr>
            </w:pPr>
            <w:r>
              <w:rPr>
                <w:rFonts w:ascii="Arial" w:cs="Arial" w:eastAsia="Arial" w:hAnsi="Arial"/>
                <w:sz w:val="17"/>
                <w:szCs w:val="17"/>
                <w:color w:val="auto"/>
              </w:rPr>
              <w:t>Gross revenue</w:t>
            </w:r>
          </w:p>
        </w:tc>
        <w:tc>
          <w:tcPr>
            <w:tcW w:w="78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1"/>
              </w:rPr>
              <w:t>$ 210,932</w:t>
            </w:r>
          </w:p>
        </w:tc>
        <w:tc>
          <w:tcPr>
            <w:tcW w:w="18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1"/>
              </w:rPr>
              <w:t>$ 166,345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$ 175,246</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165,272</w:t>
            </w:r>
          </w:p>
        </w:tc>
        <w:tc>
          <w:tcPr>
            <w:tcW w:w="16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$ 35,686</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1,073</w:t>
            </w:r>
          </w:p>
        </w:tc>
        <w:tc>
          <w:tcPr>
            <w:tcW w:w="16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20.4</w:t>
            </w:r>
          </w:p>
        </w:tc>
        <w:tc>
          <w:tcPr>
            <w:tcW w:w="16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20" w:type="dxa"/>
            <w:vAlign w:val="bottom"/>
            <w:tcBorders>
              <w:top w:val="single" w:sz="8" w:color="auto"/>
            </w:tcBorders>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bl>
    <w:p>
      <w:pPr>
        <w:spacing w:after="0" w:line="394" w:lineRule="exact"/>
        <w:rPr>
          <w:sz w:val="20"/>
          <w:szCs w:val="20"/>
          <w:color w:val="auto"/>
        </w:rPr>
      </w:pPr>
    </w:p>
    <w:p>
      <w:pPr>
        <w:ind w:right="60" w:firstLine="305"/>
        <w:spacing w:after="0" w:line="261" w:lineRule="auto"/>
        <w:rPr>
          <w:sz w:val="20"/>
          <w:szCs w:val="20"/>
          <w:color w:val="auto"/>
        </w:rPr>
      </w:pPr>
      <w:r>
        <w:rPr>
          <w:rFonts w:ascii="Arial" w:cs="Arial" w:eastAsia="Arial" w:hAnsi="Arial"/>
          <w:sz w:val="17"/>
          <w:szCs w:val="17"/>
          <w:u w:val="single" w:color="auto"/>
          <w:color w:val="auto"/>
        </w:rPr>
        <w:t>Rates</w:t>
      </w:r>
      <w:r>
        <w:rPr>
          <w:rFonts w:ascii="Arial" w:cs="Arial" w:eastAsia="Arial" w:hAnsi="Arial"/>
          <w:sz w:val="17"/>
          <w:szCs w:val="17"/>
          <w:color w:val="auto"/>
        </w:rPr>
        <w:t>. Revenues from our Rates asset class increased by $22.1 million or 11.7% to $211.2 million for the six months ended June 30, 2019 from $189.0 million for the six months ended June 30, 2018 primarily due to increased volumes in derivatives and U.S. treasuries.</w:t>
      </w:r>
    </w:p>
    <w:p>
      <w:pPr>
        <w:spacing w:after="0" w:line="176" w:lineRule="exact"/>
        <w:rPr>
          <w:sz w:val="20"/>
          <w:szCs w:val="20"/>
          <w:color w:val="auto"/>
        </w:rPr>
      </w:pPr>
    </w:p>
    <w:p>
      <w:pPr>
        <w:ind w:right="40" w:firstLine="305"/>
        <w:spacing w:after="0" w:line="341" w:lineRule="auto"/>
        <w:rPr>
          <w:sz w:val="20"/>
          <w:szCs w:val="20"/>
          <w:color w:val="auto"/>
        </w:rPr>
      </w:pPr>
      <w:r>
        <w:rPr>
          <w:rFonts w:ascii="Arial" w:cs="Arial" w:eastAsia="Arial" w:hAnsi="Arial"/>
          <w:sz w:val="15"/>
          <w:szCs w:val="15"/>
          <w:u w:val="single" w:color="auto"/>
          <w:color w:val="auto"/>
        </w:rPr>
        <w:t>Credit.</w:t>
      </w:r>
      <w:r>
        <w:rPr>
          <w:rFonts w:ascii="Arial" w:cs="Arial" w:eastAsia="Arial" w:hAnsi="Arial"/>
          <w:sz w:val="15"/>
          <w:szCs w:val="15"/>
          <w:color w:val="auto"/>
        </w:rPr>
        <w:t xml:space="preserve"> Revenues from our Credit asset class increased by $10.2 million or 14.9% to $79.0 million for the six months ended June 30, 2019 from $68.8 million for the six months ended June 30, 2018 primarily due to increased volumes for U.S. corporate bonds.</w:t>
      </w:r>
    </w:p>
    <w:p>
      <w:pPr>
        <w:spacing w:after="0" w:line="120" w:lineRule="exact"/>
        <w:rPr>
          <w:sz w:val="20"/>
          <w:szCs w:val="20"/>
          <w:color w:val="auto"/>
        </w:rPr>
      </w:pPr>
    </w:p>
    <w:p>
      <w:pPr>
        <w:ind w:right="200" w:firstLine="305"/>
        <w:spacing w:after="0" w:line="341" w:lineRule="auto"/>
        <w:rPr>
          <w:sz w:val="20"/>
          <w:szCs w:val="20"/>
          <w:color w:val="auto"/>
        </w:rPr>
      </w:pPr>
      <w:r>
        <w:rPr>
          <w:rFonts w:ascii="Arial" w:cs="Arial" w:eastAsia="Arial" w:hAnsi="Arial"/>
          <w:sz w:val="15"/>
          <w:szCs w:val="15"/>
          <w:u w:val="single" w:color="auto"/>
          <w:color w:val="auto"/>
        </w:rPr>
        <w:t>Equities</w:t>
      </w:r>
      <w:r>
        <w:rPr>
          <w:rFonts w:ascii="Arial" w:cs="Arial" w:eastAsia="Arial" w:hAnsi="Arial"/>
          <w:sz w:val="15"/>
          <w:szCs w:val="15"/>
          <w:color w:val="auto"/>
        </w:rPr>
        <w:t>. Revenues from our Equities asset class increased by $3.1 million or 15.4% to $22.9 million for the six months ended June 30, 2019 from $19.9 million for the six months ended June 30, 2018 primarily due to increased volumes for ETFs.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53" w:name="page54"/>
    <w:bookmarkEnd w:id="5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right="140" w:firstLine="305"/>
        <w:spacing w:after="0" w:line="261" w:lineRule="auto"/>
        <w:rPr>
          <w:sz w:val="20"/>
          <w:szCs w:val="20"/>
          <w:color w:val="auto"/>
        </w:rPr>
      </w:pPr>
      <w:r>
        <w:rPr>
          <w:rFonts w:ascii="Arial" w:cs="Arial" w:eastAsia="Arial" w:hAnsi="Arial"/>
          <w:sz w:val="17"/>
          <w:szCs w:val="17"/>
          <w:u w:val="single" w:color="auto"/>
          <w:color w:val="auto"/>
        </w:rPr>
        <w:t>Money Markets</w:t>
      </w:r>
      <w:r>
        <w:rPr>
          <w:rFonts w:ascii="Arial" w:cs="Arial" w:eastAsia="Arial" w:hAnsi="Arial"/>
          <w:sz w:val="17"/>
          <w:szCs w:val="17"/>
          <w:color w:val="auto"/>
        </w:rPr>
        <w:t>. Revenues from our Money Markets asset class increased by $3.3 million or 19.9% to $19.9 million for the six months ended June 30, 2019 from $16.6 million for the six months ended June 30, 2018 primarily due to increased volumes for repurchase agreements and certificates of deposit.</w:t>
      </w:r>
    </w:p>
    <w:p>
      <w:pPr>
        <w:spacing w:after="0" w:line="176" w:lineRule="exact"/>
        <w:rPr>
          <w:sz w:val="20"/>
          <w:szCs w:val="20"/>
          <w:color w:val="auto"/>
        </w:rPr>
      </w:pPr>
    </w:p>
    <w:p>
      <w:pPr>
        <w:ind w:right="20" w:firstLine="305"/>
        <w:spacing w:after="0" w:line="285" w:lineRule="auto"/>
        <w:rPr>
          <w:sz w:val="20"/>
          <w:szCs w:val="20"/>
          <w:color w:val="auto"/>
        </w:rPr>
      </w:pPr>
      <w:r>
        <w:rPr>
          <w:rFonts w:ascii="Arial" w:cs="Arial" w:eastAsia="Arial" w:hAnsi="Arial"/>
          <w:sz w:val="16"/>
          <w:szCs w:val="16"/>
          <w:u w:val="single" w:color="auto"/>
          <w:color w:val="auto"/>
        </w:rPr>
        <w:t>Market Data.</w:t>
      </w:r>
      <w:r>
        <w:rPr>
          <w:rFonts w:ascii="Arial" w:cs="Arial" w:eastAsia="Arial" w:hAnsi="Arial"/>
          <w:sz w:val="16"/>
          <w:szCs w:val="16"/>
          <w:color w:val="auto"/>
        </w:rPr>
        <w:t xml:space="preserve"> Revenues from Market Data increased by $3.2 million or 10.1% to $34.4 million for the six months ended June 30, 2019 from $31.3 million for the six months ended June 30, 2018 primarily as a result of increased Refinitiv (formerly Thomson Reuters) license fees due to an increase in the number of market data feeds provided to Refinitiv.</w:t>
      </w:r>
    </w:p>
    <w:p>
      <w:pPr>
        <w:spacing w:after="0" w:line="158" w:lineRule="exact"/>
        <w:rPr>
          <w:sz w:val="20"/>
          <w:szCs w:val="20"/>
          <w:color w:val="auto"/>
        </w:rPr>
      </w:pPr>
    </w:p>
    <w:p>
      <w:pPr>
        <w:ind w:right="100" w:firstLine="305"/>
        <w:spacing w:after="0" w:line="285" w:lineRule="auto"/>
        <w:rPr>
          <w:sz w:val="20"/>
          <w:szCs w:val="20"/>
          <w:color w:val="auto"/>
        </w:rPr>
      </w:pPr>
      <w:r>
        <w:rPr>
          <w:rFonts w:ascii="Arial" w:cs="Arial" w:eastAsia="Arial" w:hAnsi="Arial"/>
          <w:sz w:val="16"/>
          <w:szCs w:val="16"/>
          <w:u w:val="single" w:color="auto"/>
          <w:color w:val="auto"/>
        </w:rPr>
        <w:t>Other Fees</w:t>
      </w:r>
      <w:r>
        <w:rPr>
          <w:rFonts w:ascii="Arial" w:cs="Arial" w:eastAsia="Arial" w:hAnsi="Arial"/>
          <w:sz w:val="16"/>
          <w:szCs w:val="16"/>
          <w:color w:val="auto"/>
        </w:rPr>
        <w:t>. Revenues from Other Fees decreased by $5.1 million or (34.0)% to $9.8 million for the six months ended June 30, 2019 from $14.9 million for the six months ended June 30, 2018 primarily due to the timing of Retail fees for software development and implementation and lower fees from a third party for certain licensing and development in Canada.</w:t>
      </w:r>
    </w:p>
    <w:p>
      <w:pPr>
        <w:spacing w:after="0" w:line="15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A significant percentage of our revenues are tied directly to overall trading volumes in the rates, credit, equities and money</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markets asset classes. The average daily volumes and total volumes on our trading platforms by asset class for the six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June 30, 2019 and 2018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4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4"/>
          </w:tcPr>
          <w:p>
            <w:pPr>
              <w:jc w:val="right"/>
              <w:ind w:right="502"/>
              <w:spacing w:after="0" w:line="133" w:lineRule="exact"/>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4"/>
          </w:tcPr>
          <w:p>
            <w:pPr>
              <w:jc w:val="right"/>
              <w:ind w:right="478"/>
              <w:spacing w:after="0" w:line="133" w:lineRule="exact"/>
              <w:rPr>
                <w:sz w:val="20"/>
                <w:szCs w:val="20"/>
                <w:color w:val="auto"/>
              </w:rPr>
            </w:pPr>
            <w:r>
              <w:rPr>
                <w:rFonts w:ascii="Arial" w:cs="Arial" w:eastAsia="Arial" w:hAnsi="Arial"/>
                <w:sz w:val="14"/>
                <w:szCs w:val="14"/>
                <w:b w:val="1"/>
                <w:bCs w:val="1"/>
                <w:color w:val="auto"/>
              </w:rPr>
              <w:t>June 30, 2018</w:t>
            </w:r>
          </w:p>
        </w:tc>
        <w:tc>
          <w:tcPr>
            <w:tcW w:w="11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ADV Change</w:t>
            </w:r>
          </w:p>
        </w:tc>
        <w:tc>
          <w:tcPr>
            <w:tcW w:w="0" w:type="dxa"/>
            <w:vAlign w:val="bottom"/>
          </w:tcPr>
          <w:p>
            <w:pPr>
              <w:spacing w:after="0"/>
              <w:rPr>
                <w:sz w:val="1"/>
                <w:szCs w:val="1"/>
                <w:color w:val="auto"/>
              </w:rPr>
            </w:pPr>
          </w:p>
        </w:tc>
      </w:tr>
      <w:tr>
        <w:trPr>
          <w:trHeight w:val="132"/>
        </w:trPr>
        <w:tc>
          <w:tcPr>
            <w:tcW w:w="24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ind w:right="180"/>
              <w:spacing w:after="0" w:line="133" w:lineRule="exact"/>
              <w:rPr>
                <w:sz w:val="20"/>
                <w:szCs w:val="20"/>
                <w:color w:val="auto"/>
              </w:rPr>
            </w:pPr>
            <w:r>
              <w:rPr>
                <w:rFonts w:ascii="Arial" w:cs="Arial" w:eastAsia="Arial" w:hAnsi="Arial"/>
                <w:sz w:val="14"/>
                <w:szCs w:val="14"/>
                <w:b w:val="1"/>
                <w:bCs w:val="1"/>
                <w:color w:val="auto"/>
              </w:rPr>
              <w:t>ADV</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162"/>
              <w:spacing w:after="0" w:line="133" w:lineRule="exact"/>
              <w:rPr>
                <w:sz w:val="20"/>
                <w:szCs w:val="20"/>
                <w:color w:val="auto"/>
              </w:rPr>
            </w:pPr>
            <w:r>
              <w:rPr>
                <w:rFonts w:ascii="Arial" w:cs="Arial" w:eastAsia="Arial" w:hAnsi="Arial"/>
                <w:sz w:val="14"/>
                <w:szCs w:val="14"/>
                <w:b w:val="1"/>
                <w:bCs w:val="1"/>
                <w:color w:val="auto"/>
              </w:rPr>
              <w:t>Volume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140"/>
              <w:spacing w:after="0" w:line="133" w:lineRule="exact"/>
              <w:rPr>
                <w:sz w:val="20"/>
                <w:szCs w:val="20"/>
                <w:color w:val="auto"/>
              </w:rPr>
            </w:pPr>
            <w:r>
              <w:rPr>
                <w:rFonts w:ascii="Arial" w:cs="Arial" w:eastAsia="Arial" w:hAnsi="Arial"/>
                <w:sz w:val="14"/>
                <w:szCs w:val="14"/>
                <w:b w:val="1"/>
                <w:bCs w:val="1"/>
                <w:color w:val="auto"/>
              </w:rPr>
              <w:t>ADV</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178"/>
              <w:spacing w:after="0" w:line="133" w:lineRule="exact"/>
              <w:rPr>
                <w:sz w:val="20"/>
                <w:szCs w:val="20"/>
                <w:color w:val="auto"/>
              </w:rPr>
            </w:pPr>
            <w:r>
              <w:rPr>
                <w:rFonts w:ascii="Arial" w:cs="Arial" w:eastAsia="Arial" w:hAnsi="Arial"/>
                <w:sz w:val="14"/>
                <w:szCs w:val="14"/>
                <w:b w:val="1"/>
                <w:bCs w:val="1"/>
                <w:color w:val="auto"/>
              </w:rPr>
              <w:t>Volume</w:t>
            </w:r>
          </w:p>
        </w:tc>
        <w:tc>
          <w:tcPr>
            <w:tcW w:w="1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4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780" w:type="dxa"/>
            <w:vAlign w:val="bottom"/>
            <w:tcBorders>
              <w:top w:val="single" w:sz="8" w:color="auto"/>
            </w:tcBorders>
            <w:gridSpan w:val="4"/>
          </w:tcPr>
          <w:p>
            <w:pPr>
              <w:jc w:val="right"/>
              <w:ind w:right="220"/>
              <w:spacing w:after="0" w:line="133" w:lineRule="exact"/>
              <w:rPr>
                <w:sz w:val="20"/>
                <w:szCs w:val="20"/>
                <w:color w:val="auto"/>
              </w:rPr>
            </w:pPr>
            <w:r>
              <w:rPr>
                <w:rFonts w:ascii="Arial" w:cs="Arial" w:eastAsia="Arial" w:hAnsi="Arial"/>
                <w:sz w:val="14"/>
                <w:szCs w:val="14"/>
                <w:b w:val="1"/>
                <w:bCs w:val="1"/>
                <w:color w:val="auto"/>
              </w:rPr>
              <w:t>(dollars in millions)</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7"/>
                <w:szCs w:val="17"/>
                <w:color w:val="auto"/>
              </w:rPr>
              <w:t>Rates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472,284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58,597,627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348,212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43,584,341</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35.6 %</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20"/>
                <w:szCs w:val="20"/>
                <w:color w:val="auto"/>
              </w:rPr>
            </w:pPr>
            <w:r>
              <w:rPr>
                <w:rFonts w:ascii="Arial" w:cs="Arial" w:eastAsia="Arial" w:hAnsi="Arial"/>
                <w:sz w:val="17"/>
                <w:szCs w:val="17"/>
                <w:color w:val="auto"/>
              </w:rPr>
              <w:t>Credit</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14,295</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1,776,187</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13,370</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1,673,618</w:t>
            </w:r>
          </w:p>
        </w:tc>
        <w:tc>
          <w:tcPr>
            <w:tcW w:w="1120" w:type="dxa"/>
            <w:vAlign w:val="bottom"/>
            <w:gridSpan w:val="3"/>
          </w:tcPr>
          <w:p>
            <w:pPr>
              <w:jc w:val="right"/>
              <w:ind w:right="20"/>
              <w:spacing w:after="0"/>
              <w:rPr>
                <w:sz w:val="20"/>
                <w:szCs w:val="20"/>
                <w:color w:val="auto"/>
              </w:rPr>
            </w:pPr>
            <w:r>
              <w:rPr>
                <w:rFonts w:ascii="Arial" w:cs="Arial" w:eastAsia="Arial" w:hAnsi="Arial"/>
                <w:sz w:val="17"/>
                <w:szCs w:val="17"/>
                <w:color w:val="auto"/>
              </w:rPr>
              <w:t>6.9 %</w:t>
            </w: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7"/>
                <w:szCs w:val="17"/>
                <w:color w:val="auto"/>
              </w:rPr>
              <w:t>Equities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921,299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1,053,032</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20"/>
                <w:szCs w:val="20"/>
                <w:color w:val="auto"/>
              </w:rPr>
            </w:pPr>
            <w:r>
              <w:rPr>
                <w:rFonts w:ascii="Arial" w:cs="Arial" w:eastAsia="Arial" w:hAnsi="Arial"/>
                <w:sz w:val="17"/>
                <w:szCs w:val="17"/>
                <w:color w:val="auto"/>
              </w:rPr>
              <w:t>Money Markets</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4"/>
              </w:rPr>
              <w:t>207,009</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91"/>
              </w:rPr>
              <w:t>25,794,121</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1"/>
              </w:rPr>
              <w:t>167,050</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89"/>
              </w:rPr>
              <w:t>20,900,883</w:t>
            </w:r>
          </w:p>
        </w:tc>
        <w:tc>
          <w:tcPr>
            <w:tcW w:w="1120" w:type="dxa"/>
            <w:vAlign w:val="bottom"/>
            <w:gridSpan w:val="3"/>
          </w:tcPr>
          <w:p>
            <w:pPr>
              <w:jc w:val="right"/>
              <w:ind w:right="20"/>
              <w:spacing w:after="0"/>
              <w:rPr>
                <w:sz w:val="20"/>
                <w:szCs w:val="20"/>
                <w:color w:val="auto"/>
              </w:rPr>
            </w:pPr>
            <w:r>
              <w:rPr>
                <w:rFonts w:ascii="Arial" w:cs="Arial" w:eastAsia="Arial" w:hAnsi="Arial"/>
                <w:sz w:val="17"/>
                <w:szCs w:val="17"/>
                <w:color w:val="auto"/>
              </w:rPr>
              <w:t>23.9 %</w:t>
            </w:r>
          </w:p>
        </w:tc>
        <w:tc>
          <w:tcPr>
            <w:tcW w:w="0" w:type="dxa"/>
            <w:vAlign w:val="bottom"/>
          </w:tcPr>
          <w:p>
            <w:pPr>
              <w:spacing w:after="0"/>
              <w:rPr>
                <w:sz w:val="1"/>
                <w:szCs w:val="1"/>
                <w:color w:val="auto"/>
              </w:rPr>
            </w:pPr>
          </w:p>
        </w:tc>
      </w:tr>
      <w:tr>
        <w:trPr>
          <w:trHeight w:val="201"/>
        </w:trPr>
        <w:tc>
          <w:tcPr>
            <w:tcW w:w="2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4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700,994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87,089,234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537,061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67,211,874</w:t>
            </w:r>
          </w:p>
        </w:tc>
        <w:tc>
          <w:tcPr>
            <w:tcW w:w="1120" w:type="dxa"/>
            <w:vAlign w:val="bottom"/>
            <w:tcBorders>
              <w:top w:val="single" w:sz="8" w:color="CCEEFF"/>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30.5 %</w:t>
            </w:r>
          </w:p>
        </w:tc>
        <w:tc>
          <w:tcPr>
            <w:tcW w:w="0" w:type="dxa"/>
            <w:vAlign w:val="bottom"/>
          </w:tcPr>
          <w:p>
            <w:pPr>
              <w:spacing w:after="0"/>
              <w:rPr>
                <w:sz w:val="1"/>
                <w:szCs w:val="1"/>
                <w:color w:val="auto"/>
              </w:rPr>
            </w:pPr>
          </w:p>
        </w:tc>
      </w:tr>
    </w:tbl>
    <w:p>
      <w:pPr>
        <w:spacing w:after="0" w:line="394" w:lineRule="exact"/>
        <w:rPr>
          <w:sz w:val="20"/>
          <w:szCs w:val="20"/>
          <w:color w:val="auto"/>
        </w:rPr>
      </w:pPr>
    </w:p>
    <w:p>
      <w:pPr>
        <w:ind w:right="40" w:firstLine="305"/>
        <w:spacing w:after="0" w:line="253" w:lineRule="auto"/>
        <w:rPr>
          <w:sz w:val="20"/>
          <w:szCs w:val="20"/>
          <w:color w:val="auto"/>
        </w:rPr>
      </w:pPr>
      <w:r>
        <w:rPr>
          <w:rFonts w:ascii="Arial" w:cs="Arial" w:eastAsia="Arial" w:hAnsi="Arial"/>
          <w:sz w:val="17"/>
          <w:szCs w:val="17"/>
          <w:color w:val="auto"/>
        </w:rPr>
        <w:t>We believe the increases in average daily volumes in six months ended June 30, 2019 for most asset classes can be attributed to various factors, including increased volatility across our rates, credit and money markets asset classes, further electronification of trading activities, increase in market share, new products and new clients. Rates ADV increased due mainly to higher trading activity in interest rate swaps, swaptions, including short-tenor swaps, U.S. treasuries and mortgages. Credit ADV increased due mainly to higher trading activity in U.S. high-grade and high-yield credit as well as Chinese bonds. Equities ADV decreased due mainly to lower trading activity in U.S. ETFs. Money Markets ADV increased due to the continued growth of bilateral electronic trading in repurchase agreements.</w:t>
      </w:r>
    </w:p>
    <w:p>
      <w:pPr>
        <w:spacing w:after="0" w:line="184" w:lineRule="exact"/>
        <w:rPr>
          <w:sz w:val="20"/>
          <w:szCs w:val="20"/>
          <w:color w:val="auto"/>
        </w:rPr>
      </w:pPr>
    </w:p>
    <w:p>
      <w:pPr>
        <w:ind w:firstLine="305"/>
        <w:spacing w:after="0" w:line="291" w:lineRule="auto"/>
        <w:rPr>
          <w:sz w:val="20"/>
          <w:szCs w:val="20"/>
          <w:color w:val="auto"/>
        </w:rPr>
      </w:pPr>
      <w:r>
        <w:rPr>
          <w:rFonts w:ascii="Arial" w:cs="Arial" w:eastAsia="Arial" w:hAnsi="Arial"/>
          <w:sz w:val="15"/>
          <w:szCs w:val="15"/>
          <w:color w:val="auto"/>
        </w:rPr>
        <w:t>The average variable fees per million dollars of volume traded on our trading platforms by asset class for the six months ended June 30, 2019 and 2018 are summarized below. There are four potential drivers of quarterly fluctuations in our average variable fees per million: (1) volume discounts, (2) the mix of cash and derivatives products traded, (3) the mix of protocols underpinning cash and derivatives products and (4) pricing. Average variable fees per million should be reviewed in conjunction with our trading volumes and gross revenue by asset class. Since variable fees are sometimes subject to fee plans with tiered pricing based on product mix and volume, average variable fees per million for a specific asset class may not correlate with volumes or revenue growth. For example, average variable fees per million dollars of volume for our Rates asset class decreased 9.1% for the six months ended June 30, 2019 while gross revenue for our Rates asset class increased 11.7% over the same period.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3"/>
                <w:szCs w:val="13"/>
                <w:color w:val="auto"/>
              </w:rPr>
            </w:pPr>
          </w:p>
        </w:tc>
        <w:tc>
          <w:tcPr>
            <w:tcW w:w="220" w:type="dxa"/>
            <w:vAlign w:val="bottom"/>
            <w:vMerge w:val="restart"/>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vMerge w:val="restart"/>
          </w:tcPr>
          <w:p>
            <w:pPr>
              <w:spacing w:after="0"/>
              <w:rPr>
                <w:sz w:val="13"/>
                <w:szCs w:val="13"/>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1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500" w:type="dxa"/>
            <w:vAlign w:val="bottom"/>
            <w:tcBorders>
              <w:bottom w:val="single" w:sz="8" w:color="CCEEFF"/>
            </w:tcBorders>
          </w:tcPr>
          <w:p>
            <w:pPr>
              <w:spacing w:after="0"/>
              <w:rPr>
                <w:sz w:val="11"/>
                <w:szCs w:val="11"/>
                <w:color w:val="auto"/>
              </w:rPr>
            </w:pPr>
          </w:p>
        </w:tc>
        <w:tc>
          <w:tcPr>
            <w:tcW w:w="29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4"/>
              <w:spacing w:after="0" w:line="133"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60"/>
              <w:spacing w:after="0" w:line="133"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CCEEFF"/>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500" w:type="dxa"/>
            <w:vAlign w:val="bottom"/>
            <w:shd w:val="clear" w:color="auto" w:fill="CCEEFF"/>
          </w:tcPr>
          <w:p>
            <w:pPr>
              <w:spacing w:after="0"/>
              <w:rPr>
                <w:sz w:val="20"/>
                <w:szCs w:val="20"/>
                <w:color w:val="auto"/>
              </w:rPr>
            </w:pPr>
            <w:r>
              <w:rPr>
                <w:rFonts w:ascii="Arial" w:cs="Arial" w:eastAsia="Arial" w:hAnsi="Arial"/>
                <w:sz w:val="17"/>
                <w:szCs w:val="17"/>
                <w:color w:val="auto"/>
              </w:rPr>
              <w:t>Rates</w:t>
            </w:r>
          </w:p>
        </w:tc>
        <w:tc>
          <w:tcPr>
            <w:tcW w:w="29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(0.19)</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7"/>
                <w:szCs w:val="17"/>
                <w:color w:val="auto"/>
              </w:rPr>
              <w:t>Credit</w:t>
            </w:r>
          </w:p>
        </w:tc>
        <w:tc>
          <w:tcPr>
            <w:tcW w:w="30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38.68</w:t>
            </w:r>
          </w:p>
        </w:tc>
        <w:tc>
          <w:tcPr>
            <w:tcW w:w="38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35.08</w:t>
            </w:r>
          </w:p>
        </w:tc>
        <w:tc>
          <w:tcPr>
            <w:tcW w:w="380" w:type="dxa"/>
            <w:vAlign w:val="bottom"/>
            <w:gridSpan w:val="2"/>
          </w:tcPr>
          <w:p>
            <w:pPr>
              <w:jc w:val="right"/>
              <w:ind w:right="42"/>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3.59</w:t>
            </w:r>
          </w:p>
        </w:tc>
        <w:tc>
          <w:tcPr>
            <w:tcW w:w="2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10.2 %</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spacing w:after="0"/>
              <w:rPr>
                <w:sz w:val="20"/>
                <w:szCs w:val="20"/>
                <w:color w:val="auto"/>
              </w:rPr>
            </w:pPr>
            <w:r>
              <w:rPr>
                <w:rFonts w:ascii="Arial" w:cs="Arial" w:eastAsia="Arial" w:hAnsi="Arial"/>
                <w:sz w:val="17"/>
                <w:szCs w:val="17"/>
                <w:color w:val="auto"/>
              </w:rPr>
              <w:t>Equities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w:t>
            </w:r>
          </w:p>
        </w:tc>
        <w:tc>
          <w:tcPr>
            <w:tcW w:w="38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15.60</w:t>
            </w:r>
          </w:p>
        </w:tc>
        <w:tc>
          <w:tcPr>
            <w:tcW w:w="380" w:type="dxa"/>
            <w:vAlign w:val="bottom"/>
            <w:gridSpan w:val="2"/>
            <w:shd w:val="clear" w:color="auto" w:fill="CCEEFF"/>
          </w:tcPr>
          <w:p>
            <w:pPr>
              <w:jc w:val="right"/>
              <w:ind w:right="42"/>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34.6 %</w:t>
            </w:r>
          </w:p>
        </w:tc>
        <w:tc>
          <w:tcPr>
            <w:tcW w:w="0" w:type="dxa"/>
            <w:vAlign w:val="bottom"/>
          </w:tcPr>
          <w:p>
            <w:pPr>
              <w:spacing w:after="0"/>
              <w:rPr>
                <w:sz w:val="1"/>
                <w:szCs w:val="1"/>
                <w:color w:val="auto"/>
              </w:rPr>
            </w:pPr>
          </w:p>
        </w:tc>
      </w:tr>
      <w:tr>
        <w:trPr>
          <w:trHeight w:val="609"/>
        </w:trPr>
        <w:tc>
          <w:tcPr>
            <w:tcW w:w="2500" w:type="dxa"/>
            <w:vAlign w:val="bottom"/>
          </w:tcPr>
          <w:p>
            <w:pPr>
              <w:spacing w:after="0"/>
              <w:rPr>
                <w:sz w:val="24"/>
                <w:szCs w:val="24"/>
                <w:color w:val="auto"/>
              </w:rPr>
            </w:pPr>
          </w:p>
        </w:tc>
        <w:tc>
          <w:tcPr>
            <w:tcW w:w="2900" w:type="dxa"/>
            <w:vAlign w:val="bottom"/>
          </w:tcPr>
          <w:p>
            <w:pPr>
              <w:jc w:val="right"/>
              <w:ind w:right="695"/>
              <w:spacing w:after="0"/>
              <w:rPr>
                <w:sz w:val="20"/>
                <w:szCs w:val="20"/>
                <w:color w:val="auto"/>
              </w:rPr>
            </w:pPr>
            <w:r>
              <w:rPr>
                <w:rFonts w:ascii="Arial" w:cs="Arial" w:eastAsia="Arial" w:hAnsi="Arial"/>
                <w:sz w:val="17"/>
                <w:szCs w:val="17"/>
                <w:color w:val="auto"/>
              </w:rPr>
              <w:t>54</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25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7" w:right="141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0" w:type="dxa"/>
            <w:vAlign w:val="bottom"/>
            <w:tcBorders>
              <w:bottom w:val="single" w:sz="8" w:color="0563C1"/>
            </w:tcBorders>
          </w:tcPr>
          <w:p>
            <w:pPr>
              <w:spacing w:after="0"/>
              <w:rPr>
                <w:rFonts w:ascii="Arial" w:cs="Arial" w:eastAsia="Arial" w:hAnsi="Arial"/>
                <w:sz w:val="17"/>
                <w:szCs w:val="17"/>
                <w:color w:val="0563C1"/>
                <w:w w:val="87"/>
              </w:rPr>
            </w:pPr>
            <w:hyperlink w:anchor="page2">
              <w:r>
                <w:rPr>
                  <w:rFonts w:ascii="Arial" w:cs="Arial" w:eastAsia="Arial" w:hAnsi="Arial"/>
                  <w:sz w:val="17"/>
                  <w:szCs w:val="17"/>
                  <w:color w:val="0563C1"/>
                  <w:w w:val="87"/>
                </w:rPr>
                <w:t>Table of Contents</w:t>
              </w:r>
            </w:hyperlink>
          </w:p>
        </w:tc>
        <w:tc>
          <w:tcPr>
            <w:tcW w:w="2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729"/>
        </w:trPr>
        <w:tc>
          <w:tcPr>
            <w:tcW w:w="3440" w:type="dxa"/>
            <w:vAlign w:val="bottom"/>
            <w:gridSpan w:val="2"/>
          </w:tcPr>
          <w:p>
            <w:pPr>
              <w:spacing w:after="0"/>
              <w:rPr>
                <w:sz w:val="20"/>
                <w:szCs w:val="20"/>
                <w:color w:val="auto"/>
              </w:rPr>
            </w:pPr>
            <w:r>
              <w:rPr>
                <w:rFonts w:ascii="Arial" w:cs="Arial" w:eastAsia="Arial" w:hAnsi="Arial"/>
                <w:sz w:val="17"/>
                <w:szCs w:val="17"/>
                <w:color w:val="auto"/>
              </w:rPr>
              <w:t>Money Markets</w:t>
            </w:r>
          </w:p>
        </w:tc>
        <w:tc>
          <w:tcPr>
            <w:tcW w:w="21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55"/>
              <w:spacing w:after="0"/>
              <w:rPr>
                <w:sz w:val="20"/>
                <w:szCs w:val="20"/>
                <w:color w:val="auto"/>
              </w:rPr>
            </w:pPr>
            <w:r>
              <w:rPr>
                <w:rFonts w:ascii="Arial" w:cs="Arial" w:eastAsia="Arial" w:hAnsi="Arial"/>
                <w:sz w:val="17"/>
                <w:szCs w:val="17"/>
                <w:color w:val="auto"/>
              </w:rPr>
              <w:t>0.48</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0.46</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235"/>
              <w:spacing w:after="0"/>
              <w:rPr>
                <w:sz w:val="20"/>
                <w:szCs w:val="20"/>
                <w:color w:val="auto"/>
              </w:rPr>
            </w:pPr>
            <w:r>
              <w:rPr>
                <w:rFonts w:ascii="Arial" w:cs="Arial" w:eastAsia="Arial" w:hAnsi="Arial"/>
                <w:sz w:val="17"/>
                <w:szCs w:val="17"/>
                <w:color w:val="auto"/>
              </w:rPr>
              <w:t>0.02</w:t>
            </w:r>
          </w:p>
        </w:tc>
        <w:tc>
          <w:tcPr>
            <w:tcW w:w="760" w:type="dxa"/>
            <w:vAlign w:val="bottom"/>
          </w:tcPr>
          <w:p>
            <w:pPr>
              <w:jc w:val="right"/>
              <w:spacing w:after="0"/>
              <w:rPr>
                <w:sz w:val="20"/>
                <w:szCs w:val="20"/>
                <w:color w:val="auto"/>
              </w:rPr>
            </w:pPr>
            <w:r>
              <w:rPr>
                <w:rFonts w:ascii="Arial" w:cs="Arial" w:eastAsia="Arial" w:hAnsi="Arial"/>
                <w:sz w:val="17"/>
                <w:szCs w:val="17"/>
                <w:color w:val="auto"/>
              </w:rPr>
              <w:t>2.8 %</w:t>
            </w:r>
          </w:p>
        </w:tc>
      </w:tr>
      <w:tr>
        <w:trPr>
          <w:trHeight w:val="204"/>
        </w:trPr>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Fees per Million</w:t>
            </w:r>
          </w:p>
        </w:tc>
        <w:tc>
          <w:tcPr>
            <w:tcW w:w="21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2.42</w:t>
            </w:r>
          </w:p>
        </w:tc>
        <w:tc>
          <w:tcPr>
            <w:tcW w:w="3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2.61</w:t>
            </w: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(0.19)</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r>
    </w:tbl>
    <w:p>
      <w:pPr>
        <w:spacing w:after="0" w:line="394" w:lineRule="exact"/>
        <w:rPr>
          <w:sz w:val="20"/>
          <w:szCs w:val="20"/>
          <w:color w:val="auto"/>
        </w:rPr>
      </w:pPr>
    </w:p>
    <w:p>
      <w:pPr>
        <w:ind w:right="60" w:firstLine="305"/>
        <w:spacing w:after="0" w:line="254" w:lineRule="auto"/>
        <w:rPr>
          <w:sz w:val="20"/>
          <w:szCs w:val="20"/>
          <w:color w:val="auto"/>
        </w:rPr>
      </w:pPr>
      <w:r>
        <w:rPr>
          <w:rFonts w:ascii="Arial" w:cs="Arial" w:eastAsia="Arial" w:hAnsi="Arial"/>
          <w:sz w:val="17"/>
          <w:szCs w:val="17"/>
          <w:color w:val="auto"/>
        </w:rPr>
        <w:t>Rates average variable fees per million was impacted by the growth of short tenor swap volume, a product which has a much lower variable fee capture as compared to other rates products. Credit average variable fees per million was impacted by a mix shift in volumes towards cash products and away from derivatives products. Equities average variable fees per million was impacted by a mix shift in volumes towards European ETFs and institutional ETFs and away from Equity derivatives products. Money Markets average variable fees per million was impacted by a mix shift in volumes towards repurchase agreements and away from other lower variable fee capture Money Markets products.</w:t>
      </w:r>
    </w:p>
    <w:p>
      <w:pPr>
        <w:spacing w:after="0" w:line="182" w:lineRule="exact"/>
        <w:rPr>
          <w:sz w:val="20"/>
          <w:szCs w:val="20"/>
          <w:color w:val="auto"/>
        </w:rPr>
      </w:pPr>
    </w:p>
    <w:p>
      <w:pPr>
        <w:ind w:right="200" w:firstLine="305"/>
        <w:spacing w:after="0" w:line="273" w:lineRule="auto"/>
        <w:rPr>
          <w:sz w:val="20"/>
          <w:szCs w:val="20"/>
          <w:color w:val="auto"/>
        </w:rPr>
      </w:pPr>
      <w:r>
        <w:rPr>
          <w:rFonts w:ascii="Arial" w:cs="Arial" w:eastAsia="Arial" w:hAnsi="Arial"/>
          <w:sz w:val="17"/>
          <w:szCs w:val="17"/>
          <w:color w:val="auto"/>
        </w:rPr>
        <w:t>Our gross revenue by geography (based on client location) for the six months ended June 30, 2019 and 2018,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2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vMerge w:val="restart"/>
          </w:tcPr>
          <w:p>
            <w:pPr>
              <w:jc w:val="center"/>
              <w:ind w:right="87"/>
              <w:spacing w:after="0"/>
              <w:rPr>
                <w:sz w:val="20"/>
                <w:szCs w:val="20"/>
                <w:color w:val="auto"/>
              </w:rPr>
            </w:pPr>
            <w:r>
              <w:rPr>
                <w:rFonts w:ascii="Arial" w:cs="Arial" w:eastAsia="Arial" w:hAnsi="Arial"/>
                <w:sz w:val="14"/>
                <w:szCs w:val="14"/>
                <w:b w:val="1"/>
                <w:bCs w:val="1"/>
                <w:color w:val="auto"/>
                <w:w w:val="79"/>
              </w:rPr>
              <w:t>Successor</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3"/>
              </w:rPr>
              <w:t>Predecessor</w:t>
            </w: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8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107"/>
              <w:spacing w:after="0" w:line="113" w:lineRule="exact"/>
              <w:rPr>
                <w:sz w:val="20"/>
                <w:szCs w:val="20"/>
                <w:color w:val="auto"/>
              </w:rPr>
            </w:pPr>
            <w:r>
              <w:rPr>
                <w:rFonts w:ascii="Arial" w:cs="Arial" w:eastAsia="Arial" w:hAnsi="Arial"/>
                <w:sz w:val="12"/>
                <w:szCs w:val="12"/>
                <w:b w:val="1"/>
                <w:bCs w:val="1"/>
                <w:color w:val="auto"/>
              </w:rPr>
              <w:t>Six Months</w:t>
            </w:r>
          </w:p>
        </w:tc>
        <w:tc>
          <w:tcPr>
            <w:tcW w:w="18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center"/>
              <w:ind w:right="87"/>
              <w:spacing w:after="0" w:line="113" w:lineRule="exact"/>
              <w:rPr>
                <w:sz w:val="20"/>
                <w:szCs w:val="20"/>
                <w:color w:val="auto"/>
              </w:rPr>
            </w:pPr>
            <w:r>
              <w:rPr>
                <w:rFonts w:ascii="Arial" w:cs="Arial" w:eastAsia="Arial" w:hAnsi="Arial"/>
                <w:sz w:val="12"/>
                <w:szCs w:val="12"/>
                <w:b w:val="1"/>
                <w:bCs w:val="1"/>
                <w:color w:val="auto"/>
              </w:rPr>
              <w:t>Six Months</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27"/>
              <w:spacing w:after="0" w:line="140" w:lineRule="exact"/>
              <w:rPr>
                <w:sz w:val="20"/>
                <w:szCs w:val="20"/>
                <w:color w:val="auto"/>
              </w:rPr>
            </w:pPr>
            <w:r>
              <w:rPr>
                <w:rFonts w:ascii="Arial" w:cs="Arial" w:eastAsia="Arial" w:hAnsi="Arial"/>
                <w:sz w:val="14"/>
                <w:szCs w:val="14"/>
                <w:b w:val="1"/>
                <w:bCs w:val="1"/>
                <w:color w:val="auto"/>
                <w:w w:val="84"/>
              </w:rPr>
              <w:t>Ended</w:t>
            </w: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440"/>
              <w:spacing w:after="0" w:line="140" w:lineRule="exact"/>
              <w:rPr>
                <w:sz w:val="20"/>
                <w:szCs w:val="20"/>
                <w:color w:val="auto"/>
              </w:rPr>
            </w:pPr>
            <w:r>
              <w:rPr>
                <w:rFonts w:ascii="Arial" w:cs="Arial" w:eastAsia="Arial" w:hAnsi="Arial"/>
                <w:sz w:val="14"/>
                <w:szCs w:val="14"/>
                <w:b w:val="1"/>
                <w:bCs w:val="1"/>
                <w:color w:val="auto"/>
                <w:w w:val="88"/>
              </w:rPr>
              <w:t>Ended</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87"/>
              <w:spacing w:after="0" w:line="140" w:lineRule="exact"/>
              <w:rPr>
                <w:sz w:val="20"/>
                <w:szCs w:val="20"/>
                <w:color w:val="auto"/>
              </w:rPr>
            </w:pPr>
            <w:r>
              <w:rPr>
                <w:rFonts w:ascii="Arial" w:cs="Arial" w:eastAsia="Arial" w:hAnsi="Arial"/>
                <w:sz w:val="14"/>
                <w:szCs w:val="14"/>
                <w:b w:val="1"/>
                <w:bCs w:val="1"/>
                <w:color w:val="auto"/>
                <w:w w:val="85"/>
              </w:rPr>
              <w:t>June 30,</w:t>
            </w: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420"/>
              <w:spacing w:after="0" w:line="140" w:lineRule="exact"/>
              <w:rPr>
                <w:sz w:val="20"/>
                <w:szCs w:val="20"/>
                <w:color w:val="auto"/>
              </w:rPr>
            </w:pPr>
            <w:r>
              <w:rPr>
                <w:rFonts w:ascii="Arial" w:cs="Arial" w:eastAsia="Arial" w:hAnsi="Arial"/>
                <w:sz w:val="14"/>
                <w:szCs w:val="14"/>
                <w:b w:val="1"/>
                <w:bCs w:val="1"/>
                <w:color w:val="auto"/>
                <w:w w:val="85"/>
              </w:rPr>
              <w:t>June 30,</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87"/>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87"/>
              <w:spacing w:after="0"/>
              <w:rPr>
                <w:sz w:val="20"/>
                <w:szCs w:val="20"/>
                <w:color w:val="auto"/>
              </w:rPr>
            </w:pPr>
            <w:r>
              <w:rPr>
                <w:rFonts w:ascii="Arial" w:cs="Arial" w:eastAsia="Arial" w:hAnsi="Arial"/>
                <w:sz w:val="14"/>
                <w:szCs w:val="14"/>
                <w:b w:val="1"/>
                <w:bCs w:val="1"/>
                <w:color w:val="auto"/>
                <w:w w:val="83"/>
              </w:rPr>
              <w:t>2018</w:t>
            </w:r>
          </w:p>
        </w:tc>
        <w:tc>
          <w:tcPr>
            <w:tcW w:w="240" w:type="dxa"/>
            <w:vAlign w:val="bottom"/>
          </w:tcPr>
          <w:p>
            <w:pPr>
              <w:spacing w:after="0"/>
              <w:rPr>
                <w:sz w:val="13"/>
                <w:szCs w:val="13"/>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940" w:type="dxa"/>
            <w:vAlign w:val="bottom"/>
            <w:gridSpan w:val="3"/>
          </w:tcPr>
          <w:p>
            <w:pPr>
              <w:jc w:val="right"/>
              <w:ind w:right="16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2"/>
        </w:trPr>
        <w:tc>
          <w:tcPr>
            <w:tcW w:w="28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400" w:type="dxa"/>
            <w:vAlign w:val="bottom"/>
            <w:tcBorders>
              <w:top w:val="single" w:sz="8" w:color="auto"/>
            </w:tcBorders>
            <w:gridSpan w:val="5"/>
          </w:tcPr>
          <w:p>
            <w:pPr>
              <w:jc w:val="right"/>
              <w:ind w:right="587"/>
              <w:spacing w:after="0" w:line="133"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20"/>
                <w:szCs w:val="20"/>
                <w:color w:val="auto"/>
              </w:rPr>
            </w:pPr>
            <w:r>
              <w:rPr>
                <w:rFonts w:ascii="Arial" w:cs="Arial" w:eastAsia="Arial" w:hAnsi="Arial"/>
                <w:sz w:val="17"/>
                <w:szCs w:val="17"/>
                <w:color w:val="auto"/>
              </w:rPr>
              <w:t>U.S.</w:t>
            </w:r>
          </w:p>
        </w:tc>
        <w:tc>
          <w:tcPr>
            <w:tcW w:w="166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242,090</w:t>
            </w:r>
          </w:p>
        </w:tc>
        <w:tc>
          <w:tcPr>
            <w:tcW w:w="18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217,322</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24,768</w:t>
            </w:r>
          </w:p>
        </w:tc>
        <w:tc>
          <w:tcPr>
            <w:tcW w:w="24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11.4 %</w:t>
            </w: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International</w:t>
            </w: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135,187</w:t>
            </w: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123,196</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11,991</w:t>
            </w:r>
          </w:p>
        </w:tc>
        <w:tc>
          <w:tcPr>
            <w:tcW w:w="2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9.7 %</w:t>
            </w:r>
          </w:p>
        </w:tc>
        <w:tc>
          <w:tcPr>
            <w:tcW w:w="0" w:type="dxa"/>
            <w:vAlign w:val="bottom"/>
          </w:tcPr>
          <w:p>
            <w:pPr>
              <w:spacing w:after="0"/>
              <w:rPr>
                <w:sz w:val="1"/>
                <w:szCs w:val="1"/>
                <w:color w:val="auto"/>
              </w:rPr>
            </w:pPr>
          </w:p>
        </w:tc>
      </w:tr>
      <w:tr>
        <w:trPr>
          <w:trHeight w:val="201"/>
        </w:trPr>
        <w:tc>
          <w:tcPr>
            <w:tcW w:w="2800" w:type="dxa"/>
            <w:vAlign w:val="bottom"/>
          </w:tcPr>
          <w:p>
            <w:pPr>
              <w:spacing w:after="0"/>
              <w:rPr>
                <w:sz w:val="20"/>
                <w:szCs w:val="20"/>
                <w:color w:val="auto"/>
              </w:rPr>
            </w:pPr>
            <w:r>
              <w:rPr>
                <w:rFonts w:ascii="Arial" w:cs="Arial" w:eastAsia="Arial" w:hAnsi="Arial"/>
                <w:sz w:val="17"/>
                <w:szCs w:val="17"/>
                <w:color w:val="auto"/>
              </w:rPr>
              <w:t>Total gross revenue</w:t>
            </w:r>
          </w:p>
        </w:tc>
        <w:tc>
          <w:tcPr>
            <w:tcW w:w="15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377,277</w:t>
            </w: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340,518</w:t>
            </w:r>
          </w:p>
        </w:tc>
        <w:tc>
          <w:tcPr>
            <w:tcW w:w="24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36,759</w:t>
            </w:r>
          </w:p>
        </w:tc>
        <w:tc>
          <w:tcPr>
            <w:tcW w:w="24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20" w:type="dxa"/>
            <w:vAlign w:val="bottom"/>
            <w:tcBorders>
              <w:top w:val="single" w:sz="8" w:color="auto"/>
            </w:tcBorders>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bl>
    <w:p>
      <w:pPr>
        <w:spacing w:after="0" w:line="394" w:lineRule="exact"/>
        <w:rPr>
          <w:sz w:val="20"/>
          <w:szCs w:val="20"/>
          <w:color w:val="auto"/>
        </w:rPr>
      </w:pPr>
    </w:p>
    <w:p>
      <w:pPr>
        <w:jc w:val="both"/>
        <w:ind w:right="140" w:firstLine="305"/>
        <w:spacing w:after="0" w:line="261" w:lineRule="auto"/>
        <w:rPr>
          <w:sz w:val="20"/>
          <w:szCs w:val="20"/>
          <w:color w:val="auto"/>
        </w:rPr>
      </w:pPr>
      <w:r>
        <w:rPr>
          <w:rFonts w:ascii="Arial" w:cs="Arial" w:eastAsia="Arial" w:hAnsi="Arial"/>
          <w:sz w:val="17"/>
          <w:szCs w:val="17"/>
          <w:u w:val="single" w:color="auto"/>
          <w:color w:val="auto"/>
        </w:rPr>
        <w:t>U.S.</w:t>
      </w:r>
      <w:r>
        <w:rPr>
          <w:rFonts w:ascii="Arial" w:cs="Arial" w:eastAsia="Arial" w:hAnsi="Arial"/>
          <w:sz w:val="17"/>
          <w:szCs w:val="17"/>
          <w:color w:val="auto"/>
        </w:rPr>
        <w:t xml:space="preserve"> Revenues from U.S. clients increased by $24.8 million or 11.4% to $242.1 million for the six months ended June 30, 2019 from $217.3 million for the six months ended June 30, 2018 primarily due to higher trading volumes from our U.S. credit products, U.S. ETFs, U.S. dollar-denominated swaps and U.S. treasuries.</w:t>
      </w:r>
    </w:p>
    <w:p>
      <w:pPr>
        <w:spacing w:after="0" w:line="176" w:lineRule="exact"/>
        <w:rPr>
          <w:sz w:val="20"/>
          <w:szCs w:val="20"/>
          <w:color w:val="auto"/>
        </w:rPr>
      </w:pPr>
    </w:p>
    <w:p>
      <w:pPr>
        <w:ind w:right="20" w:firstLine="305"/>
        <w:spacing w:after="0" w:line="257" w:lineRule="auto"/>
        <w:rPr>
          <w:sz w:val="20"/>
          <w:szCs w:val="20"/>
          <w:color w:val="auto"/>
        </w:rPr>
      </w:pPr>
      <w:r>
        <w:rPr>
          <w:rFonts w:ascii="Arial" w:cs="Arial" w:eastAsia="Arial" w:hAnsi="Arial"/>
          <w:sz w:val="17"/>
          <w:szCs w:val="17"/>
          <w:u w:val="single" w:color="auto"/>
          <w:color w:val="auto"/>
        </w:rPr>
        <w:t>International.</w:t>
      </w:r>
      <w:r>
        <w:rPr>
          <w:rFonts w:ascii="Arial" w:cs="Arial" w:eastAsia="Arial" w:hAnsi="Arial"/>
          <w:sz w:val="17"/>
          <w:szCs w:val="17"/>
          <w:color w:val="auto"/>
        </w:rPr>
        <w:t xml:space="preserve"> Revenues from International clients increased by $12.0 million or 9.7% to $135.2 million for the six months ended June 30, 2019 from $123.2 million for the six months ended June 30, 2018 primarily due to increased volumes for European interest rate swaps, China bonds and European repurchase agreements. Fluctuations in foreign currency rates decreased our International gross revenue by $4.7 million.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expenses for the six months ended June 30, 2019 and 2018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35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79"/>
              </w:rPr>
              <w:t>Successor</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line="20" w:lineRule="exact"/>
              <w:rPr>
                <w:sz w:val="1"/>
                <w:szCs w:val="1"/>
                <w:color w:val="auto"/>
              </w:rPr>
            </w:pPr>
          </w:p>
        </w:tc>
      </w:tr>
      <w:tr>
        <w:trPr>
          <w:trHeight w:val="140"/>
        </w:trPr>
        <w:tc>
          <w:tcPr>
            <w:tcW w:w="35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50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center"/>
              <w:ind w:right="84"/>
              <w:spacing w:after="0" w:line="113" w:lineRule="exact"/>
              <w:rPr>
                <w:sz w:val="20"/>
                <w:szCs w:val="20"/>
                <w:color w:val="auto"/>
              </w:rPr>
            </w:pPr>
            <w:r>
              <w:rPr>
                <w:rFonts w:ascii="Arial" w:cs="Arial" w:eastAsia="Arial" w:hAnsi="Arial"/>
                <w:sz w:val="12"/>
                <w:szCs w:val="12"/>
                <w:b w:val="1"/>
                <w:bCs w:val="1"/>
                <w:color w:val="auto"/>
                <w:w w:val="99"/>
              </w:rPr>
              <w:t>Six</w:t>
            </w:r>
          </w:p>
        </w:tc>
        <w:tc>
          <w:tcPr>
            <w:tcW w:w="14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center"/>
              <w:ind w:right="44"/>
              <w:spacing w:after="0" w:line="113" w:lineRule="exact"/>
              <w:rPr>
                <w:sz w:val="20"/>
                <w:szCs w:val="20"/>
                <w:color w:val="auto"/>
              </w:rPr>
            </w:pPr>
            <w:r>
              <w:rPr>
                <w:rFonts w:ascii="Arial" w:cs="Arial" w:eastAsia="Arial" w:hAnsi="Arial"/>
                <w:sz w:val="12"/>
                <w:szCs w:val="12"/>
                <w:b w:val="1"/>
                <w:bCs w:val="1"/>
                <w:color w:val="auto"/>
                <w:w w:val="99"/>
              </w:rPr>
              <w:t>Six</w:t>
            </w:r>
          </w:p>
        </w:tc>
        <w:tc>
          <w:tcPr>
            <w:tcW w:w="0" w:type="dxa"/>
            <w:vAlign w:val="bottom"/>
          </w:tcPr>
          <w:p>
            <w:pPr>
              <w:spacing w:after="0"/>
              <w:rPr>
                <w:sz w:val="1"/>
                <w:szCs w:val="1"/>
                <w:color w:val="auto"/>
              </w:rPr>
            </w:pPr>
          </w:p>
        </w:tc>
      </w:tr>
      <w:tr>
        <w:trPr>
          <w:trHeight w:val="140"/>
        </w:trPr>
        <w:tc>
          <w:tcPr>
            <w:tcW w:w="35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64"/>
              <w:spacing w:after="0" w:line="140" w:lineRule="exact"/>
              <w:rPr>
                <w:sz w:val="20"/>
                <w:szCs w:val="20"/>
                <w:color w:val="auto"/>
              </w:rPr>
            </w:pPr>
            <w:r>
              <w:rPr>
                <w:rFonts w:ascii="Arial" w:cs="Arial" w:eastAsia="Arial" w:hAnsi="Arial"/>
                <w:sz w:val="14"/>
                <w:szCs w:val="14"/>
                <w:b w:val="1"/>
                <w:bCs w:val="1"/>
                <w:color w:val="auto"/>
                <w:w w:val="88"/>
              </w:rPr>
              <w:t>Months</w:t>
            </w:r>
          </w:p>
        </w:tc>
        <w:tc>
          <w:tcPr>
            <w:tcW w:w="1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4"/>
              <w:spacing w:after="0" w:line="140"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140"/>
        </w:trPr>
        <w:tc>
          <w:tcPr>
            <w:tcW w:w="35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84"/>
              <w:spacing w:after="0" w:line="140"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4"/>
              <w:spacing w:after="0" w:line="140"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0"/>
        </w:trPr>
        <w:tc>
          <w:tcPr>
            <w:tcW w:w="35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104"/>
              <w:spacing w:after="0" w:line="140" w:lineRule="exact"/>
              <w:rPr>
                <w:sz w:val="20"/>
                <w:szCs w:val="20"/>
                <w:color w:val="auto"/>
              </w:rPr>
            </w:pPr>
            <w:r>
              <w:rPr>
                <w:rFonts w:ascii="Arial" w:cs="Arial" w:eastAsia="Arial" w:hAnsi="Arial"/>
                <w:sz w:val="14"/>
                <w:szCs w:val="14"/>
                <w:b w:val="1"/>
                <w:bCs w:val="1"/>
                <w:color w:val="auto"/>
                <w:w w:val="85"/>
              </w:rPr>
              <w:t>June 30,</w:t>
            </w:r>
          </w:p>
        </w:tc>
        <w:tc>
          <w:tcPr>
            <w:tcW w:w="1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64"/>
              <w:spacing w:after="0" w:line="140"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0"/>
        </w:trPr>
        <w:tc>
          <w:tcPr>
            <w:tcW w:w="35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32"/>
        </w:trPr>
        <w:tc>
          <w:tcPr>
            <w:tcW w:w="35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60" w:type="dxa"/>
            <w:vAlign w:val="bottom"/>
            <w:gridSpan w:val="5"/>
          </w:tcPr>
          <w:p>
            <w:pPr>
              <w:jc w:val="right"/>
              <w:ind w:right="604"/>
              <w:spacing w:after="0" w:line="133"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Employee compensation and benefits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173,268</w:t>
            </w:r>
          </w:p>
        </w:tc>
        <w:tc>
          <w:tcPr>
            <w:tcW w:w="140" w:type="dxa"/>
            <w:vAlign w:val="bottom"/>
            <w:tcBorders>
              <w:right w:val="single" w:sz="8" w:color="auto"/>
            </w:tcBorders>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139,977</w:t>
            </w:r>
          </w:p>
        </w:tc>
        <w:tc>
          <w:tcPr>
            <w:tcW w:w="0" w:type="dxa"/>
            <w:vAlign w:val="bottom"/>
          </w:tcPr>
          <w:p>
            <w:pPr>
              <w:spacing w:after="0"/>
              <w:rPr>
                <w:sz w:val="1"/>
                <w:szCs w:val="1"/>
                <w:color w:val="auto"/>
              </w:rPr>
            </w:pPr>
          </w:p>
        </w:tc>
      </w:tr>
      <w:tr>
        <w:trPr>
          <w:trHeight w:val="203"/>
        </w:trPr>
        <w:tc>
          <w:tcPr>
            <w:tcW w:w="350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3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67,795</w:t>
            </w:r>
          </w:p>
        </w:tc>
        <w:tc>
          <w:tcPr>
            <w:tcW w:w="1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32,446</w:t>
            </w: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Technology and communications</w:t>
            </w:r>
          </w:p>
        </w:tc>
        <w:tc>
          <w:tcPr>
            <w:tcW w:w="3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19,559</w:t>
            </w:r>
          </w:p>
        </w:tc>
        <w:tc>
          <w:tcPr>
            <w:tcW w:w="14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17,486</w:t>
            </w:r>
          </w:p>
        </w:tc>
        <w:tc>
          <w:tcPr>
            <w:tcW w:w="0" w:type="dxa"/>
            <w:vAlign w:val="bottom"/>
          </w:tcPr>
          <w:p>
            <w:pPr>
              <w:spacing w:after="0"/>
              <w:rPr>
                <w:sz w:val="1"/>
                <w:szCs w:val="1"/>
                <w:color w:val="auto"/>
              </w:rPr>
            </w:pPr>
          </w:p>
        </w:tc>
      </w:tr>
      <w:tr>
        <w:trPr>
          <w:trHeight w:val="203"/>
        </w:trPr>
        <w:tc>
          <w:tcPr>
            <w:tcW w:w="35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3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18,454</w:t>
            </w:r>
          </w:p>
        </w:tc>
        <w:tc>
          <w:tcPr>
            <w:tcW w:w="1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13,670</w:t>
            </w: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Professional fees</w:t>
            </w:r>
          </w:p>
        </w:tc>
        <w:tc>
          <w:tcPr>
            <w:tcW w:w="3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13,709</w:t>
            </w:r>
          </w:p>
        </w:tc>
        <w:tc>
          <w:tcPr>
            <w:tcW w:w="14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12,814</w:t>
            </w:r>
          </w:p>
        </w:tc>
        <w:tc>
          <w:tcPr>
            <w:tcW w:w="0" w:type="dxa"/>
            <w:vAlign w:val="bottom"/>
          </w:tcPr>
          <w:p>
            <w:pPr>
              <w:spacing w:after="0"/>
              <w:rPr>
                <w:sz w:val="1"/>
                <w:szCs w:val="1"/>
                <w:color w:val="auto"/>
              </w:rPr>
            </w:pPr>
          </w:p>
        </w:tc>
      </w:tr>
      <w:tr>
        <w:trPr>
          <w:trHeight w:val="203"/>
        </w:trPr>
        <w:tc>
          <w:tcPr>
            <w:tcW w:w="35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Occupancy</w:t>
            </w:r>
          </w:p>
        </w:tc>
        <w:tc>
          <w:tcPr>
            <w:tcW w:w="3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7,260</w:t>
            </w:r>
          </w:p>
        </w:tc>
        <w:tc>
          <w:tcPr>
            <w:tcW w:w="140" w:type="dxa"/>
            <w:vAlign w:val="bottom"/>
            <w:tcBorders>
              <w:bottom w:val="single" w:sz="8" w:color="CCEEFF"/>
              <w:right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7,241</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Expenses</w:t>
            </w:r>
          </w:p>
        </w:tc>
        <w:tc>
          <w:tcPr>
            <w:tcW w:w="33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300,045</w:t>
            </w:r>
          </w:p>
        </w:tc>
        <w:tc>
          <w:tcPr>
            <w:tcW w:w="140" w:type="dxa"/>
            <w:vAlign w:val="bottom"/>
            <w:tcBorders>
              <w:bottom w:val="single" w:sz="8" w:color="CCEEFF"/>
              <w:right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223,634</w:t>
            </w:r>
          </w:p>
        </w:tc>
        <w:tc>
          <w:tcPr>
            <w:tcW w:w="0" w:type="dxa"/>
            <w:vAlign w:val="bottom"/>
          </w:tcPr>
          <w:p>
            <w:pPr>
              <w:spacing w:after="0"/>
              <w:rPr>
                <w:sz w:val="1"/>
                <w:szCs w:val="1"/>
                <w:color w:val="auto"/>
              </w:rPr>
            </w:pPr>
          </w:p>
        </w:tc>
      </w:tr>
      <w:tr>
        <w:trPr>
          <w:trHeight w:val="798"/>
        </w:trPr>
        <w:tc>
          <w:tcPr>
            <w:tcW w:w="3500" w:type="dxa"/>
            <w:vAlign w:val="bottom"/>
          </w:tcPr>
          <w:p>
            <w:pPr>
              <w:spacing w:after="0"/>
              <w:rPr>
                <w:sz w:val="24"/>
                <w:szCs w:val="24"/>
                <w:color w:val="auto"/>
              </w:rPr>
            </w:pPr>
          </w:p>
        </w:tc>
        <w:tc>
          <w:tcPr>
            <w:tcW w:w="3360" w:type="dxa"/>
            <w:vAlign w:val="bottom"/>
          </w:tcPr>
          <w:p>
            <w:pPr>
              <w:jc w:val="right"/>
              <w:ind w:right="2155"/>
              <w:spacing w:after="0"/>
              <w:rPr>
                <w:sz w:val="20"/>
                <w:szCs w:val="20"/>
                <w:color w:val="auto"/>
              </w:rPr>
            </w:pPr>
            <w:r>
              <w:rPr>
                <w:rFonts w:ascii="Arial" w:cs="Arial" w:eastAsia="Arial" w:hAnsi="Arial"/>
                <w:sz w:val="17"/>
                <w:szCs w:val="17"/>
                <w:color w:val="auto"/>
              </w:rPr>
              <w:t>55</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35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9" w:right="1419" w:bottom="1440" w:gutter="0" w:footer="0" w:header="0"/>
        </w:sectPr>
      </w:pPr>
    </w:p>
    <w:bookmarkStart w:id="55" w:name="page56"/>
    <w:bookmarkEnd w:id="5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left="300"/>
        <w:spacing w:after="0"/>
        <w:rPr>
          <w:sz w:val="20"/>
          <w:szCs w:val="20"/>
          <w:color w:val="auto"/>
        </w:rPr>
      </w:pPr>
      <w:r>
        <w:rPr>
          <w:rFonts w:ascii="Arial" w:cs="Arial" w:eastAsia="Arial" w:hAnsi="Arial"/>
          <w:sz w:val="15"/>
          <w:szCs w:val="15"/>
          <w:u w:val="single" w:color="auto"/>
          <w:color w:val="auto"/>
        </w:rPr>
        <w:t>Employee Compensation and Benefits</w:t>
      </w:r>
      <w:r>
        <w:rPr>
          <w:rFonts w:ascii="Arial" w:cs="Arial" w:eastAsia="Arial" w:hAnsi="Arial"/>
          <w:sz w:val="15"/>
          <w:szCs w:val="15"/>
          <w:color w:val="auto"/>
        </w:rPr>
        <w:t>. Employee compensation and benefits expense increased by $33.3 million or 23.8% to</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$173.3 million for the six months ended June 30, 2019 from $140.0 million for the six months ended June 30, 2018. The increase was</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primarily due to $20.4 million of non-cash stock-based compensation expense related to the Special Option Award which, as a result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of the completion of the IPO, we began to expense during the second quarter of 2019 (with $18.9 million recognized as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compensation expense related to these options immediately upon the completion of the IPO), a $8.4 million increase in salaries and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benefits, due to an increase in employee headcount, and an increase in commissions of $4.4 million due to higher Wholesale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revenues.</w:t>
      </w:r>
    </w:p>
    <w:p>
      <w:pPr>
        <w:spacing w:after="0" w:line="200" w:lineRule="exact"/>
        <w:rPr>
          <w:sz w:val="20"/>
          <w:szCs w:val="20"/>
          <w:color w:val="auto"/>
        </w:rPr>
      </w:pPr>
    </w:p>
    <w:p>
      <w:pPr>
        <w:ind w:right="60" w:firstLine="305"/>
        <w:spacing w:after="0" w:line="254"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xml:space="preserve"> Depreciation and amortization expense for the six months ended June 30, 2019 was $67.8 million. Depreciation and amortization expense for the six months ended June 30, 2018 was $32.4 million. As a result of the Refinitiv Transaction and the application of pushdown accounting, we adjusted our assets and liabilities to their estimated fair values as of October 1, 2018, which resulted in an increase in depreciation of tangible assets and amortization of our intangible assets. The impact of such adjustments increased depreciation and amortization expense during the six months ended June 30, 2019 by $34.3 million.</w:t>
      </w:r>
    </w:p>
    <w:p>
      <w:pPr>
        <w:spacing w:after="0" w:line="182" w:lineRule="exact"/>
        <w:rPr>
          <w:sz w:val="20"/>
          <w:szCs w:val="20"/>
          <w:color w:val="auto"/>
        </w:rPr>
      </w:pPr>
    </w:p>
    <w:p>
      <w:pPr>
        <w:ind w:firstLine="305"/>
        <w:spacing w:after="0" w:line="261" w:lineRule="auto"/>
        <w:rPr>
          <w:sz w:val="20"/>
          <w:szCs w:val="20"/>
          <w:color w:val="auto"/>
        </w:rPr>
      </w:pPr>
      <w:r>
        <w:rPr>
          <w:rFonts w:ascii="Arial" w:cs="Arial" w:eastAsia="Arial" w:hAnsi="Arial"/>
          <w:sz w:val="17"/>
          <w:szCs w:val="17"/>
          <w:u w:val="single" w:color="auto"/>
          <w:color w:val="auto"/>
        </w:rPr>
        <w:t>Technology and Communications</w:t>
      </w:r>
      <w:r>
        <w:rPr>
          <w:rFonts w:ascii="Arial" w:cs="Arial" w:eastAsia="Arial" w:hAnsi="Arial"/>
          <w:sz w:val="17"/>
          <w:szCs w:val="17"/>
          <w:color w:val="auto"/>
        </w:rPr>
        <w:t>. Technology and communications expense increased by $2.1 million or 11.9% to $19.6 million for the six months ended June 30, 2019 from $17.5 million for the six months ended June 30, 2018. The increase was primarily due to increased clearance fees as a result of higher trading volumes.</w:t>
      </w:r>
    </w:p>
    <w:p>
      <w:pPr>
        <w:spacing w:after="0" w:line="176" w:lineRule="exact"/>
        <w:rPr>
          <w:sz w:val="20"/>
          <w:szCs w:val="20"/>
          <w:color w:val="auto"/>
        </w:rPr>
      </w:pPr>
    </w:p>
    <w:p>
      <w:pPr>
        <w:ind w:right="80" w:firstLine="305"/>
        <w:spacing w:after="0" w:line="261" w:lineRule="auto"/>
        <w:rPr>
          <w:sz w:val="20"/>
          <w:szCs w:val="20"/>
          <w:color w:val="auto"/>
        </w:rPr>
      </w:pPr>
      <w:r>
        <w:rPr>
          <w:rFonts w:ascii="Arial" w:cs="Arial" w:eastAsia="Arial" w:hAnsi="Arial"/>
          <w:sz w:val="17"/>
          <w:szCs w:val="17"/>
          <w:u w:val="single" w:color="auto"/>
          <w:color w:val="auto"/>
        </w:rPr>
        <w:t>General and Administrative</w:t>
      </w:r>
      <w:r>
        <w:rPr>
          <w:rFonts w:ascii="Arial" w:cs="Arial" w:eastAsia="Arial" w:hAnsi="Arial"/>
          <w:sz w:val="17"/>
          <w:szCs w:val="17"/>
          <w:color w:val="auto"/>
        </w:rPr>
        <w:t>. General and administrative expense increased by $4.8 million or 35.0% to $18.5 million for the six months ended June 30, 2019 from $13.7 million for the six months ended June 30, 2018. The increase was primarily a result of an increase in foreign exchange losses of $3.4 million and one-time IPO related fees.</w:t>
      </w:r>
    </w:p>
    <w:p>
      <w:pPr>
        <w:spacing w:after="0" w:line="176" w:lineRule="exact"/>
        <w:rPr>
          <w:sz w:val="20"/>
          <w:szCs w:val="20"/>
          <w:color w:val="auto"/>
        </w:rPr>
      </w:pPr>
    </w:p>
    <w:p>
      <w:pPr>
        <w:jc w:val="both"/>
        <w:ind w:right="100" w:firstLine="305"/>
        <w:spacing w:after="0" w:line="261" w:lineRule="auto"/>
        <w:rPr>
          <w:sz w:val="20"/>
          <w:szCs w:val="20"/>
          <w:color w:val="auto"/>
        </w:rPr>
      </w:pPr>
      <w:r>
        <w:rPr>
          <w:rFonts w:ascii="Arial" w:cs="Arial" w:eastAsia="Arial" w:hAnsi="Arial"/>
          <w:sz w:val="17"/>
          <w:szCs w:val="17"/>
          <w:u w:val="single" w:color="auto"/>
          <w:color w:val="auto"/>
        </w:rPr>
        <w:t>Professional Fees</w:t>
      </w:r>
      <w:r>
        <w:rPr>
          <w:rFonts w:ascii="Arial" w:cs="Arial" w:eastAsia="Arial" w:hAnsi="Arial"/>
          <w:sz w:val="17"/>
          <w:szCs w:val="17"/>
          <w:color w:val="auto"/>
        </w:rPr>
        <w:t>. Professional fees increased by $0.9 million or 7.0% to $13.7 million for the six months ended June 30, 2019 from $12.8 million for the six months ended June 30, 2018. The increase was primarily due to tax advisory and audit fees, including fees incurred in connection with the IPO, partially offset by decreased legal fees.</w:t>
      </w:r>
    </w:p>
    <w:p>
      <w:pPr>
        <w:spacing w:after="0" w:line="176" w:lineRule="exact"/>
        <w:rPr>
          <w:sz w:val="20"/>
          <w:szCs w:val="20"/>
          <w:color w:val="auto"/>
        </w:rPr>
      </w:pPr>
    </w:p>
    <w:p>
      <w:pPr>
        <w:ind w:right="140" w:firstLine="305"/>
        <w:spacing w:after="0" w:line="257" w:lineRule="auto"/>
        <w:rPr>
          <w:sz w:val="20"/>
          <w:szCs w:val="20"/>
          <w:color w:val="auto"/>
        </w:rPr>
      </w:pPr>
      <w:r>
        <w:rPr>
          <w:rFonts w:ascii="Arial" w:cs="Arial" w:eastAsia="Arial" w:hAnsi="Arial"/>
          <w:sz w:val="17"/>
          <w:szCs w:val="17"/>
          <w:u w:val="single" w:color="auto"/>
          <w:color w:val="auto"/>
        </w:rPr>
        <w:t>Occupancy</w:t>
      </w:r>
      <w:r>
        <w:rPr>
          <w:rFonts w:ascii="Arial" w:cs="Arial" w:eastAsia="Arial" w:hAnsi="Arial"/>
          <w:sz w:val="17"/>
          <w:szCs w:val="17"/>
          <w:color w:val="auto"/>
        </w:rPr>
        <w:t>. Occupancy expense for the six months ended June 30, 2019 was $7.3 million. Occupancy expense for the six months ended June 30, 2018 was $7.2 million. As a result of the Refinitiv Transaction and the application of pushdown accounting, at October 1, 2018, we established a leasehold interest liability, which resulted in a $0.2 million decrease in occupancy expense during the six months ended June 30, 2019.</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Interest Income (Expense)</w:t>
      </w:r>
    </w:p>
    <w:p>
      <w:pPr>
        <w:spacing w:after="0" w:line="211" w:lineRule="exact"/>
        <w:rPr>
          <w:sz w:val="20"/>
          <w:szCs w:val="20"/>
          <w:color w:val="auto"/>
        </w:rPr>
      </w:pPr>
    </w:p>
    <w:p>
      <w:pPr>
        <w:ind w:right="40" w:firstLine="305"/>
        <w:spacing w:after="0" w:line="257" w:lineRule="auto"/>
        <w:rPr>
          <w:sz w:val="20"/>
          <w:szCs w:val="20"/>
          <w:color w:val="auto"/>
        </w:rPr>
      </w:pPr>
      <w:r>
        <w:rPr>
          <w:rFonts w:ascii="Arial" w:cs="Arial" w:eastAsia="Arial" w:hAnsi="Arial"/>
          <w:sz w:val="17"/>
          <w:szCs w:val="17"/>
          <w:color w:val="auto"/>
        </w:rPr>
        <w:t>Net interest income (expense) decreased by $0.1 million to interest income of $1.0 million for the six months ended June 30, 2019 from interest income of $1.1 million for the six months ended June 30, 2018. Net interest income for the six months ended June 30, 2019 was impacted by credit facility fees related to the Revolving Credit Facility, which we entered into during the second quarter of 2019.</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211" w:lineRule="exact"/>
        <w:rPr>
          <w:sz w:val="20"/>
          <w:szCs w:val="20"/>
          <w:color w:val="auto"/>
        </w:rPr>
      </w:pPr>
    </w:p>
    <w:p>
      <w:pPr>
        <w:ind w:right="60" w:firstLine="305"/>
        <w:spacing w:after="0" w:line="253" w:lineRule="auto"/>
        <w:rPr>
          <w:sz w:val="20"/>
          <w:szCs w:val="20"/>
          <w:color w:val="auto"/>
        </w:rPr>
      </w:pPr>
      <w:r>
        <w:rPr>
          <w:rFonts w:ascii="Arial" w:cs="Arial" w:eastAsia="Arial" w:hAnsi="Arial"/>
          <w:sz w:val="17"/>
          <w:szCs w:val="17"/>
          <w:color w:val="auto"/>
        </w:rPr>
        <w:t>Provision for income taxes for the six months ended June 30, 2019 was $11.1 million. Provision for income taxes for the six months ended June 30, 2018 was $4.4 million. Provision for income taxes for the six months ended June 30, 2019 was impacted by the Reorganization Transactions and the IPO, which occurred in April 2019 and resulted in Tradeweb Markets Inc. becoming subject to U.S. federal, state and local income taxes with respect to its taxable income, including its allocable share of any taxable income of TWM LLC, and being taxed at prevailing corporate tax rates. Prior to the Reorganization Transactions, we were not required to maintain an income tax provision on our earnings as TWM LLC is a multiple member limited liability company taxed as a partnership.</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56" w:name="page57"/>
    <w:bookmarkEnd w:id="5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11" w:lineRule="exact"/>
        <w:rPr>
          <w:sz w:val="20"/>
          <w:szCs w:val="20"/>
          <w:color w:val="auto"/>
        </w:rPr>
      </w:pPr>
    </w:p>
    <w:p>
      <w:pPr>
        <w:ind w:right="340" w:firstLine="305"/>
        <w:spacing w:after="0" w:line="257" w:lineRule="auto"/>
        <w:rPr>
          <w:sz w:val="20"/>
          <w:szCs w:val="20"/>
          <w:color w:val="auto"/>
        </w:rPr>
      </w:pPr>
      <w:r>
        <w:rPr>
          <w:rFonts w:ascii="Arial" w:cs="Arial" w:eastAsia="Arial" w:hAnsi="Arial"/>
          <w:sz w:val="17"/>
          <w:szCs w:val="17"/>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flows from operations and availability under the Revolving Credit Facility and their sufficiency to fund our operating and investing activities.</w:t>
      </w:r>
    </w:p>
    <w:p>
      <w:pPr>
        <w:spacing w:after="0" w:line="179" w:lineRule="exact"/>
        <w:rPr>
          <w:sz w:val="20"/>
          <w:szCs w:val="20"/>
          <w:color w:val="auto"/>
        </w:rPr>
      </w:pPr>
    </w:p>
    <w:p>
      <w:pPr>
        <w:ind w:right="60" w:firstLine="305"/>
        <w:spacing w:after="0" w:line="273" w:lineRule="auto"/>
        <w:rPr>
          <w:sz w:val="20"/>
          <w:szCs w:val="20"/>
          <w:color w:val="auto"/>
        </w:rPr>
      </w:pPr>
      <w:r>
        <w:rPr>
          <w:rFonts w:ascii="Arial" w:cs="Arial" w:eastAsia="Arial" w:hAnsi="Arial"/>
          <w:sz w:val="17"/>
          <w:szCs w:val="17"/>
          <w:color w:val="auto"/>
        </w:rPr>
        <w:t>Historically, we have generated significant cash flows from operations and have funded our business operations through cash on hand and cash flows from operations.</w:t>
      </w:r>
    </w:p>
    <w:p>
      <w:pPr>
        <w:spacing w:after="0" w:line="165" w:lineRule="exact"/>
        <w:rPr>
          <w:sz w:val="20"/>
          <w:szCs w:val="20"/>
          <w:color w:val="auto"/>
        </w:rPr>
      </w:pPr>
    </w:p>
    <w:p>
      <w:pPr>
        <w:ind w:right="60" w:firstLine="305"/>
        <w:spacing w:after="0" w:line="291" w:lineRule="auto"/>
        <w:rPr>
          <w:sz w:val="20"/>
          <w:szCs w:val="20"/>
          <w:color w:val="auto"/>
        </w:rPr>
      </w:pPr>
      <w:r>
        <w:rPr>
          <w:rFonts w:ascii="Arial" w:cs="Arial" w:eastAsia="Arial" w:hAnsi="Arial"/>
          <w:sz w:val="15"/>
          <w:szCs w:val="15"/>
          <w:color w:val="auto"/>
        </w:rPr>
        <w:t>Our primary cash needs are for day to day operations, working capital requirements, capital expenditures, primarily for software and equipment, and our expected dividend payments. In addition, we are obligated to make payments under the Tax Receivable Agreement. Although the actual timing and amount of any payments that may be made under the Tax Receivable Agreement will vary, we expect that the payments that we will be required to make under the Tax Receivable Agreement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w:t>
      </w:r>
    </w:p>
    <w:p>
      <w:pPr>
        <w:spacing w:after="0" w:line="157" w:lineRule="exact"/>
        <w:rPr>
          <w:sz w:val="20"/>
          <w:szCs w:val="20"/>
          <w:color w:val="auto"/>
        </w:rPr>
      </w:pPr>
    </w:p>
    <w:p>
      <w:pPr>
        <w:ind w:right="80" w:firstLine="305"/>
        <w:spacing w:after="0" w:line="285" w:lineRule="auto"/>
        <w:rPr>
          <w:sz w:val="20"/>
          <w:szCs w:val="20"/>
          <w:color w:val="auto"/>
        </w:rPr>
      </w:pPr>
      <w:r>
        <w:rPr>
          <w:rFonts w:ascii="Arial" w:cs="Arial" w:eastAsia="Arial" w:hAnsi="Arial"/>
          <w:sz w:val="16"/>
          <w:szCs w:val="16"/>
          <w:color w:val="auto"/>
        </w:rPr>
        <w:t>We expect to fund our liquidity requirements through cash and cash equivalents and cash flows from operations. While historically we have generated significant and adequate cash flows from operations, in the event of an unexpected event in the future or otherwise, we may fund our liquidity requirements through borrowings under the Revolving Credit Facility.</w:t>
      </w:r>
    </w:p>
    <w:p>
      <w:pPr>
        <w:spacing w:after="0" w:line="158" w:lineRule="exact"/>
        <w:rPr>
          <w:sz w:val="20"/>
          <w:szCs w:val="20"/>
          <w:color w:val="auto"/>
        </w:rPr>
      </w:pPr>
    </w:p>
    <w:p>
      <w:pPr>
        <w:ind w:firstLine="305"/>
        <w:spacing w:after="0" w:line="252" w:lineRule="auto"/>
        <w:rPr>
          <w:sz w:val="20"/>
          <w:szCs w:val="20"/>
          <w:color w:val="auto"/>
        </w:rPr>
      </w:pPr>
      <w:r>
        <w:rPr>
          <w:rFonts w:ascii="Arial" w:cs="Arial" w:eastAsia="Arial" w:hAnsi="Arial"/>
          <w:sz w:val="17"/>
          <w:szCs w:val="17"/>
          <w:color w:val="auto"/>
        </w:rPr>
        <w:t>We believe that our projected cash position, cash flows from operations and, if necessary, borrowings under the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may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86" w:lineRule="exact"/>
        <w:rPr>
          <w:sz w:val="20"/>
          <w:szCs w:val="20"/>
          <w:color w:val="auto"/>
        </w:rPr>
      </w:pPr>
    </w:p>
    <w:p>
      <w:pPr>
        <w:ind w:firstLine="305"/>
        <w:spacing w:after="0" w:line="261" w:lineRule="auto"/>
        <w:rPr>
          <w:sz w:val="20"/>
          <w:szCs w:val="20"/>
          <w:color w:val="auto"/>
        </w:rPr>
      </w:pPr>
      <w:r>
        <w:rPr>
          <w:rFonts w:ascii="Arial" w:cs="Arial" w:eastAsia="Arial" w:hAnsi="Arial"/>
          <w:sz w:val="17"/>
          <w:szCs w:val="17"/>
          <w:color w:val="auto"/>
        </w:rPr>
        <w:t>As of June 30, 2019 and December 31, 2018, we had cash and cash equivalents of approximately $313.6 million and $410.1 million, respectively. All cash and cash equivalents were held in accounts with banks such that the funds are immediately available or in fixed term deposits with a maximum maturity of three months.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Factors Influencing Our Liquidity and Capital Resources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 Policy</w:t>
      </w:r>
    </w:p>
    <w:p>
      <w:pPr>
        <w:spacing w:after="0" w:line="211" w:lineRule="exact"/>
        <w:rPr>
          <w:sz w:val="20"/>
          <w:szCs w:val="20"/>
          <w:color w:val="auto"/>
        </w:rPr>
      </w:pPr>
    </w:p>
    <w:p>
      <w:pPr>
        <w:ind w:firstLine="305"/>
        <w:spacing w:after="0" w:line="255" w:lineRule="auto"/>
        <w:rPr>
          <w:sz w:val="20"/>
          <w:szCs w:val="20"/>
          <w:color w:val="auto"/>
        </w:rPr>
      </w:pPr>
      <w:r>
        <w:rPr>
          <w:rFonts w:ascii="Arial" w:cs="Arial" w:eastAsia="Arial" w:hAnsi="Arial"/>
          <w:sz w:val="17"/>
          <w:szCs w:val="17"/>
          <w:color w:val="auto"/>
        </w:rPr>
        <w:t>We intend to pay quarterly cash dividends on our Class A common stock and Class B common stock initially equal to $0.08 per share. Based on 46,000,000 shares of Class A common stock and 96,933,192 shares of Class B common stock outstanding, this dividend policy implies a quarterly cash requirement of approximately $11.4 million (or an annual cash requirement of approximately $45.7 million). As discussed below, our ability to pay these quarterly cash dividends on our Class A common stock and Class B common stock will depend on distributions to us from TWM LLC.</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57" w:name="page58"/>
    <w:bookmarkEnd w:id="5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right="20" w:firstLine="305"/>
        <w:spacing w:after="0" w:line="269" w:lineRule="auto"/>
        <w:rPr>
          <w:sz w:val="20"/>
          <w:szCs w:val="20"/>
          <w:color w:val="auto"/>
        </w:rPr>
      </w:pPr>
      <w:r>
        <w:rPr>
          <w:rFonts w:ascii="Arial" w:cs="Arial" w:eastAsia="Arial" w:hAnsi="Arial"/>
          <w:sz w:val="16"/>
          <w:szCs w:val="16"/>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the other holders of LLC Interests will be entitled to receive proportionate distributions based on their economic interests in TWM LLC at the time of such distributions.</w:t>
      </w:r>
    </w:p>
    <w:p>
      <w:pPr>
        <w:spacing w:after="0" w:line="174" w:lineRule="exact"/>
        <w:rPr>
          <w:sz w:val="20"/>
          <w:szCs w:val="20"/>
          <w:color w:val="auto"/>
        </w:rPr>
      </w:pPr>
    </w:p>
    <w:p>
      <w:pPr>
        <w:ind w:firstLine="305"/>
        <w:spacing w:after="0" w:line="273" w:lineRule="auto"/>
        <w:rPr>
          <w:sz w:val="20"/>
          <w:szCs w:val="20"/>
          <w:color w:val="auto"/>
        </w:rPr>
      </w:pPr>
      <w:r>
        <w:rPr>
          <w:rFonts w:ascii="Arial" w:cs="Arial" w:eastAsia="Arial" w:hAnsi="Arial"/>
          <w:sz w:val="16"/>
          <w:szCs w:val="16"/>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We currently intend to increase the amount of our expected quarterly dividends in line with free cash flow growth, if any, after giving effect to required tax distributions to be paid by TWM LLC. However,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68" w:lineRule="exact"/>
        <w:rPr>
          <w:sz w:val="20"/>
          <w:szCs w:val="20"/>
          <w:color w:val="auto"/>
        </w:rPr>
      </w:pPr>
    </w:p>
    <w:p>
      <w:pPr>
        <w:ind w:right="40" w:firstLine="305"/>
        <w:spacing w:after="0" w:line="261" w:lineRule="auto"/>
        <w:rPr>
          <w:sz w:val="20"/>
          <w:szCs w:val="20"/>
          <w:color w:val="auto"/>
        </w:rPr>
      </w:pPr>
      <w:r>
        <w:rPr>
          <w:rFonts w:ascii="Arial" w:cs="Arial" w:eastAsia="Arial" w:hAnsi="Arial"/>
          <w:sz w:val="17"/>
          <w:szCs w:val="17"/>
          <w:color w:val="auto"/>
        </w:rPr>
        <w:t>In March and April 2019, TWM LLC made cash distributions to the Original LLC Owners in aggregate amounts of $20.0 million and $100.0 million, respectively. In May 2019, TWM LLC made a cash distribution to its equityholders, including Tradeweb Markets Inc., in an aggregate amount of $33.4 million.</w:t>
      </w:r>
    </w:p>
    <w:p>
      <w:pPr>
        <w:spacing w:after="0" w:line="176" w:lineRule="exact"/>
        <w:rPr>
          <w:sz w:val="20"/>
          <w:szCs w:val="20"/>
          <w:color w:val="auto"/>
        </w:rPr>
      </w:pPr>
    </w:p>
    <w:p>
      <w:pPr>
        <w:ind w:right="140" w:firstLine="305"/>
        <w:spacing w:after="0" w:line="341" w:lineRule="auto"/>
        <w:rPr>
          <w:sz w:val="20"/>
          <w:szCs w:val="20"/>
          <w:color w:val="auto"/>
        </w:rPr>
      </w:pPr>
      <w:r>
        <w:rPr>
          <w:rFonts w:ascii="Arial" w:cs="Arial" w:eastAsia="Arial" w:hAnsi="Arial"/>
          <w:sz w:val="15"/>
          <w:szCs w:val="15"/>
          <w:color w:val="auto"/>
        </w:rPr>
        <w:t>On August 6, 2019, Tradeweb Markets Inc., as the sole manager, approved a cash distribution to equityholders of TWM LLC, including Tradeweb Markets Inc., in an aggregate amount of approximately $33.0 million payable on or about September 13, 2019.</w:t>
      </w:r>
    </w:p>
    <w:p>
      <w:pPr>
        <w:spacing w:after="0" w:line="120" w:lineRule="exact"/>
        <w:rPr>
          <w:sz w:val="20"/>
          <w:szCs w:val="20"/>
          <w:color w:val="auto"/>
        </w:rPr>
      </w:pPr>
    </w:p>
    <w:p>
      <w:pPr>
        <w:ind w:right="520" w:firstLine="305"/>
        <w:spacing w:after="0" w:line="273" w:lineRule="auto"/>
        <w:rPr>
          <w:sz w:val="20"/>
          <w:szCs w:val="20"/>
          <w:color w:val="auto"/>
        </w:rPr>
      </w:pPr>
      <w:r>
        <w:rPr>
          <w:rFonts w:ascii="Arial" w:cs="Arial" w:eastAsia="Arial" w:hAnsi="Arial"/>
          <w:sz w:val="17"/>
          <w:szCs w:val="17"/>
          <w:color w:val="auto"/>
        </w:rPr>
        <w:t>In May 2019, Tradeweb Markets Inc. paid a quarterly cash dividend to the holders of Class A common stock and Class B common stock in an aggregate amount of $11.4 million.</w:t>
      </w:r>
    </w:p>
    <w:p>
      <w:pPr>
        <w:spacing w:after="0" w:line="165" w:lineRule="exact"/>
        <w:rPr>
          <w:sz w:val="20"/>
          <w:szCs w:val="20"/>
          <w:color w:val="auto"/>
        </w:rPr>
      </w:pPr>
    </w:p>
    <w:p>
      <w:pPr>
        <w:jc w:val="both"/>
        <w:ind w:right="280" w:firstLine="305"/>
        <w:spacing w:after="0" w:line="261" w:lineRule="auto"/>
        <w:rPr>
          <w:sz w:val="20"/>
          <w:szCs w:val="20"/>
          <w:color w:val="auto"/>
        </w:rPr>
      </w:pPr>
      <w:r>
        <w:rPr>
          <w:rFonts w:ascii="Arial" w:cs="Arial" w:eastAsia="Arial" w:hAnsi="Arial"/>
          <w:sz w:val="17"/>
          <w:szCs w:val="17"/>
          <w:color w:val="auto"/>
        </w:rPr>
        <w:t>On August 7, 2019, our board of directors declared a cash dividend of $0.08 per share of Class A common stock and Class B common stock for the third quarter of 2019. This dividend will be payable on September 16, 2019 to stockholders of record as of September 3, 2019.</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Indebtedness</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June 30, 2019 and December 31, 2018, we had no outstanding indebtedness.</w:t>
      </w:r>
    </w:p>
    <w:p>
      <w:pPr>
        <w:spacing w:after="0" w:line="211" w:lineRule="exact"/>
        <w:rPr>
          <w:sz w:val="20"/>
          <w:szCs w:val="20"/>
          <w:color w:val="auto"/>
        </w:rPr>
      </w:pPr>
    </w:p>
    <w:p>
      <w:pPr>
        <w:ind w:right="80" w:firstLine="305"/>
        <w:spacing w:after="0" w:line="273" w:lineRule="auto"/>
        <w:rPr>
          <w:sz w:val="20"/>
          <w:szCs w:val="20"/>
          <w:color w:val="auto"/>
        </w:rPr>
      </w:pPr>
      <w:r>
        <w:rPr>
          <w:rFonts w:ascii="Arial" w:cs="Arial" w:eastAsia="Arial" w:hAnsi="Arial"/>
          <w:sz w:val="17"/>
          <w:szCs w:val="17"/>
          <w:color w:val="auto"/>
        </w:rPr>
        <w:t>Historically, the Company has only issued debt in connection with significant investment transactions and all debt issued by the Company has been issued to subsidiaries of Thomson Reuters.</w:t>
      </w:r>
    </w:p>
    <w:p>
      <w:pPr>
        <w:spacing w:after="0" w:line="165" w:lineRule="exact"/>
        <w:rPr>
          <w:sz w:val="20"/>
          <w:szCs w:val="20"/>
          <w:color w:val="auto"/>
        </w:rPr>
      </w:pPr>
    </w:p>
    <w:p>
      <w:pPr>
        <w:jc w:val="both"/>
        <w:ind w:right="540" w:firstLine="305"/>
        <w:spacing w:after="0" w:line="261" w:lineRule="auto"/>
        <w:rPr>
          <w:sz w:val="20"/>
          <w:szCs w:val="20"/>
          <w:color w:val="auto"/>
        </w:rPr>
      </w:pPr>
      <w:r>
        <w:rPr>
          <w:rFonts w:ascii="Arial" w:cs="Arial" w:eastAsia="Arial" w:hAnsi="Arial"/>
          <w:sz w:val="17"/>
          <w:szCs w:val="17"/>
          <w:color w:val="auto"/>
        </w:rPr>
        <w:t>On April 8, 2019, we entered into the Revolving Credit Facility with a syndicate of banks. The Revolving Credit Facility provides borrowing capacity to be used to fund our ongoing working capital needs, letters of credit and for general corporate purposes, including potential future acquisitions and expansions.</w:t>
      </w:r>
    </w:p>
    <w:p>
      <w:pPr>
        <w:spacing w:after="0" w:line="176" w:lineRule="exact"/>
        <w:rPr>
          <w:sz w:val="20"/>
          <w:szCs w:val="20"/>
          <w:color w:val="auto"/>
        </w:rPr>
      </w:pPr>
    </w:p>
    <w:p>
      <w:pPr>
        <w:ind w:right="260" w:firstLine="305"/>
        <w:spacing w:after="0" w:line="275" w:lineRule="auto"/>
        <w:rPr>
          <w:sz w:val="20"/>
          <w:szCs w:val="20"/>
          <w:color w:val="auto"/>
        </w:rPr>
      </w:pPr>
      <w:r>
        <w:rPr>
          <w:rFonts w:ascii="Arial" w:cs="Arial" w:eastAsia="Arial" w:hAnsi="Arial"/>
          <w:sz w:val="16"/>
          <w:szCs w:val="16"/>
          <w:color w:val="auto"/>
        </w:rPr>
        <w:t>TWM LLC is the borrower under the Revolving Credit Facility. The Revolving Credit Facility permits borrowings of up to $500.0 million by TWM LLC. Subject to the satisfaction of certain conditions, we will be able to increase the Revolving Credit Facility by $250.0 million with the consent of lenders participating in the increase. The Revolving Credit Facility provides for the issuance of up to $5.0 million of letters of credit as well as borrowings on same-day notice, referred to as swingline loans, in an amount of up to $30.0 million. The Revolving Credit Facility will mature on April 8, 2024.</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58" w:name="page59"/>
    <w:bookmarkEnd w:id="5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right="700" w:firstLine="305"/>
        <w:spacing w:after="0" w:line="273" w:lineRule="auto"/>
        <w:rPr>
          <w:sz w:val="20"/>
          <w:szCs w:val="20"/>
          <w:color w:val="auto"/>
        </w:rPr>
      </w:pPr>
      <w:r>
        <w:rPr>
          <w:rFonts w:ascii="Arial" w:cs="Arial" w:eastAsia="Arial" w:hAnsi="Arial"/>
          <w:sz w:val="17"/>
          <w:szCs w:val="17"/>
          <w:color w:val="auto"/>
        </w:rPr>
        <w:t>As of June 30, 2019, there were no amounts outstanding under the Revolving Credit Facility and we had availability of approximately $500.0 million.</w:t>
      </w:r>
    </w:p>
    <w:p>
      <w:pPr>
        <w:spacing w:after="0" w:line="165" w:lineRule="exact"/>
        <w:rPr>
          <w:sz w:val="20"/>
          <w:szCs w:val="20"/>
          <w:color w:val="auto"/>
        </w:rPr>
      </w:pPr>
    </w:p>
    <w:p>
      <w:pPr>
        <w:ind w:firstLine="305"/>
        <w:spacing w:after="0" w:line="257" w:lineRule="auto"/>
        <w:rPr>
          <w:sz w:val="20"/>
          <w:szCs w:val="20"/>
          <w:color w:val="auto"/>
        </w:rPr>
      </w:pPr>
      <w:r>
        <w:rPr>
          <w:rFonts w:ascii="Arial" w:cs="Arial" w:eastAsia="Arial" w:hAnsi="Arial"/>
          <w:sz w:val="17"/>
          <w:szCs w:val="17"/>
          <w:color w:val="auto"/>
        </w:rPr>
        <w:t>Under the terms of the credit agreement that governs the Revolving Credit Facility, borrowings under the Revolving Credit Facility bear interest at a rate equal to, at our option, either (a) a base rate equal to the greatest of (i) the administrative agent’s prime rate, (ii) the federal funds effective rate plus ½ of 1.0% and (iii) one month LIBOR plus 1.0%, in each case plus 0.75%, or (b) LIBOR plus 1.75%, subject to a 0.00% floor.</w:t>
      </w:r>
    </w:p>
    <w:p>
      <w:pPr>
        <w:spacing w:after="0" w:line="179" w:lineRule="exact"/>
        <w:rPr>
          <w:sz w:val="20"/>
          <w:szCs w:val="20"/>
          <w:color w:val="auto"/>
        </w:rPr>
      </w:pPr>
    </w:p>
    <w:p>
      <w:pPr>
        <w:ind w:right="120" w:firstLine="305"/>
        <w:spacing w:after="0" w:line="273" w:lineRule="auto"/>
        <w:rPr>
          <w:sz w:val="20"/>
          <w:szCs w:val="20"/>
          <w:color w:val="auto"/>
        </w:rPr>
      </w:pPr>
      <w:r>
        <w:rPr>
          <w:rFonts w:ascii="Arial" w:cs="Arial" w:eastAsia="Arial" w:hAnsi="Arial"/>
          <w:sz w:val="17"/>
          <w:szCs w:val="17"/>
          <w:color w:val="auto"/>
        </w:rPr>
        <w:t>The credit agreement also requires that we pay a commitment fee of 0.25% for available but unborrowed amounts. We are also required to pay customary letter of credit fees and agency fees.</w:t>
      </w:r>
    </w:p>
    <w:p>
      <w:pPr>
        <w:spacing w:after="0" w:line="165" w:lineRule="exact"/>
        <w:rPr>
          <w:sz w:val="20"/>
          <w:szCs w:val="20"/>
          <w:color w:val="auto"/>
        </w:rPr>
      </w:pPr>
    </w:p>
    <w:p>
      <w:pPr>
        <w:ind w:right="640" w:firstLine="305"/>
        <w:spacing w:after="0" w:line="273" w:lineRule="auto"/>
        <w:rPr>
          <w:sz w:val="20"/>
          <w:szCs w:val="20"/>
          <w:color w:val="auto"/>
        </w:rPr>
      </w:pPr>
      <w:r>
        <w:rPr>
          <w:rFonts w:ascii="Arial" w:cs="Arial" w:eastAsia="Arial" w:hAnsi="Arial"/>
          <w:sz w:val="17"/>
          <w:szCs w:val="17"/>
          <w:color w:val="auto"/>
        </w:rPr>
        <w:t>We have the option to voluntarily repay outstanding loans at any time without premium or penalty other than customary “breakage” costs with respect to LIBOR loans.</w:t>
      </w:r>
    </w:p>
    <w:p>
      <w:pPr>
        <w:spacing w:after="0" w:line="165" w:lineRule="exact"/>
        <w:rPr>
          <w:sz w:val="20"/>
          <w:szCs w:val="20"/>
          <w:color w:val="auto"/>
        </w:rPr>
      </w:pPr>
    </w:p>
    <w:p>
      <w:pPr>
        <w:ind w:right="120" w:firstLine="305"/>
        <w:spacing w:after="0" w:line="273" w:lineRule="auto"/>
        <w:rPr>
          <w:sz w:val="20"/>
          <w:szCs w:val="20"/>
          <w:color w:val="auto"/>
        </w:rPr>
      </w:pPr>
      <w:r>
        <w:rPr>
          <w:rFonts w:ascii="Arial" w:cs="Arial" w:eastAsia="Arial" w:hAnsi="Arial"/>
          <w:sz w:val="17"/>
          <w:szCs w:val="17"/>
          <w:color w:val="auto"/>
        </w:rPr>
        <w:t>There will be no scheduled amortization under the Revolving Credit Facility. The principal amount outstanding will be due and payable in full at maturity.</w:t>
      </w:r>
    </w:p>
    <w:p>
      <w:pPr>
        <w:spacing w:after="0" w:line="165" w:lineRule="exact"/>
        <w:rPr>
          <w:sz w:val="20"/>
          <w:szCs w:val="20"/>
          <w:color w:val="auto"/>
        </w:rPr>
      </w:pPr>
    </w:p>
    <w:p>
      <w:pPr>
        <w:ind w:right="240" w:firstLine="305"/>
        <w:spacing w:after="0" w:line="312" w:lineRule="auto"/>
        <w:rPr>
          <w:sz w:val="20"/>
          <w:szCs w:val="20"/>
          <w:color w:val="auto"/>
        </w:rPr>
      </w:pPr>
      <w:r>
        <w:rPr>
          <w:rFonts w:ascii="Arial" w:cs="Arial" w:eastAsia="Arial" w:hAnsi="Arial"/>
          <w:sz w:val="15"/>
          <w:szCs w:val="15"/>
          <w:color w:val="auto"/>
        </w:rPr>
        <w:t>Obligations under the Revolving Credit Facility are guaranteed by our existing and future direct and indirect material wholly-owned domestic subsidiaries, subject to certain exceptions. The Revolving Credit Facility is secured by a first-priority security interest in substantially all of the assets of TWM LLC and the guarantors under the facility, subject to certain exceptions.</w:t>
      </w:r>
    </w:p>
    <w:p>
      <w:pPr>
        <w:spacing w:after="0" w:line="141" w:lineRule="exact"/>
        <w:rPr>
          <w:sz w:val="20"/>
          <w:szCs w:val="20"/>
          <w:color w:val="auto"/>
        </w:rPr>
      </w:pPr>
    </w:p>
    <w:p>
      <w:pPr>
        <w:ind w:right="260" w:firstLine="305"/>
        <w:spacing w:after="0" w:line="273" w:lineRule="auto"/>
        <w:rPr>
          <w:sz w:val="20"/>
          <w:szCs w:val="20"/>
          <w:color w:val="auto"/>
        </w:rPr>
      </w:pPr>
      <w:r>
        <w:rPr>
          <w:rFonts w:ascii="Arial" w:cs="Arial" w:eastAsia="Arial" w:hAnsi="Arial"/>
          <w:sz w:val="17"/>
          <w:szCs w:val="17"/>
          <w:color w:val="auto"/>
        </w:rPr>
        <w:t>The credit agreement that governs the Revolving Credit Facility contains a number of covenants that, among other things and subject to certain exceptions, restrict our ability and the ability of our restricted subsidiaries to:</w:t>
      </w:r>
    </w:p>
    <w:p>
      <w:pPr>
        <w:spacing w:after="0" w:line="165" w:lineRule="exact"/>
        <w:rPr>
          <w:sz w:val="20"/>
          <w:szCs w:val="20"/>
          <w:color w:val="auto"/>
        </w:rPr>
      </w:pPr>
    </w:p>
    <w:p>
      <w:pPr>
        <w:ind w:left="600" w:hanging="297"/>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incur additional indebtedness and guarantee indebtedness;</w:t>
      </w:r>
    </w:p>
    <w:p>
      <w:pPr>
        <w:spacing w:after="0" w:line="211" w:lineRule="exact"/>
        <w:rPr>
          <w:rFonts w:ascii="Arial" w:cs="Arial" w:eastAsia="Arial" w:hAnsi="Arial"/>
          <w:sz w:val="17"/>
          <w:szCs w:val="17"/>
          <w:color w:val="auto"/>
        </w:rPr>
      </w:pPr>
    </w:p>
    <w:p>
      <w:pPr>
        <w:ind w:left="600" w:hanging="297"/>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create or incur liens;</w:t>
      </w:r>
    </w:p>
    <w:p>
      <w:pPr>
        <w:spacing w:after="0" w:line="211" w:lineRule="exact"/>
        <w:rPr>
          <w:rFonts w:ascii="Arial" w:cs="Arial" w:eastAsia="Arial" w:hAnsi="Arial"/>
          <w:sz w:val="17"/>
          <w:szCs w:val="17"/>
          <w:color w:val="auto"/>
        </w:rPr>
      </w:pPr>
    </w:p>
    <w:p>
      <w:pPr>
        <w:ind w:left="600" w:hanging="297"/>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pay dividends and distributions or repurchase capital stock;</w:t>
      </w:r>
    </w:p>
    <w:p>
      <w:pPr>
        <w:spacing w:after="0" w:line="211" w:lineRule="exact"/>
        <w:rPr>
          <w:rFonts w:ascii="Arial" w:cs="Arial" w:eastAsia="Arial" w:hAnsi="Arial"/>
          <w:sz w:val="17"/>
          <w:szCs w:val="17"/>
          <w:color w:val="auto"/>
        </w:rPr>
      </w:pPr>
    </w:p>
    <w:p>
      <w:pPr>
        <w:ind w:left="600" w:hanging="297"/>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make investments, loans and advances; and</w:t>
      </w:r>
    </w:p>
    <w:p>
      <w:pPr>
        <w:spacing w:after="0" w:line="211" w:lineRule="exact"/>
        <w:rPr>
          <w:rFonts w:ascii="Arial" w:cs="Arial" w:eastAsia="Arial" w:hAnsi="Arial"/>
          <w:sz w:val="17"/>
          <w:szCs w:val="17"/>
          <w:color w:val="auto"/>
        </w:rPr>
      </w:pPr>
    </w:p>
    <w:p>
      <w:pPr>
        <w:ind w:left="600" w:hanging="297"/>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enter into certain transactions with affiliates.</w:t>
      </w:r>
    </w:p>
    <w:p>
      <w:pPr>
        <w:spacing w:after="0" w:line="211" w:lineRule="exact"/>
        <w:rPr>
          <w:sz w:val="20"/>
          <w:szCs w:val="20"/>
          <w:color w:val="auto"/>
        </w:rPr>
      </w:pPr>
    </w:p>
    <w:p>
      <w:pPr>
        <w:ind w:firstLine="305"/>
        <w:spacing w:after="0" w:line="257" w:lineRule="auto"/>
        <w:rPr>
          <w:sz w:val="20"/>
          <w:szCs w:val="20"/>
          <w:color w:val="auto"/>
        </w:rPr>
      </w:pPr>
      <w:r>
        <w:rPr>
          <w:rFonts w:ascii="Arial" w:cs="Arial" w:eastAsia="Arial" w:hAnsi="Arial"/>
          <w:sz w:val="17"/>
          <w:szCs w:val="17"/>
          <w:color w:val="auto"/>
        </w:rPr>
        <w:t>The Revolving Credit Facility contains a covenant requiring compliance with a (i) maximum total net leverage ratio tested on the last day of each fiscal quarter not to exceed 3.5 to 1.0 (increasing to 4.0 to 1.0 for the four-quarter period following a material acquisition and the fiscal quarter in which such material acquisition is consummated) and (ii) minimum cash interest coverage ratio tested on the last day of each fiscal quarter not to exceed 3.0 to 1.0.</w:t>
      </w:r>
    </w:p>
    <w:p>
      <w:pPr>
        <w:spacing w:after="0" w:line="179" w:lineRule="exact"/>
        <w:rPr>
          <w:sz w:val="20"/>
          <w:szCs w:val="20"/>
          <w:color w:val="auto"/>
        </w:rPr>
      </w:pPr>
    </w:p>
    <w:p>
      <w:pPr>
        <w:ind w:right="20" w:firstLine="305"/>
        <w:spacing w:after="0" w:line="275" w:lineRule="auto"/>
        <w:rPr>
          <w:sz w:val="20"/>
          <w:szCs w:val="20"/>
          <w:color w:val="auto"/>
        </w:rPr>
      </w:pPr>
      <w:r>
        <w:rPr>
          <w:rFonts w:ascii="Arial" w:cs="Arial" w:eastAsia="Arial" w:hAnsi="Arial"/>
          <w:sz w:val="16"/>
          <w:szCs w:val="16"/>
          <w:color w:val="auto"/>
        </w:rPr>
        <w:t>The credit agreement that governs the Revolving Credit Facility also contains certain affirmative covenants and events of default customary for facilities of this type, including relating to a change of control. If an event of default occurs, the lenders under the Revolving Credit Facility will be entitled to take various actions, including the acceleration of amounts due under the Revolving Credit Facility and all actions permitted to be taken by secured creditors under applicable law. As of June 30, 2019, we were in compliance with all the covenants set forth in the Revolving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Requirements</w:t>
      </w:r>
    </w:p>
    <w:p>
      <w:pPr>
        <w:spacing w:after="0" w:line="211" w:lineRule="exact"/>
        <w:rPr>
          <w:sz w:val="20"/>
          <w:szCs w:val="20"/>
          <w:color w:val="auto"/>
        </w:rPr>
      </w:pPr>
    </w:p>
    <w:p>
      <w:pPr>
        <w:jc w:val="both"/>
        <w:ind w:right="240" w:firstLine="305"/>
        <w:spacing w:after="0" w:line="257" w:lineRule="auto"/>
        <w:rPr>
          <w:sz w:val="20"/>
          <w:szCs w:val="20"/>
          <w:color w:val="auto"/>
        </w:rPr>
      </w:pPr>
      <w:r>
        <w:rPr>
          <w:rFonts w:ascii="Arial" w:cs="Arial" w:eastAsia="Arial" w:hAnsi="Arial"/>
          <w:sz w:val="17"/>
          <w:szCs w:val="17"/>
          <w:color w:val="auto"/>
        </w:rPr>
        <w:t>Certain of our U.S. subsidiaries are registered as broker-dealers, SEFs or introducing brokers and are subject to the applicable rules and regulations of the SEC and CFTC. These rules contain minimum net capital or other financial resource requirements, as defined in the applicable regulations. These rules may also require a significant part of the registrants’ assets be kept in relatively liquid form. Certain of our foreign subsidiaries are regulated by the Financial</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59" w:name="page60"/>
    <w:bookmarkEnd w:id="5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Conduct Authority in the U.K., the Nederlandsche Bank in the Netherlands, the Japanese Financial Services Agency, the Japanese Securities Dealers Association and other foreign regulators, and must maintain financial resources, as defined in the applicable regulations, in excess of the applicable financial resources requirement. As of June 30, 2019 and December 31, 2018, each of our regulated subsidiaries had maintained sufficient net capital or financial resources to at least satisfy their minimum requirements which in aggregate were $48.0 million and $41.7 million, respectively. We maintain capital balances in these subsidiaries in excess of our minimum requirements in order to satisfy working capital needs and to ensure that we have enough cash on hand to satisfy margin requirements and credit risk, including the excess capital expectations of our clients.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Fails to Deliver/Fails to Receive</w:t>
      </w:r>
    </w:p>
    <w:p>
      <w:pPr>
        <w:spacing w:after="0" w:line="211" w:lineRule="exact"/>
        <w:rPr>
          <w:sz w:val="20"/>
          <w:szCs w:val="20"/>
          <w:color w:val="auto"/>
        </w:rPr>
      </w:pPr>
    </w:p>
    <w:p>
      <w:pPr>
        <w:ind w:firstLine="305"/>
        <w:spacing w:after="0" w:line="255" w:lineRule="auto"/>
        <w:rPr>
          <w:sz w:val="20"/>
          <w:szCs w:val="20"/>
          <w:color w:val="auto"/>
        </w:rPr>
      </w:pPr>
      <w:r>
        <w:rPr>
          <w:rFonts w:ascii="Arial" w:cs="Arial" w:eastAsia="Arial" w:hAnsi="Arial"/>
          <w:sz w:val="17"/>
          <w:szCs w:val="17"/>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Working Capital</w:t>
      </w:r>
    </w:p>
    <w:p>
      <w:pPr>
        <w:spacing w:after="0" w:line="211" w:lineRule="exact"/>
        <w:rPr>
          <w:sz w:val="20"/>
          <w:szCs w:val="20"/>
          <w:color w:val="auto"/>
        </w:rPr>
      </w:pPr>
    </w:p>
    <w:p>
      <w:pPr>
        <w:ind w:right="280" w:firstLine="305"/>
        <w:spacing w:after="0" w:line="291" w:lineRule="auto"/>
        <w:rPr>
          <w:sz w:val="20"/>
          <w:szCs w:val="20"/>
          <w:color w:val="auto"/>
        </w:rPr>
      </w:pPr>
      <w:r>
        <w:rPr>
          <w:rFonts w:ascii="Arial" w:cs="Arial" w:eastAsia="Arial" w:hAnsi="Arial"/>
          <w:sz w:val="15"/>
          <w:szCs w:val="15"/>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from affiliates. Current liabilities consist of payable to brokers and dealers and clearing organizations, accrued compensation, deferred revenue, accounts payable, accrued expenses and other liabilities, employee equity compensation payable, lease liability and payable to affiliates.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 Our working capital as of June 30, 2019 and December 31, 2018 was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398"/>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317"/>
              <w:spacing w:after="0"/>
              <w:rPr>
                <w:sz w:val="20"/>
                <w:szCs w:val="20"/>
                <w:color w:val="auto"/>
              </w:rPr>
            </w:pPr>
            <w:r>
              <w:rPr>
                <w:rFonts w:ascii="Arial" w:cs="Arial" w:eastAsia="Arial" w:hAnsi="Arial"/>
                <w:sz w:val="14"/>
                <w:szCs w:val="14"/>
                <w:b w:val="1"/>
                <w:bCs w:val="1"/>
                <w:color w:val="auto"/>
              </w:rPr>
              <w:t>December</w:t>
            </w:r>
          </w:p>
        </w:tc>
      </w:tr>
      <w:tr>
        <w:trPr>
          <w:trHeight w:val="160"/>
        </w:trPr>
        <w:tc>
          <w:tcPr>
            <w:tcW w:w="59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31, 2018</w:t>
            </w:r>
          </w:p>
        </w:tc>
      </w:tr>
      <w:tr>
        <w:trPr>
          <w:trHeight w:val="132"/>
        </w:trPr>
        <w:tc>
          <w:tcPr>
            <w:tcW w:w="5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20" w:type="dxa"/>
            <w:vAlign w:val="bottom"/>
            <w:gridSpan w:val="4"/>
          </w:tcPr>
          <w:p>
            <w:pPr>
              <w:jc w:val="right"/>
              <w:ind w:right="837"/>
              <w:spacing w:after="0" w:line="133" w:lineRule="exact"/>
              <w:rPr>
                <w:sz w:val="20"/>
                <w:szCs w:val="20"/>
                <w:color w:val="auto"/>
              </w:rPr>
            </w:pPr>
            <w:r>
              <w:rPr>
                <w:rFonts w:ascii="Arial" w:cs="Arial" w:eastAsia="Arial" w:hAnsi="Arial"/>
                <w:sz w:val="14"/>
                <w:szCs w:val="14"/>
                <w:b w:val="1"/>
                <w:bCs w:val="1"/>
                <w:color w:val="auto"/>
              </w:rPr>
              <w:t>(dollars in thousands)</w:t>
            </w: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313,582</w:t>
            </w:r>
          </w:p>
        </w:tc>
        <w:tc>
          <w:tcPr>
            <w:tcW w:w="540" w:type="dxa"/>
            <w:vAlign w:val="bottom"/>
            <w:gridSpan w:val="2"/>
            <w:shd w:val="clear" w:color="auto" w:fill="CCEEFF"/>
          </w:tcPr>
          <w:p>
            <w:pPr>
              <w:jc w:val="right"/>
              <w:ind w:right="86"/>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410,104</w:t>
            </w:r>
          </w:p>
        </w:tc>
      </w:tr>
      <w:tr>
        <w:trPr>
          <w:trHeight w:val="203"/>
        </w:trPr>
        <w:tc>
          <w:tcPr>
            <w:tcW w:w="5980" w:type="dxa"/>
            <w:vAlign w:val="bottom"/>
          </w:tcPr>
          <w:p>
            <w:pPr>
              <w:spacing w:after="0"/>
              <w:rPr>
                <w:sz w:val="20"/>
                <w:szCs w:val="20"/>
                <w:color w:val="auto"/>
              </w:rPr>
            </w:pPr>
            <w:r>
              <w:rPr>
                <w:rFonts w:ascii="Arial" w:cs="Arial" w:eastAsia="Arial" w:hAnsi="Arial"/>
                <w:sz w:val="17"/>
                <w:szCs w:val="17"/>
                <w:color w:val="auto"/>
              </w:rPr>
              <w:t>Restricted cash</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1,200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1,200</w:t>
            </w: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Receivable from brokers and dealers and clearing organizations</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255,250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174,591</w:t>
            </w:r>
          </w:p>
        </w:tc>
      </w:tr>
      <w:tr>
        <w:trPr>
          <w:trHeight w:val="203"/>
        </w:trPr>
        <w:tc>
          <w:tcPr>
            <w:tcW w:w="5980" w:type="dxa"/>
            <w:vAlign w:val="bottom"/>
          </w:tcPr>
          <w:p>
            <w:pPr>
              <w:spacing w:after="0"/>
              <w:rPr>
                <w:sz w:val="20"/>
                <w:szCs w:val="20"/>
                <w:color w:val="auto"/>
              </w:rPr>
            </w:pPr>
            <w:r>
              <w:rPr>
                <w:rFonts w:ascii="Arial" w:cs="Arial" w:eastAsia="Arial" w:hAnsi="Arial"/>
                <w:sz w:val="17"/>
                <w:szCs w:val="17"/>
                <w:color w:val="auto"/>
              </w:rPr>
              <w:t>Deposits with clearing organizations</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13,398</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11,427</w:t>
            </w: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92,854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87,192</w:t>
            </w:r>
          </w:p>
        </w:tc>
      </w:tr>
      <w:tr>
        <w:trPr>
          <w:trHeight w:val="203"/>
        </w:trPr>
        <w:tc>
          <w:tcPr>
            <w:tcW w:w="59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Receivable from affiliates</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2,849</w:t>
            </w:r>
          </w:p>
        </w:tc>
        <w:tc>
          <w:tcPr>
            <w:tcW w:w="3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3,243</w:t>
            </w:r>
          </w:p>
        </w:tc>
      </w:tr>
      <w:tr>
        <w:trPr>
          <w:trHeight w:val="196"/>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679,133</w:t>
            </w:r>
          </w:p>
        </w:tc>
        <w:tc>
          <w:tcPr>
            <w:tcW w:w="3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687,757</w:t>
            </w:r>
          </w:p>
        </w:tc>
      </w:tr>
      <w:tr>
        <w:trPr>
          <w:trHeight w:val="196"/>
        </w:trPr>
        <w:tc>
          <w:tcPr>
            <w:tcW w:w="5980" w:type="dxa"/>
            <w:vAlign w:val="bottom"/>
          </w:tcPr>
          <w:p>
            <w:pPr>
              <w:spacing w:after="0"/>
              <w:rPr>
                <w:sz w:val="20"/>
                <w:szCs w:val="20"/>
                <w:color w:val="auto"/>
              </w:rPr>
            </w:pPr>
            <w:r>
              <w:rPr>
                <w:rFonts w:ascii="Arial" w:cs="Arial" w:eastAsia="Arial" w:hAnsi="Arial"/>
                <w:sz w:val="17"/>
                <w:szCs w:val="17"/>
                <w:color w:val="auto"/>
              </w:rPr>
              <w:t>Payable to brokers and dealers and clearing organizations</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255,163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171,214</w:t>
            </w: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Accrued compensation</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68,622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120,158</w:t>
            </w:r>
          </w:p>
        </w:tc>
      </w:tr>
      <w:tr>
        <w:trPr>
          <w:trHeight w:val="203"/>
        </w:trPr>
        <w:tc>
          <w:tcPr>
            <w:tcW w:w="5980" w:type="dxa"/>
            <w:vAlign w:val="bottom"/>
          </w:tcPr>
          <w:p>
            <w:pPr>
              <w:spacing w:after="0"/>
              <w:rPr>
                <w:sz w:val="20"/>
                <w:szCs w:val="20"/>
                <w:color w:val="auto"/>
              </w:rPr>
            </w:pPr>
            <w:r>
              <w:rPr>
                <w:rFonts w:ascii="Arial" w:cs="Arial" w:eastAsia="Arial" w:hAnsi="Arial"/>
                <w:sz w:val="17"/>
                <w:szCs w:val="17"/>
                <w:color w:val="auto"/>
              </w:rPr>
              <w:t>Deferred revenue</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25,270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27,883</w:t>
            </w: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accrued expenses and other liabilities</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31,196</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42,548</w:t>
            </w:r>
          </w:p>
        </w:tc>
      </w:tr>
      <w:tr>
        <w:trPr>
          <w:trHeight w:val="203"/>
        </w:trPr>
        <w:tc>
          <w:tcPr>
            <w:tcW w:w="5980" w:type="dxa"/>
            <w:vAlign w:val="bottom"/>
          </w:tcPr>
          <w:p>
            <w:pPr>
              <w:spacing w:after="0"/>
              <w:rPr>
                <w:sz w:val="20"/>
                <w:szCs w:val="20"/>
                <w:color w:val="auto"/>
              </w:rPr>
            </w:pPr>
            <w:r>
              <w:rPr>
                <w:rFonts w:ascii="Arial" w:cs="Arial" w:eastAsia="Arial" w:hAnsi="Arial"/>
                <w:sz w:val="17"/>
                <w:szCs w:val="17"/>
                <w:color w:val="auto"/>
              </w:rPr>
              <w:t>Employee equity compensation payable</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24,187</w:t>
            </w: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Lease liability</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5980" w:type="dxa"/>
            <w:vAlign w:val="bottom"/>
          </w:tcPr>
          <w:p>
            <w:pPr>
              <w:spacing w:after="0"/>
              <w:rPr>
                <w:sz w:val="20"/>
                <w:szCs w:val="20"/>
                <w:color w:val="auto"/>
              </w:rPr>
            </w:pPr>
            <w:r>
              <w:rPr>
                <w:rFonts w:ascii="Arial" w:cs="Arial" w:eastAsia="Arial" w:hAnsi="Arial"/>
                <w:sz w:val="17"/>
                <w:szCs w:val="17"/>
                <w:color w:val="auto"/>
              </w:rPr>
              <w:t>Payable to affiliates</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6,004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5,009</w:t>
            </w: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Tax receivable agreement liability</w:t>
            </w: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7,222</w:t>
            </w:r>
          </w:p>
        </w:tc>
        <w:tc>
          <w:tcPr>
            <w:tcW w:w="3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r>
      <w:tr>
        <w:trPr>
          <w:trHeight w:val="196"/>
        </w:trPr>
        <w:tc>
          <w:tcPr>
            <w:tcW w:w="59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Current liabilities</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402,462</w:t>
            </w:r>
          </w:p>
        </w:tc>
        <w:tc>
          <w:tcPr>
            <w:tcW w:w="3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390,999</w:t>
            </w:r>
          </w:p>
        </w:tc>
      </w:tr>
      <w:tr>
        <w:trPr>
          <w:trHeight w:val="201"/>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Working capital</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276,671</w:t>
            </w: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296,758</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assets</w:t>
      </w:r>
    </w:p>
    <w:p>
      <w:pPr>
        <w:spacing w:after="0" w:line="211" w:lineRule="exact"/>
        <w:rPr>
          <w:sz w:val="20"/>
          <w:szCs w:val="20"/>
          <w:color w:val="auto"/>
        </w:rPr>
      </w:pPr>
    </w:p>
    <w:p>
      <w:pPr>
        <w:ind w:right="280" w:firstLine="305"/>
        <w:spacing w:after="0" w:line="305" w:lineRule="auto"/>
        <w:rPr>
          <w:sz w:val="20"/>
          <w:szCs w:val="20"/>
          <w:color w:val="auto"/>
        </w:rPr>
      </w:pPr>
      <w:r>
        <w:rPr>
          <w:rFonts w:ascii="Arial" w:cs="Arial" w:eastAsia="Arial" w:hAnsi="Arial"/>
          <w:sz w:val="16"/>
          <w:szCs w:val="16"/>
          <w:color w:val="auto"/>
        </w:rPr>
        <w:t>Current assets decreased to $679.1 million as of June 30, 2019 from $687.8 million as of December 31, 2018 due to a $100.0 million cash distribution made by TWM LLC on April 3, 2019 in connection with the IPO. In addition, there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60" w:name="page61"/>
    <w:bookmarkEnd w:id="6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was an increase in receivable from brokers and dealers and clearing organizations resulting from a higher number of fails to deliver as a result of increased unsettled wholesale platform transactions.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liabilities</w:t>
      </w:r>
    </w:p>
    <w:p>
      <w:pPr>
        <w:spacing w:after="0" w:line="211" w:lineRule="exact"/>
        <w:rPr>
          <w:sz w:val="20"/>
          <w:szCs w:val="20"/>
          <w:color w:val="auto"/>
        </w:rPr>
      </w:pPr>
    </w:p>
    <w:p>
      <w:pPr>
        <w:ind w:right="100" w:firstLine="305"/>
        <w:spacing w:after="0" w:line="257" w:lineRule="auto"/>
        <w:rPr>
          <w:sz w:val="20"/>
          <w:szCs w:val="20"/>
          <w:color w:val="auto"/>
        </w:rPr>
      </w:pPr>
      <w:r>
        <w:rPr>
          <w:rFonts w:ascii="Arial" w:cs="Arial" w:eastAsia="Arial" w:hAnsi="Arial"/>
          <w:sz w:val="17"/>
          <w:szCs w:val="17"/>
          <w:color w:val="auto"/>
        </w:rPr>
        <w:t>Current liabilities increased to $402.5 million as of June 30, 2019 from $391.0 million as of December 31, 2018 due to an increase in payable to brokers and dealers and clearing organizations resulting from a higher number of fails to receive as a result of increased unsettled wholesale platform transactions. In addition, there was a decrease in accrued compensation and employee equity compensation payments as a result of annual payments.</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See “—Liquidity and Capital Resources—Factors Influencing Our Liquidity and Capital Resources—Capital Requirements.”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cash flows for the six months ended June 30, 2019 and 2018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9"/>
              </w:rPr>
              <w:t>Successor</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0"/>
              </w:rPr>
              <w:t>Predecessor</w:t>
            </w:r>
          </w:p>
        </w:tc>
      </w:tr>
      <w:tr>
        <w:trPr>
          <w:trHeight w:val="112"/>
        </w:trPr>
        <w:tc>
          <w:tcPr>
            <w:tcW w:w="618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jc w:val="center"/>
              <w:ind w:right="166"/>
              <w:spacing w:after="0" w:line="113" w:lineRule="exact"/>
              <w:rPr>
                <w:sz w:val="20"/>
                <w:szCs w:val="20"/>
                <w:color w:val="auto"/>
              </w:rPr>
            </w:pPr>
            <w:r>
              <w:rPr>
                <w:rFonts w:ascii="Arial" w:cs="Arial" w:eastAsia="Arial" w:hAnsi="Arial"/>
                <w:sz w:val="12"/>
                <w:szCs w:val="12"/>
                <w:b w:val="1"/>
                <w:bCs w:val="1"/>
                <w:color w:val="auto"/>
                <w:w w:val="99"/>
              </w:rPr>
              <w:t>Six</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center"/>
              <w:ind w:right="245"/>
              <w:spacing w:after="0" w:line="113" w:lineRule="exact"/>
              <w:rPr>
                <w:sz w:val="20"/>
                <w:szCs w:val="20"/>
                <w:color w:val="auto"/>
              </w:rPr>
            </w:pPr>
            <w:r>
              <w:rPr>
                <w:rFonts w:ascii="Arial" w:cs="Arial" w:eastAsia="Arial" w:hAnsi="Arial"/>
                <w:sz w:val="12"/>
                <w:szCs w:val="12"/>
                <w:b w:val="1"/>
                <w:bCs w:val="1"/>
                <w:color w:val="auto"/>
                <w:w w:val="99"/>
              </w:rPr>
              <w:t>Six</w:t>
            </w:r>
          </w:p>
        </w:tc>
        <w:tc>
          <w:tcPr>
            <w:tcW w:w="20" w:type="dxa"/>
            <w:vAlign w:val="bottom"/>
          </w:tcPr>
          <w:p>
            <w:pPr>
              <w:spacing w:after="0"/>
              <w:rPr>
                <w:sz w:val="9"/>
                <w:szCs w:val="9"/>
                <w:color w:val="auto"/>
              </w:rPr>
            </w:pPr>
          </w:p>
        </w:tc>
      </w:tr>
      <w:tr>
        <w:trPr>
          <w:trHeight w:val="140"/>
        </w:trPr>
        <w:tc>
          <w:tcPr>
            <w:tcW w:w="6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w w:val="88"/>
              </w:rPr>
              <w:t>Months</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center"/>
              <w:ind w:right="360"/>
              <w:spacing w:after="0" w:line="140" w:lineRule="exact"/>
              <w:rPr>
                <w:sz w:val="20"/>
                <w:szCs w:val="20"/>
                <w:color w:val="auto"/>
              </w:rPr>
            </w:pPr>
            <w:r>
              <w:rPr>
                <w:rFonts w:ascii="Arial" w:cs="Arial" w:eastAsia="Arial" w:hAnsi="Arial"/>
                <w:sz w:val="14"/>
                <w:szCs w:val="14"/>
                <w:b w:val="1"/>
                <w:bCs w:val="1"/>
                <w:color w:val="auto"/>
                <w:w w:val="88"/>
              </w:rPr>
              <w:t>Months</w:t>
            </w:r>
          </w:p>
        </w:tc>
      </w:tr>
      <w:tr>
        <w:trPr>
          <w:trHeight w:val="140"/>
        </w:trPr>
        <w:tc>
          <w:tcPr>
            <w:tcW w:w="6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0"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center"/>
              <w:ind w:right="340"/>
              <w:spacing w:after="0" w:line="140" w:lineRule="exact"/>
              <w:rPr>
                <w:sz w:val="20"/>
                <w:szCs w:val="20"/>
                <w:color w:val="auto"/>
              </w:rPr>
            </w:pPr>
            <w:r>
              <w:rPr>
                <w:rFonts w:ascii="Arial" w:cs="Arial" w:eastAsia="Arial" w:hAnsi="Arial"/>
                <w:sz w:val="14"/>
                <w:szCs w:val="14"/>
                <w:b w:val="1"/>
                <w:bCs w:val="1"/>
                <w:color w:val="auto"/>
                <w:w w:val="88"/>
              </w:rPr>
              <w:t>Ended</w:t>
            </w:r>
          </w:p>
        </w:tc>
      </w:tr>
      <w:tr>
        <w:trPr>
          <w:trHeight w:val="140"/>
        </w:trPr>
        <w:tc>
          <w:tcPr>
            <w:tcW w:w="6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60"/>
              <w:spacing w:after="0" w:line="140"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center"/>
              <w:ind w:right="400"/>
              <w:spacing w:after="0" w:line="140" w:lineRule="exact"/>
              <w:rPr>
                <w:sz w:val="20"/>
                <w:szCs w:val="20"/>
                <w:color w:val="auto"/>
              </w:rPr>
            </w:pPr>
            <w:r>
              <w:rPr>
                <w:rFonts w:ascii="Arial" w:cs="Arial" w:eastAsia="Arial" w:hAnsi="Arial"/>
                <w:sz w:val="14"/>
                <w:szCs w:val="14"/>
                <w:b w:val="1"/>
                <w:bCs w:val="1"/>
                <w:color w:val="auto"/>
                <w:w w:val="85"/>
              </w:rPr>
              <w:t>June 30,</w:t>
            </w:r>
          </w:p>
        </w:tc>
      </w:tr>
      <w:tr>
        <w:trPr>
          <w:trHeight w:val="160"/>
        </w:trPr>
        <w:tc>
          <w:tcPr>
            <w:tcW w:w="6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66"/>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65"/>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3"/>
                <w:szCs w:val="13"/>
                <w:color w:val="auto"/>
              </w:rPr>
            </w:pPr>
          </w:p>
        </w:tc>
      </w:tr>
      <w:tr>
        <w:trPr>
          <w:trHeight w:val="132"/>
        </w:trPr>
        <w:tc>
          <w:tcPr>
            <w:tcW w:w="6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4"/>
          </w:tcPr>
          <w:p>
            <w:pPr>
              <w:jc w:val="right"/>
              <w:spacing w:after="0" w:line="133"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Net cash flows provided by operating activities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76,973</w:t>
            </w:r>
          </w:p>
        </w:tc>
        <w:tc>
          <w:tcPr>
            <w:tcW w:w="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86"/>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65,027</w:t>
            </w:r>
          </w:p>
        </w:tc>
        <w:tc>
          <w:tcPr>
            <w:tcW w:w="20" w:type="dxa"/>
            <w:vAlign w:val="bottom"/>
          </w:tcPr>
          <w:p>
            <w:pPr>
              <w:spacing w:after="0"/>
              <w:rPr>
                <w:sz w:val="17"/>
                <w:szCs w:val="17"/>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7"/>
                <w:szCs w:val="17"/>
                <w:color w:val="auto"/>
              </w:rPr>
              <w:t>Net cash flows (used in) investing activities</w:t>
            </w:r>
          </w:p>
        </w:tc>
        <w:tc>
          <w:tcPr>
            <w:tcW w:w="24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(17,707)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(15,890)</w:t>
            </w:r>
          </w:p>
        </w:tc>
        <w:tc>
          <w:tcPr>
            <w:tcW w:w="2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Net cash flows (used in) financing activities</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(155,650)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(80,000)</w:t>
            </w:r>
          </w:p>
        </w:tc>
        <w:tc>
          <w:tcPr>
            <w:tcW w:w="20" w:type="dxa"/>
            <w:vAlign w:val="bottom"/>
          </w:tcPr>
          <w:p>
            <w:pPr>
              <w:spacing w:after="0"/>
              <w:rPr>
                <w:sz w:val="17"/>
                <w:szCs w:val="17"/>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7"/>
                <w:szCs w:val="17"/>
                <w:color w:val="auto"/>
              </w:rPr>
              <w:t>Effect of exchange rate changes on cash and cash equivalents</w:t>
            </w:r>
          </w:p>
        </w:tc>
        <w:tc>
          <w:tcPr>
            <w:tcW w:w="24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(138)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(1,198)</w:t>
            </w:r>
          </w:p>
        </w:tc>
        <w:tc>
          <w:tcPr>
            <w:tcW w:w="20" w:type="dxa"/>
            <w:vAlign w:val="bottom"/>
          </w:tcPr>
          <w:p>
            <w:pPr>
              <w:spacing w:after="0"/>
              <w:rPr>
                <w:sz w:val="17"/>
                <w:szCs w:val="17"/>
                <w:color w:val="auto"/>
              </w:rPr>
            </w:pPr>
          </w:p>
        </w:tc>
      </w:tr>
      <w:tr>
        <w:trPr>
          <w:trHeight w:val="201"/>
        </w:trPr>
        <w:tc>
          <w:tcPr>
            <w:tcW w:w="6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decrease in cash and cash equivalents</w:t>
            </w: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(96,522)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(32,061)</w:t>
            </w:r>
          </w:p>
        </w:tc>
        <w:tc>
          <w:tcPr>
            <w:tcW w:w="20" w:type="dxa"/>
            <w:vAlign w:val="bottom"/>
          </w:tcPr>
          <w:p>
            <w:pPr>
              <w:spacing w:after="0"/>
              <w:rPr>
                <w:sz w:val="17"/>
                <w:szCs w:val="17"/>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11" w:lineRule="exact"/>
        <w:rPr>
          <w:sz w:val="20"/>
          <w:szCs w:val="20"/>
          <w:color w:val="auto"/>
        </w:rPr>
      </w:pPr>
    </w:p>
    <w:p>
      <w:pPr>
        <w:ind w:right="20" w:firstLine="305"/>
        <w:spacing w:after="0" w:line="257" w:lineRule="auto"/>
        <w:rPr>
          <w:sz w:val="20"/>
          <w:szCs w:val="20"/>
          <w:color w:val="auto"/>
        </w:rPr>
      </w:pPr>
      <w:r>
        <w:rPr>
          <w:rFonts w:ascii="Arial" w:cs="Arial" w:eastAsia="Arial" w:hAnsi="Arial"/>
          <w:sz w:val="17"/>
          <w:szCs w:val="17"/>
          <w:color w:val="auto"/>
        </w:rPr>
        <w:t>Operating activities consist primarily of net income adjusted for noncash items that include depreciation and amortization, stock-based compensation expense and contingent consideration. Cash flows from operating activities can fluctuate significantly from period-to-period as working capital needs and the timing of payments for accrued compensation (primarily in the first quarter) and other items impact reported cash flows.</w:t>
      </w:r>
    </w:p>
    <w:p>
      <w:pPr>
        <w:spacing w:after="0" w:line="179" w:lineRule="exact"/>
        <w:rPr>
          <w:sz w:val="20"/>
          <w:szCs w:val="20"/>
          <w:color w:val="auto"/>
        </w:rPr>
      </w:pPr>
    </w:p>
    <w:p>
      <w:pPr>
        <w:ind w:right="160" w:firstLine="305"/>
        <w:spacing w:after="0" w:line="273" w:lineRule="auto"/>
        <w:rPr>
          <w:sz w:val="20"/>
          <w:szCs w:val="20"/>
          <w:color w:val="auto"/>
        </w:rPr>
      </w:pPr>
      <w:r>
        <w:rPr>
          <w:rFonts w:ascii="Arial" w:cs="Arial" w:eastAsia="Arial" w:hAnsi="Arial"/>
          <w:sz w:val="17"/>
          <w:szCs w:val="17"/>
          <w:color w:val="auto"/>
        </w:rPr>
        <w:t>Net cash provided by operating activities for the six months ended June 30, 2019 was $77.0 million, an increase of 18.4% over 2018, and primarily driven by an increase in gross revenue.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11" w:lineRule="exact"/>
        <w:rPr>
          <w:sz w:val="20"/>
          <w:szCs w:val="20"/>
          <w:color w:val="auto"/>
        </w:rPr>
      </w:pPr>
    </w:p>
    <w:p>
      <w:pPr>
        <w:ind w:right="340" w:firstLine="305"/>
        <w:spacing w:after="0" w:line="273" w:lineRule="auto"/>
        <w:rPr>
          <w:sz w:val="20"/>
          <w:szCs w:val="20"/>
          <w:color w:val="auto"/>
        </w:rPr>
      </w:pPr>
      <w:r>
        <w:rPr>
          <w:rFonts w:ascii="Arial" w:cs="Arial" w:eastAsia="Arial" w:hAnsi="Arial"/>
          <w:sz w:val="17"/>
          <w:szCs w:val="17"/>
          <w:color w:val="auto"/>
        </w:rPr>
        <w:t>Investing activities consist of software development costs, investments in technology hardware, purchases of equipment and other tangible assets, business acquisitions and investments.</w:t>
      </w:r>
    </w:p>
    <w:p>
      <w:pPr>
        <w:spacing w:after="0" w:line="165" w:lineRule="exact"/>
        <w:rPr>
          <w:sz w:val="20"/>
          <w:szCs w:val="20"/>
          <w:color w:val="auto"/>
        </w:rPr>
      </w:pPr>
    </w:p>
    <w:p>
      <w:pPr>
        <w:ind w:right="40" w:firstLine="305"/>
        <w:spacing w:after="0" w:line="255" w:lineRule="auto"/>
        <w:rPr>
          <w:sz w:val="20"/>
          <w:szCs w:val="20"/>
          <w:color w:val="auto"/>
        </w:rPr>
      </w:pPr>
      <w:r>
        <w:rPr>
          <w:rFonts w:ascii="Arial" w:cs="Arial" w:eastAsia="Arial" w:hAnsi="Arial"/>
          <w:sz w:val="17"/>
          <w:szCs w:val="17"/>
          <w:color w:val="auto"/>
        </w:rPr>
        <w:t>Net cash used in investing activities was $17.7 million for the six months ended June 30, 2019, which consisted of $13.9 million of capitalized software development costs and $3.8 million of purchases of furniture, equipment, purchased software and leasehold improvements. Net cash used in investing activities was $15.9 million for the six months ended June 30, 2018, which consisted of $12.8 million of capitalized software development costs and $3.1 million of purchases of furniture, equipment, purchased software and leasehold improvements.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11" w:lineRule="exact"/>
        <w:rPr>
          <w:sz w:val="20"/>
          <w:szCs w:val="20"/>
          <w:color w:val="auto"/>
        </w:rPr>
      </w:pPr>
    </w:p>
    <w:p>
      <w:pPr>
        <w:ind w:right="120" w:firstLine="305"/>
        <w:spacing w:after="0" w:line="273" w:lineRule="auto"/>
        <w:rPr>
          <w:sz w:val="20"/>
          <w:szCs w:val="20"/>
          <w:color w:val="auto"/>
        </w:rPr>
      </w:pPr>
      <w:r>
        <w:rPr>
          <w:rFonts w:ascii="Arial" w:cs="Arial" w:eastAsia="Arial" w:hAnsi="Arial"/>
          <w:sz w:val="17"/>
          <w:szCs w:val="17"/>
          <w:color w:val="auto"/>
        </w:rPr>
        <w:t>Financing activities consist of cash dividends to our Class A common stockholders and Class B common stockholders and cash distributions from TWM LLC to the Original LLC Owners during the pre-IPO period.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61" w:name="page62"/>
    <w:bookmarkEnd w:id="6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firstLine="305"/>
        <w:spacing w:after="0" w:line="254" w:lineRule="auto"/>
        <w:rPr>
          <w:sz w:val="20"/>
          <w:szCs w:val="20"/>
          <w:color w:val="auto"/>
        </w:rPr>
      </w:pPr>
      <w:r>
        <w:rPr>
          <w:rFonts w:ascii="Arial" w:cs="Arial" w:eastAsia="Arial" w:hAnsi="Arial"/>
          <w:sz w:val="17"/>
          <w:szCs w:val="17"/>
          <w:color w:val="auto"/>
        </w:rPr>
        <w:t>Net cash used in financing activities for the six months ended June 30, 2019 was $155.7 million, which consisted of purchases of LLC Interests of $1,161.3 million from certain of the Bank Stockholders using the net proceeds from the IPO, cash dividends to our Class A common stockholders and Class B common stockholders of $11.4 million and capital distributions to the Original LLC Owners of $131.9 million, including a one-time distribution of $100.0 million paid in connection with the IPO. Net cash used in financing activities for the six months ended June 30, 2018 was $80.0 million, which consisted of capital distributions to the Original LLC Owners.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Free Cash Flow</w:t>
      </w:r>
    </w:p>
    <w:p>
      <w:pPr>
        <w:spacing w:after="0" w:line="211" w:lineRule="exact"/>
        <w:rPr>
          <w:sz w:val="20"/>
          <w:szCs w:val="20"/>
          <w:color w:val="auto"/>
        </w:rPr>
      </w:pPr>
    </w:p>
    <w:p>
      <w:pPr>
        <w:ind w:right="280" w:firstLine="305"/>
        <w:spacing w:after="0" w:line="261" w:lineRule="auto"/>
        <w:rPr>
          <w:sz w:val="20"/>
          <w:szCs w:val="20"/>
          <w:color w:val="auto"/>
        </w:rPr>
      </w:pPr>
      <w:r>
        <w:rPr>
          <w:rFonts w:ascii="Arial" w:cs="Arial" w:eastAsia="Arial" w:hAnsi="Arial"/>
          <w:sz w:val="17"/>
          <w:szCs w:val="17"/>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176" w:lineRule="exact"/>
        <w:rPr>
          <w:sz w:val="20"/>
          <w:szCs w:val="20"/>
          <w:color w:val="auto"/>
        </w:rPr>
      </w:pPr>
    </w:p>
    <w:p>
      <w:pPr>
        <w:jc w:val="both"/>
        <w:ind w:right="80" w:firstLine="305"/>
        <w:spacing w:after="0" w:line="261" w:lineRule="auto"/>
        <w:rPr>
          <w:sz w:val="20"/>
          <w:szCs w:val="20"/>
          <w:color w:val="auto"/>
        </w:rPr>
      </w:pPr>
      <w:r>
        <w:rPr>
          <w:rFonts w:ascii="Arial" w:cs="Arial" w:eastAsia="Arial" w:hAnsi="Arial"/>
          <w:sz w:val="17"/>
          <w:szCs w:val="17"/>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176" w:lineRule="exact"/>
        <w:rPr>
          <w:sz w:val="20"/>
          <w:szCs w:val="20"/>
          <w:color w:val="auto"/>
        </w:rPr>
      </w:pPr>
    </w:p>
    <w:p>
      <w:pPr>
        <w:ind w:right="20" w:firstLine="305"/>
        <w:spacing w:after="0" w:line="275" w:lineRule="auto"/>
        <w:rPr>
          <w:sz w:val="20"/>
          <w:szCs w:val="20"/>
          <w:color w:val="auto"/>
        </w:rPr>
      </w:pPr>
      <w:r>
        <w:rPr>
          <w:rFonts w:ascii="Arial" w:cs="Arial" w:eastAsia="Arial" w:hAnsi="Arial"/>
          <w:sz w:val="16"/>
          <w:szCs w:val="16"/>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166" w:lineRule="exact"/>
        <w:rPr>
          <w:sz w:val="20"/>
          <w:szCs w:val="20"/>
          <w:color w:val="auto"/>
        </w:rPr>
      </w:pPr>
    </w:p>
    <w:p>
      <w:pPr>
        <w:ind w:right="500" w:firstLine="305"/>
        <w:spacing w:after="0" w:line="273" w:lineRule="auto"/>
        <w:rPr>
          <w:sz w:val="20"/>
          <w:szCs w:val="20"/>
          <w:color w:val="auto"/>
        </w:rPr>
      </w:pPr>
      <w:r>
        <w:rPr>
          <w:rFonts w:ascii="Arial" w:cs="Arial" w:eastAsia="Arial" w:hAnsi="Arial"/>
          <w:sz w:val="17"/>
          <w:szCs w:val="17"/>
          <w:color w:val="auto"/>
        </w:rPr>
        <w:t>The table set forth below presents a reconciliation of our cash flow from operating activities to Free Cash Flow for the six months ended June 30, 2019 and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9"/>
              </w:rPr>
              <w:t>Successor</w:t>
            </w:r>
          </w:p>
        </w:tc>
        <w:tc>
          <w:tcPr>
            <w:tcW w:w="2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Predecessor</w:t>
            </w:r>
          </w:p>
        </w:tc>
      </w:tr>
      <w:tr>
        <w:trPr>
          <w:trHeight w:val="112"/>
        </w:trPr>
        <w:tc>
          <w:tcPr>
            <w:tcW w:w="5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jc w:val="center"/>
              <w:ind w:right="167"/>
              <w:spacing w:after="0" w:line="113" w:lineRule="exact"/>
              <w:rPr>
                <w:sz w:val="20"/>
                <w:szCs w:val="20"/>
                <w:color w:val="auto"/>
              </w:rPr>
            </w:pPr>
            <w:r>
              <w:rPr>
                <w:rFonts w:ascii="Arial" w:cs="Arial" w:eastAsia="Arial" w:hAnsi="Arial"/>
                <w:sz w:val="12"/>
                <w:szCs w:val="12"/>
                <w:b w:val="1"/>
                <w:bCs w:val="1"/>
                <w:color w:val="auto"/>
                <w:w w:val="99"/>
              </w:rPr>
              <w:t>Six</w:t>
            </w:r>
          </w:p>
        </w:tc>
        <w:tc>
          <w:tcPr>
            <w:tcW w:w="16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jc w:val="center"/>
              <w:ind w:right="126"/>
              <w:spacing w:after="0" w:line="113" w:lineRule="exact"/>
              <w:rPr>
                <w:sz w:val="20"/>
                <w:szCs w:val="20"/>
                <w:color w:val="auto"/>
              </w:rPr>
            </w:pPr>
            <w:r>
              <w:rPr>
                <w:rFonts w:ascii="Arial" w:cs="Arial" w:eastAsia="Arial" w:hAnsi="Arial"/>
                <w:sz w:val="12"/>
                <w:szCs w:val="12"/>
                <w:b w:val="1"/>
                <w:bCs w:val="1"/>
                <w:color w:val="auto"/>
                <w:w w:val="99"/>
              </w:rPr>
              <w:t>Six</w:t>
            </w:r>
          </w:p>
        </w:tc>
        <w:tc>
          <w:tcPr>
            <w:tcW w:w="20" w:type="dxa"/>
            <w:vAlign w:val="bottom"/>
          </w:tcPr>
          <w:p>
            <w:pPr>
              <w:spacing w:after="0"/>
              <w:rPr>
                <w:sz w:val="9"/>
                <w:szCs w:val="9"/>
                <w:color w:val="auto"/>
              </w:rPr>
            </w:pPr>
          </w:p>
        </w:tc>
      </w:tr>
      <w:tr>
        <w:trPr>
          <w:trHeight w:val="140"/>
        </w:trPr>
        <w:tc>
          <w:tcPr>
            <w:tcW w:w="5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80"/>
              <w:spacing w:after="0" w:line="140" w:lineRule="exact"/>
              <w:rPr>
                <w:sz w:val="20"/>
                <w:szCs w:val="20"/>
                <w:color w:val="auto"/>
              </w:rPr>
            </w:pPr>
            <w:r>
              <w:rPr>
                <w:rFonts w:ascii="Arial" w:cs="Arial" w:eastAsia="Arial" w:hAnsi="Arial"/>
                <w:sz w:val="14"/>
                <w:szCs w:val="14"/>
                <w:b w:val="1"/>
                <w:bCs w:val="1"/>
                <w:color w:val="auto"/>
                <w:w w:val="88"/>
              </w:rPr>
              <w:t>Months</w:t>
            </w:r>
          </w:p>
        </w:tc>
        <w:tc>
          <w:tcPr>
            <w:tcW w:w="200" w:type="dxa"/>
            <w:vAlign w:val="bottom"/>
          </w:tcPr>
          <w:p>
            <w:pPr>
              <w:spacing w:after="0"/>
              <w:rPr>
                <w:sz w:val="12"/>
                <w:szCs w:val="12"/>
                <w:color w:val="auto"/>
              </w:rPr>
            </w:pPr>
          </w:p>
        </w:tc>
        <w:tc>
          <w:tcPr>
            <w:tcW w:w="108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88"/>
              </w:rPr>
              <w:t>Months</w:t>
            </w:r>
          </w:p>
        </w:tc>
      </w:tr>
      <w:tr>
        <w:trPr>
          <w:trHeight w:val="140"/>
        </w:trPr>
        <w:tc>
          <w:tcPr>
            <w:tcW w:w="5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80"/>
              <w:spacing w:after="0" w:line="140" w:lineRule="exact"/>
              <w:rPr>
                <w:sz w:val="20"/>
                <w:szCs w:val="20"/>
                <w:color w:val="auto"/>
              </w:rPr>
            </w:pPr>
            <w:r>
              <w:rPr>
                <w:rFonts w:ascii="Arial" w:cs="Arial" w:eastAsia="Arial" w:hAnsi="Arial"/>
                <w:sz w:val="14"/>
                <w:szCs w:val="14"/>
                <w:b w:val="1"/>
                <w:bCs w:val="1"/>
                <w:color w:val="auto"/>
                <w:w w:val="84"/>
              </w:rPr>
              <w:t>Ended</w:t>
            </w:r>
          </w:p>
        </w:tc>
        <w:tc>
          <w:tcPr>
            <w:tcW w:w="200" w:type="dxa"/>
            <w:vAlign w:val="bottom"/>
          </w:tcPr>
          <w:p>
            <w:pPr>
              <w:spacing w:after="0"/>
              <w:rPr>
                <w:sz w:val="12"/>
                <w:szCs w:val="12"/>
                <w:color w:val="auto"/>
              </w:rPr>
            </w:pPr>
          </w:p>
        </w:tc>
        <w:tc>
          <w:tcPr>
            <w:tcW w:w="108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8"/>
              </w:rPr>
              <w:t>Ended</w:t>
            </w:r>
          </w:p>
        </w:tc>
      </w:tr>
      <w:tr>
        <w:trPr>
          <w:trHeight w:val="140"/>
        </w:trPr>
        <w:tc>
          <w:tcPr>
            <w:tcW w:w="5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420"/>
              <w:spacing w:after="0" w:line="140"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2"/>
                <w:szCs w:val="12"/>
                <w:color w:val="auto"/>
              </w:rPr>
            </w:pPr>
          </w:p>
        </w:tc>
        <w:tc>
          <w:tcPr>
            <w:tcW w:w="1080" w:type="dxa"/>
            <w:vAlign w:val="bottom"/>
            <w:gridSpan w:val="2"/>
          </w:tcPr>
          <w:p>
            <w:pPr>
              <w:jc w:val="center"/>
              <w:ind w:right="240"/>
              <w:spacing w:after="0" w:line="140" w:lineRule="exact"/>
              <w:rPr>
                <w:sz w:val="20"/>
                <w:szCs w:val="20"/>
                <w:color w:val="auto"/>
              </w:rPr>
            </w:pPr>
            <w:r>
              <w:rPr>
                <w:rFonts w:ascii="Arial" w:cs="Arial" w:eastAsia="Arial" w:hAnsi="Arial"/>
                <w:sz w:val="14"/>
                <w:szCs w:val="14"/>
                <w:b w:val="1"/>
                <w:bCs w:val="1"/>
                <w:color w:val="auto"/>
                <w:w w:val="85"/>
              </w:rPr>
              <w:t>June 30,</w:t>
            </w:r>
          </w:p>
        </w:tc>
      </w:tr>
      <w:tr>
        <w:trPr>
          <w:trHeight w:val="160"/>
        </w:trPr>
        <w:tc>
          <w:tcPr>
            <w:tcW w:w="5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47"/>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3"/>
                <w:szCs w:val="13"/>
                <w:color w:val="auto"/>
              </w:rPr>
            </w:pPr>
          </w:p>
        </w:tc>
      </w:tr>
      <w:tr>
        <w:trPr>
          <w:trHeight w:val="132"/>
        </w:trPr>
        <w:tc>
          <w:tcPr>
            <w:tcW w:w="5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80" w:type="dxa"/>
            <w:vAlign w:val="bottom"/>
            <w:gridSpan w:val="4"/>
          </w:tcPr>
          <w:p>
            <w:pPr>
              <w:jc w:val="right"/>
              <w:ind w:right="866"/>
              <w:spacing w:after="0" w:line="133"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Cash flow from operating activities</w:t>
            </w:r>
          </w:p>
        </w:tc>
        <w:tc>
          <w:tcPr>
            <w:tcW w:w="106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76,973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65,027</w:t>
            </w:r>
          </w:p>
        </w:tc>
        <w:tc>
          <w:tcPr>
            <w:tcW w:w="20" w:type="dxa"/>
            <w:vAlign w:val="bottom"/>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7"/>
                <w:szCs w:val="17"/>
                <w:color w:val="auto"/>
              </w:rPr>
              <w:t>Less: Capitalization of software development costs</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(13,914)</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(12,765)</w:t>
            </w:r>
          </w:p>
        </w:tc>
        <w:tc>
          <w:tcPr>
            <w:tcW w:w="20" w:type="dxa"/>
            <w:vAlign w:val="bottom"/>
          </w:tcPr>
          <w:p>
            <w:pPr>
              <w:spacing w:after="0"/>
              <w:rPr>
                <w:sz w:val="17"/>
                <w:szCs w:val="17"/>
                <w:color w:val="auto"/>
              </w:rPr>
            </w:pP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Less: Purchases of furniture, equipment and leasehold improvements</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(3,793)</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(3,125)</w:t>
            </w:r>
          </w:p>
        </w:tc>
        <w:tc>
          <w:tcPr>
            <w:tcW w:w="20" w:type="dxa"/>
            <w:vAlign w:val="bottom"/>
          </w:tcPr>
          <w:p>
            <w:pPr>
              <w:spacing w:after="0"/>
              <w:rPr>
                <w:sz w:val="17"/>
                <w:szCs w:val="17"/>
                <w:color w:val="auto"/>
              </w:rPr>
            </w:pPr>
          </w:p>
        </w:tc>
      </w:tr>
      <w:tr>
        <w:trPr>
          <w:trHeight w:val="201"/>
        </w:trPr>
        <w:tc>
          <w:tcPr>
            <w:tcW w:w="5520" w:type="dxa"/>
            <w:vAlign w:val="bottom"/>
          </w:tcPr>
          <w:p>
            <w:pPr>
              <w:spacing w:after="0"/>
              <w:rPr>
                <w:sz w:val="20"/>
                <w:szCs w:val="20"/>
                <w:color w:val="auto"/>
              </w:rPr>
            </w:pPr>
            <w:r>
              <w:rPr>
                <w:rFonts w:ascii="Arial" w:cs="Arial" w:eastAsia="Arial" w:hAnsi="Arial"/>
                <w:sz w:val="17"/>
                <w:szCs w:val="17"/>
                <w:color w:val="auto"/>
              </w:rPr>
              <w:t>Free Cash Flow</w:t>
            </w:r>
          </w:p>
        </w:tc>
        <w:tc>
          <w:tcPr>
            <w:tcW w:w="8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59,266</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49,137</w:t>
            </w:r>
          </w:p>
        </w:tc>
        <w:tc>
          <w:tcPr>
            <w:tcW w:w="20" w:type="dxa"/>
            <w:vAlign w:val="bottom"/>
          </w:tcPr>
          <w:p>
            <w:pPr>
              <w:spacing w:after="0"/>
              <w:rPr>
                <w:sz w:val="17"/>
                <w:szCs w:val="17"/>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 Adjusted EBITDA margin, Adjusted Net Income and Adjusted Diluted EPS</w:t>
      </w:r>
    </w:p>
    <w:p>
      <w:pPr>
        <w:spacing w:after="0" w:line="211" w:lineRule="exact"/>
        <w:rPr>
          <w:sz w:val="20"/>
          <w:szCs w:val="20"/>
          <w:color w:val="auto"/>
        </w:rPr>
      </w:pPr>
    </w:p>
    <w:p>
      <w:pPr>
        <w:jc w:val="both"/>
        <w:ind w:right="120" w:firstLine="305"/>
        <w:spacing w:after="0" w:line="285" w:lineRule="auto"/>
        <w:rPr>
          <w:sz w:val="20"/>
          <w:szCs w:val="20"/>
          <w:color w:val="auto"/>
        </w:rPr>
      </w:pPr>
      <w:r>
        <w:rPr>
          <w:rFonts w:ascii="Arial" w:cs="Arial" w:eastAsia="Arial" w:hAnsi="Arial"/>
          <w:sz w:val="16"/>
          <w:szCs w:val="16"/>
          <w:color w:val="auto"/>
        </w:rPr>
        <w:t>In addition to net income and net income attributable to Tradeweb Markets Inc., each presented in accordance with GAAP, we present Adjusted EBITDA and Adjusted EBITDA margin as a measure of our operating performance and Adjusted Net Income and Adjusted Net Income per diluted share (“Adjusted Diluted EPS”) as a measure of our profitability.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Adjusted EBITDA and Adjusted EBITDA margin</w:t>
      </w:r>
    </w:p>
    <w:p>
      <w:pPr>
        <w:spacing w:after="0" w:line="211" w:lineRule="exact"/>
        <w:rPr>
          <w:sz w:val="20"/>
          <w:szCs w:val="20"/>
          <w:color w:val="auto"/>
        </w:rPr>
      </w:pPr>
    </w:p>
    <w:p>
      <w:pPr>
        <w:ind w:right="60" w:firstLine="305"/>
        <w:spacing w:after="0" w:line="255" w:lineRule="auto"/>
        <w:rPr>
          <w:sz w:val="20"/>
          <w:szCs w:val="20"/>
          <w:color w:val="auto"/>
        </w:rPr>
      </w:pPr>
      <w:r>
        <w:rPr>
          <w:rFonts w:ascii="Arial" w:cs="Arial" w:eastAsia="Arial" w:hAnsi="Arial"/>
          <w:sz w:val="17"/>
          <w:szCs w:val="17"/>
          <w:color w:val="auto"/>
        </w:rPr>
        <w:t>Adjusted EBITDA is defined as net income before contingent consideration, net interest income, provision for income taxes and depreciation and amortization, adjusted for the impact of certain other items, including gains and losses from outstanding foreign exchange forward contracts and the revaluation of foreign denominated cash. Adjusted EBITDA margin is defined as Adjusted EBITDA divided by gross revenue for the applicable period. We present Adjusted EBITDA and Adjusted EBITDA margin because we believe they assist investors and analysts in comparing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62" w:name="page63"/>
    <w:bookmarkEnd w:id="6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In addition, we also exclude non-cash stock-based compensation expense associated with the Special Option Award discussed below under “— Critical Accounting Policies and Estimates — Stock-Based Compensation.” We believe it is useful to exclude this stock-based compensation expense because the amount of expense associated with the Special Option Award may not directly correlate to the underlying performance of our business and will vary across periods. Management and our board of directors use Adjusted EBITDA and Adjusted EBITDA margin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Adjusted Net Income and Adjusted Diluted EPS</w:t>
      </w:r>
    </w:p>
    <w:p>
      <w:pPr>
        <w:spacing w:after="0" w:line="211" w:lineRule="exact"/>
        <w:rPr>
          <w:sz w:val="20"/>
          <w:szCs w:val="20"/>
          <w:color w:val="auto"/>
        </w:rPr>
      </w:pPr>
    </w:p>
    <w:p>
      <w:pPr>
        <w:ind w:right="40" w:firstLine="305"/>
        <w:spacing w:after="0" w:line="297" w:lineRule="auto"/>
        <w:rPr>
          <w:sz w:val="20"/>
          <w:szCs w:val="20"/>
          <w:color w:val="auto"/>
        </w:rPr>
      </w:pPr>
      <w:r>
        <w:rPr>
          <w:rFonts w:ascii="Arial" w:cs="Arial" w:eastAsia="Arial" w:hAnsi="Arial"/>
          <w:sz w:val="15"/>
          <w:szCs w:val="15"/>
          <w:color w:val="auto"/>
        </w:rPr>
        <w:t>We present Adjusted Net Income and Adjusted Diluted EPS for Tradeweb Markets Inc. for post-IPO periods and Tradeweb Markets LLC for pre-IPO periods. As discussed below, because Adjusted Net Income and Adjusted Diluted EPS give effect to certain tax related adjustments to reflect an assumed effective tax rate for all periods presented and, for post-IPO periods, assumes all LLC Interests held by non-controlling interests are exchanged for shares of Class A or Class B common stock, we believe that Adjusted Net Income and Adjusted Diluted EPS for Tradeweb Markets Inc. and Tradeweb Markets LLC are comparable.</w:t>
      </w:r>
    </w:p>
    <w:p>
      <w:pPr>
        <w:spacing w:after="0" w:line="153" w:lineRule="exact"/>
        <w:rPr>
          <w:sz w:val="20"/>
          <w:szCs w:val="20"/>
          <w:color w:val="auto"/>
        </w:rPr>
      </w:pPr>
    </w:p>
    <w:p>
      <w:pPr>
        <w:ind w:firstLine="305"/>
        <w:spacing w:after="0" w:line="288" w:lineRule="auto"/>
        <w:rPr>
          <w:sz w:val="20"/>
          <w:szCs w:val="20"/>
          <w:color w:val="auto"/>
        </w:rPr>
      </w:pPr>
      <w:r>
        <w:rPr>
          <w:rFonts w:ascii="Arial" w:cs="Arial" w:eastAsia="Arial" w:hAnsi="Arial"/>
          <w:sz w:val="15"/>
          <w:szCs w:val="15"/>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for post-IPO periods, and net income, for pre-IPO periods, in each case adjusted for contingent consideration, acquisition and Refinitiv Transaction related depreciation and amortization and gains and losses from outstanding foreign exchange forward contracts and the revaluation of foreign denominated cash. Adjusted Net Income also gives effect to certain tax related adjustments to reflect an assumed effective tax rate and, for pre-IPO periods, assumes TWM LLC was subject to a corporate tax rate for the periods presented. Adjusted Diluted EPS is defined as Adjusted Net Income divided by the diluted weighted average number of shares of Class A common stock and Class B common stock outstanding for the applicable period, assuming the full exchange of all outstanding LLC Interests held by non-controlling interests for shares of Class A common stock or Class B common stock, for post-IPO periods, and the diluted weighted average number of shares of TWM LLC outstanding for the applicable period, for pre-IPO periods. The diluted weighted average number of shares outstanding for the pre-IPO periods and post-IPO periods give effect to potentially dilutive securities using the treasury stock method.</w:t>
      </w:r>
    </w:p>
    <w:p>
      <w:pPr>
        <w:spacing w:after="0" w:line="160" w:lineRule="exact"/>
        <w:rPr>
          <w:sz w:val="20"/>
          <w:szCs w:val="20"/>
          <w:color w:val="auto"/>
        </w:rPr>
      </w:pPr>
    </w:p>
    <w:p>
      <w:pPr>
        <w:ind w:firstLine="305"/>
        <w:spacing w:after="0" w:line="287" w:lineRule="auto"/>
        <w:rPr>
          <w:sz w:val="20"/>
          <w:szCs w:val="20"/>
          <w:color w:val="auto"/>
        </w:rPr>
      </w:pPr>
      <w:r>
        <w:rPr>
          <w:rFonts w:ascii="Arial" w:cs="Arial" w:eastAsia="Arial" w:hAnsi="Arial"/>
          <w:sz w:val="15"/>
          <w:szCs w:val="15"/>
          <w:color w:val="auto"/>
        </w:rPr>
        <w:t>We use Adjusted Net Income and Adjusted Diluted EPS as supplemental metrics to evaluate our business performance in a way that also considers our ability to generate profit without the impact of certain items. In addition to excluding contingent consideration for the reasons described above,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 We also exclude expense associated with the Special Option Award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165" w:lineRule="exact"/>
        <w:rPr>
          <w:sz w:val="20"/>
          <w:szCs w:val="20"/>
          <w:color w:val="auto"/>
        </w:rPr>
      </w:pPr>
    </w:p>
    <w:p>
      <w:pPr>
        <w:jc w:val="both"/>
        <w:ind w:right="240" w:firstLine="305"/>
        <w:spacing w:after="0" w:line="285" w:lineRule="auto"/>
        <w:rPr>
          <w:sz w:val="20"/>
          <w:szCs w:val="20"/>
          <w:color w:val="auto"/>
        </w:rPr>
      </w:pPr>
      <w:r>
        <w:rPr>
          <w:rFonts w:ascii="Arial" w:cs="Arial" w:eastAsia="Arial" w:hAnsi="Arial"/>
          <w:sz w:val="16"/>
          <w:szCs w:val="16"/>
          <w:color w:val="auto"/>
        </w:rPr>
        <w:t>Adjusted EBITDA, Adjusted EBITDA margin, Adjusted Net Income and Adjusted Diluted EPS have limitations as analytical tools, and you should not consider these non-GAAP financial measures in isolation or as alternatives to net income attributable to Tradeweb Markets Inc., net income, operating income, gross margin, earnings per share or any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63" w:name="page64"/>
    <w:bookmarkEnd w:id="63"/>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left="2" w:right="20"/>
        <w:spacing w:after="0" w:line="253" w:lineRule="auto"/>
        <w:rPr>
          <w:sz w:val="20"/>
          <w:szCs w:val="20"/>
          <w:color w:val="auto"/>
        </w:rPr>
      </w:pPr>
      <w:r>
        <w:rPr>
          <w:rFonts w:ascii="Arial" w:cs="Arial" w:eastAsia="Arial" w:hAnsi="Arial"/>
          <w:sz w:val="17"/>
          <w:szCs w:val="17"/>
          <w:color w:val="auto"/>
        </w:rPr>
        <w:t>other financial measure derived in accordance with GAAP. You are encouraged to evaluate each adjustment and, as applicable, the reasons we consider it appropriate for supplemental analysis. In addition, in evaluating Adjusted EBITDA, Adjusted EBITDA margin, Adjusted Net Income and Adjusted Diluted EPS you should be aware that in the future, we may incur expenses similar to the adjustments in the presentation of these non-GAAP financial measures. Our presentation of Adjusted EBITDA, Adjusted EBITDA margin, Adjusted Net Income and Adjusted Diluted EPS should not be construed as an inference that our future results will be unaffected by unusual or non-recurring items. In addition, Adjusted EBITDA, Adjusted EBITDA margin, Adjusted Net Income and Adjusted Diluted EPS may not be comparable to similarly titled measures used by other companies in our industry or across different industries.</w:t>
      </w:r>
    </w:p>
    <w:p>
      <w:pPr>
        <w:spacing w:after="0" w:line="207" w:lineRule="exact"/>
        <w:rPr>
          <w:sz w:val="20"/>
          <w:szCs w:val="20"/>
          <w:color w:val="auto"/>
        </w:rPr>
      </w:pPr>
    </w:p>
    <w:p>
      <w:pPr>
        <w:ind w:left="2" w:right="300" w:firstLine="305"/>
        <w:spacing w:after="0" w:line="273" w:lineRule="auto"/>
        <w:rPr>
          <w:sz w:val="20"/>
          <w:szCs w:val="20"/>
          <w:color w:val="auto"/>
        </w:rPr>
      </w:pPr>
      <w:r>
        <w:rPr>
          <w:rFonts w:ascii="Arial" w:cs="Arial" w:eastAsia="Arial" w:hAnsi="Arial"/>
          <w:sz w:val="17"/>
          <w:szCs w:val="17"/>
          <w:color w:val="auto"/>
        </w:rPr>
        <w:t>The table set forth below presents a reconciliation of net income to Adjusted EBITDA and Adjusted EBITDA margin for the three and six months ended June 30, 2019 and 2018:</w:t>
      </w:r>
    </w:p>
    <w:p>
      <w:pPr>
        <w:spacing w:after="0" w:line="169" w:lineRule="exact"/>
        <w:rPr>
          <w:sz w:val="20"/>
          <w:szCs w:val="20"/>
          <w:color w:val="auto"/>
        </w:rPr>
      </w:pPr>
    </w:p>
    <w:tbl>
      <w:tblPr>
        <w:tblLayout w:type="fixed"/>
        <w:tblInd w:w="2" w:type="dxa"/>
        <w:tblCellMar>
          <w:top w:w="0" w:type="dxa"/>
          <w:left w:w="0" w:type="dxa"/>
          <w:bottom w:w="0" w:type="dxa"/>
          <w:right w:w="0" w:type="dxa"/>
        </w:tblCellMar>
      </w:tblPr>
      <w:tr>
        <w:trPr>
          <w:trHeight w:val="21"/>
        </w:trPr>
        <w:tc>
          <w:tcPr>
            <w:tcW w:w="2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Successor</w:t>
            </w: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gridSpan w:val="6"/>
            <w:vMerge w:val="restart"/>
          </w:tcPr>
          <w:p>
            <w:pPr>
              <w:jc w:val="right"/>
              <w:ind w:right="875"/>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0"/>
        </w:trPr>
        <w:tc>
          <w:tcPr>
            <w:tcW w:w="2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center"/>
              <w:ind w:right="195"/>
              <w:spacing w:after="0" w:line="113" w:lineRule="exact"/>
              <w:rPr>
                <w:sz w:val="20"/>
                <w:szCs w:val="20"/>
                <w:color w:val="auto"/>
              </w:rPr>
            </w:pPr>
            <w:r>
              <w:rPr>
                <w:rFonts w:ascii="Arial" w:cs="Arial" w:eastAsia="Arial" w:hAnsi="Arial"/>
                <w:sz w:val="12"/>
                <w:szCs w:val="12"/>
                <w:b w:val="1"/>
                <w:bCs w:val="1"/>
                <w:color w:val="auto"/>
              </w:rPr>
              <w:t>Three</w:t>
            </w: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122"/>
              <w:spacing w:after="0" w:line="113" w:lineRule="exact"/>
              <w:rPr>
                <w:sz w:val="20"/>
                <w:szCs w:val="20"/>
                <w:color w:val="auto"/>
              </w:rPr>
            </w:pPr>
            <w:r>
              <w:rPr>
                <w:rFonts w:ascii="Arial" w:cs="Arial" w:eastAsia="Arial" w:hAnsi="Arial"/>
                <w:sz w:val="12"/>
                <w:szCs w:val="12"/>
                <w:b w:val="1"/>
                <w:bCs w:val="1"/>
                <w:color w:val="auto"/>
                <w:w w:val="99"/>
              </w:rPr>
              <w:t>Six</w:t>
            </w:r>
          </w:p>
        </w:tc>
        <w:tc>
          <w:tcPr>
            <w:tcW w:w="22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gridSpan w:val="2"/>
          </w:tcPr>
          <w:p>
            <w:pPr>
              <w:jc w:val="center"/>
              <w:ind w:right="335"/>
              <w:spacing w:after="0" w:line="113" w:lineRule="exact"/>
              <w:rPr>
                <w:sz w:val="20"/>
                <w:szCs w:val="20"/>
                <w:color w:val="auto"/>
              </w:rPr>
            </w:pPr>
            <w:r>
              <w:rPr>
                <w:rFonts w:ascii="Arial" w:cs="Arial" w:eastAsia="Arial" w:hAnsi="Arial"/>
                <w:sz w:val="12"/>
                <w:szCs w:val="12"/>
                <w:b w:val="1"/>
                <w:bCs w:val="1"/>
                <w:color w:val="auto"/>
              </w:rPr>
              <w:t>Three</w:t>
            </w: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center"/>
              <w:ind w:right="61"/>
              <w:spacing w:after="0" w:line="113" w:lineRule="exact"/>
              <w:rPr>
                <w:sz w:val="20"/>
                <w:szCs w:val="20"/>
                <w:color w:val="auto"/>
              </w:rPr>
            </w:pPr>
            <w:r>
              <w:rPr>
                <w:rFonts w:ascii="Arial" w:cs="Arial" w:eastAsia="Arial" w:hAnsi="Arial"/>
                <w:sz w:val="12"/>
                <w:szCs w:val="12"/>
                <w:b w:val="1"/>
                <w:bCs w:val="1"/>
                <w:color w:val="auto"/>
                <w:w w:val="99"/>
              </w:rPr>
              <w:t>Six</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75"/>
              <w:spacing w:after="0" w:line="140" w:lineRule="exact"/>
              <w:rPr>
                <w:sz w:val="20"/>
                <w:szCs w:val="20"/>
                <w:color w:val="auto"/>
              </w:rPr>
            </w:pPr>
            <w:r>
              <w:rPr>
                <w:rFonts w:ascii="Arial" w:cs="Arial" w:eastAsia="Arial" w:hAnsi="Arial"/>
                <w:sz w:val="14"/>
                <w:szCs w:val="14"/>
                <w:b w:val="1"/>
                <w:bCs w:val="1"/>
                <w:color w:val="auto"/>
                <w:w w:val="88"/>
              </w:rPr>
              <w:t>Months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Borders>
              <w:right w:val="single" w:sz="8" w:color="auto"/>
            </w:tcBorders>
            <w:gridSpan w:val="2"/>
          </w:tcPr>
          <w:p>
            <w:pPr>
              <w:jc w:val="center"/>
              <w:ind w:right="355"/>
              <w:spacing w:after="0" w:line="140" w:lineRule="exact"/>
              <w:rPr>
                <w:sz w:val="20"/>
                <w:szCs w:val="20"/>
                <w:color w:val="auto"/>
              </w:rPr>
            </w:pPr>
            <w:r>
              <w:rPr>
                <w:rFonts w:ascii="Arial" w:cs="Arial" w:eastAsia="Arial" w:hAnsi="Arial"/>
                <w:sz w:val="14"/>
                <w:szCs w:val="14"/>
                <w:b w:val="1"/>
                <w:bCs w:val="1"/>
                <w:color w:val="auto"/>
                <w:w w:val="88"/>
              </w:rPr>
              <w:t>Months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355"/>
              <w:spacing w:after="0" w:line="140" w:lineRule="exact"/>
              <w:rPr>
                <w:sz w:val="20"/>
                <w:szCs w:val="20"/>
                <w:color w:val="auto"/>
              </w:rPr>
            </w:pPr>
            <w:r>
              <w:rPr>
                <w:rFonts w:ascii="Arial" w:cs="Arial" w:eastAsia="Arial" w:hAnsi="Arial"/>
                <w:sz w:val="14"/>
                <w:szCs w:val="14"/>
                <w:b w:val="1"/>
                <w:bCs w:val="1"/>
                <w:color w:val="auto"/>
                <w:w w:val="88"/>
              </w:rPr>
              <w:t>Months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95"/>
              <w:spacing w:after="0" w:line="140"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140"/>
        </w:trPr>
        <w:tc>
          <w:tcPr>
            <w:tcW w:w="2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95"/>
              <w:spacing w:after="0" w:line="140"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Borders>
              <w:right w:val="single" w:sz="8" w:color="auto"/>
            </w:tcBorders>
            <w:gridSpan w:val="2"/>
          </w:tcPr>
          <w:p>
            <w:pPr>
              <w:jc w:val="center"/>
              <w:ind w:right="335"/>
              <w:spacing w:after="0" w:line="140"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335"/>
              <w:spacing w:after="0" w:line="140"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75"/>
              <w:spacing w:after="0" w:line="140"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0"/>
        </w:trPr>
        <w:tc>
          <w:tcPr>
            <w:tcW w:w="2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15"/>
              <w:spacing w:after="0" w:line="140"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Borders>
              <w:right w:val="single" w:sz="8" w:color="auto"/>
            </w:tcBorders>
            <w:gridSpan w:val="2"/>
          </w:tcPr>
          <w:p>
            <w:pPr>
              <w:jc w:val="center"/>
              <w:ind w:right="375"/>
              <w:spacing w:after="0" w:line="140" w:lineRule="exact"/>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395"/>
              <w:spacing w:after="0" w:line="140" w:lineRule="exact"/>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15"/>
              <w:spacing w:after="0" w:line="140"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60"/>
        </w:trPr>
        <w:tc>
          <w:tcPr>
            <w:tcW w:w="2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3"/>
              </w:rPr>
              <w:t>2019</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3"/>
              </w:rPr>
              <w:t>2019</w:t>
            </w:r>
          </w:p>
        </w:tc>
        <w:tc>
          <w:tcPr>
            <w:tcW w:w="22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3"/>
              </w:rPr>
              <w:t>2018</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3"/>
              </w:rPr>
              <w:t>2018</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4"/>
          </w:tcPr>
          <w:p>
            <w:pPr>
              <w:jc w:val="right"/>
              <w:spacing w:after="0" w:line="133"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36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24,816</w:t>
            </w: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67,168</w:t>
            </w:r>
          </w:p>
        </w:tc>
        <w:tc>
          <w:tcPr>
            <w:tcW w:w="2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38,897</w:t>
            </w:r>
          </w:p>
        </w:tc>
        <w:tc>
          <w:tcPr>
            <w:tcW w:w="2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84,205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Arial" w:cs="Arial" w:eastAsia="Arial" w:hAnsi="Arial"/>
                <w:sz w:val="17"/>
                <w:szCs w:val="17"/>
                <w:color w:val="auto"/>
              </w:rPr>
              <w:t>Contingent consideration</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right w:val="single" w:sz="8" w:color="auto"/>
            </w:tcBorders>
            <w:gridSpan w:val="2"/>
          </w:tcPr>
          <w:p>
            <w:pPr>
              <w:jc w:val="right"/>
              <w:ind w:right="17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19,297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29,367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income, net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tcBorders>
              <w:right w:val="single" w:sz="8" w:color="auto"/>
            </w:tcBorders>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(1,033)</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(582)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(1,053)</w:t>
            </w: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34,292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67,795</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16,178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32,446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860" w:type="dxa"/>
            <w:vAlign w:val="bottom"/>
            <w:gridSpan w:val="2"/>
            <w:shd w:val="clear" w:color="auto" w:fill="CCEEFF"/>
          </w:tcPr>
          <w:p>
            <w:pPr>
              <w:spacing w:after="0" w:line="191" w:lineRule="exact"/>
              <w:rPr>
                <w:sz w:val="20"/>
                <w:szCs w:val="20"/>
                <w:color w:val="auto"/>
              </w:rPr>
            </w:pPr>
            <w:r>
              <w:rPr>
                <w:rFonts w:ascii="Arial" w:cs="Arial" w:eastAsia="Arial" w:hAnsi="Arial"/>
                <w:sz w:val="17"/>
                <w:szCs w:val="17"/>
                <w:color w:val="auto"/>
                <w:w w:val="97"/>
              </w:rPr>
              <w:t>Stock-based compensation expense associated with</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Special Option Award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20,403</w:t>
            </w:r>
          </w:p>
        </w:tc>
        <w:tc>
          <w:tcPr>
            <w:tcW w:w="2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Arial" w:cs="Arial" w:eastAsia="Arial" w:hAnsi="Arial"/>
                <w:sz w:val="17"/>
                <w:szCs w:val="17"/>
                <w:color w:val="auto"/>
              </w:rPr>
              <w:t>Provision for income taxes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6,314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11,097</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1,847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4,365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Unrealized foreign exchange (gains) / losses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w:t>
            </w:r>
          </w:p>
        </w:tc>
        <w:tc>
          <w:tcPr>
            <w:tcW w:w="2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(399)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(1,367)</w:t>
            </w:r>
          </w:p>
        </w:tc>
        <w:tc>
          <w:tcPr>
            <w:tcW w:w="0" w:type="dxa"/>
            <w:vAlign w:val="bottom"/>
          </w:tcPr>
          <w:p>
            <w:pPr>
              <w:spacing w:after="0"/>
              <w:rPr>
                <w:sz w:val="1"/>
                <w:szCs w:val="1"/>
                <w:color w:val="auto"/>
              </w:rPr>
            </w:pPr>
          </w:p>
        </w:tc>
      </w:tr>
      <w:tr>
        <w:trPr>
          <w:trHeight w:val="191"/>
        </w:trPr>
        <w:tc>
          <w:tcPr>
            <w:tcW w:w="3860" w:type="dxa"/>
            <w:vAlign w:val="bottom"/>
            <w:gridSpan w:val="2"/>
          </w:tcPr>
          <w:p>
            <w:pPr>
              <w:spacing w:after="0" w:line="191" w:lineRule="exact"/>
              <w:rPr>
                <w:sz w:val="20"/>
                <w:szCs w:val="20"/>
                <w:color w:val="auto"/>
              </w:rPr>
            </w:pPr>
            <w:r>
              <w:rPr>
                <w:rFonts w:ascii="Arial" w:cs="Arial" w:eastAsia="Arial" w:hAnsi="Arial"/>
                <w:sz w:val="17"/>
                <w:szCs w:val="17"/>
                <w:color w:val="auto"/>
                <w:w w:val="96"/>
              </w:rPr>
              <w:t>(Gain) / loss from revaluation of foreign denominated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60" w:type="dxa"/>
            <w:vAlign w:val="bottom"/>
            <w:gridSpan w:val="2"/>
          </w:tcPr>
          <w:p>
            <w:pPr>
              <w:spacing w:after="0"/>
              <w:rPr>
                <w:sz w:val="20"/>
                <w:szCs w:val="20"/>
                <w:color w:val="auto"/>
              </w:rPr>
            </w:pPr>
            <w:r>
              <w:rPr>
                <w:rFonts w:ascii="Arial" w:cs="Arial" w:eastAsia="Arial" w:hAnsi="Arial"/>
                <w:sz w:val="17"/>
                <w:szCs w:val="17"/>
                <w:color w:val="auto"/>
              </w:rPr>
              <w:t>cash</w:t>
            </w:r>
            <w:r>
              <w:rPr>
                <w:rFonts w:ascii="Arial" w:cs="Arial" w:eastAsia="Arial" w:hAnsi="Arial"/>
                <w:sz w:val="8"/>
                <w:szCs w:val="8"/>
                <w:color w:val="auto"/>
              </w:rPr>
              <w:t>(1)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5"/>
              <w:spacing w:after="0"/>
              <w:rPr>
                <w:sz w:val="20"/>
                <w:szCs w:val="20"/>
                <w:color w:val="auto"/>
              </w:rPr>
            </w:pPr>
            <w:r>
              <w:rPr>
                <w:rFonts w:ascii="Arial" w:cs="Arial" w:eastAsia="Arial" w:hAnsi="Arial"/>
                <w:sz w:val="17"/>
                <w:szCs w:val="17"/>
                <w:color w:val="auto"/>
              </w:rPr>
              <w:t>(302)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558</w:t>
            </w:r>
          </w:p>
        </w:tc>
        <w:tc>
          <w:tcPr>
            <w:tcW w:w="2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15"/>
              <w:spacing w:after="0"/>
              <w:rPr>
                <w:sz w:val="20"/>
                <w:szCs w:val="20"/>
                <w:color w:val="auto"/>
              </w:rPr>
            </w:pPr>
            <w:r>
              <w:rPr>
                <w:rFonts w:ascii="Arial" w:cs="Arial" w:eastAsia="Arial" w:hAnsi="Arial"/>
                <w:sz w:val="17"/>
                <w:szCs w:val="17"/>
                <w:color w:val="auto"/>
              </w:rPr>
              <w:t>(411)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35"/>
              <w:spacing w:after="0"/>
              <w:rPr>
                <w:sz w:val="20"/>
                <w:szCs w:val="20"/>
                <w:color w:val="auto"/>
              </w:rPr>
            </w:pPr>
            <w:r>
              <w:rPr>
                <w:rFonts w:ascii="Arial" w:cs="Arial" w:eastAsia="Arial" w:hAnsi="Arial"/>
                <w:sz w:val="17"/>
                <w:szCs w:val="17"/>
                <w:color w:val="auto"/>
              </w:rPr>
              <w:t>(455)</w:t>
            </w:r>
          </w:p>
        </w:tc>
        <w:tc>
          <w:tcPr>
            <w:tcW w:w="0" w:type="dxa"/>
            <w:vAlign w:val="bottom"/>
          </w:tcPr>
          <w:p>
            <w:pPr>
              <w:spacing w:after="0"/>
              <w:rPr>
                <w:sz w:val="1"/>
                <w:szCs w:val="1"/>
                <w:color w:val="auto"/>
              </w:rPr>
            </w:pPr>
          </w:p>
        </w:tc>
      </w:tr>
      <w:tr>
        <w:trPr>
          <w:trHeight w:val="216"/>
        </w:trPr>
        <w:tc>
          <w:tcPr>
            <w:tcW w:w="3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86,925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167,272</w:t>
            </w:r>
          </w:p>
        </w:tc>
        <w:tc>
          <w:tcPr>
            <w:tcW w:w="22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74,827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147,508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60" w:type="dxa"/>
            <w:vAlign w:val="bottom"/>
            <w:gridSpan w:val="2"/>
          </w:tcPr>
          <w:p>
            <w:pPr>
              <w:spacing w:after="0" w:line="189" w:lineRule="exact"/>
              <w:rPr>
                <w:sz w:val="20"/>
                <w:szCs w:val="20"/>
                <w:color w:val="auto"/>
              </w:rPr>
            </w:pPr>
            <w:r>
              <w:rPr>
                <w:rFonts w:ascii="Arial" w:cs="Arial" w:eastAsia="Arial" w:hAnsi="Arial"/>
                <w:sz w:val="17"/>
                <w:szCs w:val="17"/>
                <w:color w:val="auto"/>
              </w:rPr>
              <w:t>Adjusted EBITDA margin</w:t>
            </w:r>
            <w:r>
              <w:rPr>
                <w:rFonts w:ascii="Arial" w:cs="Arial" w:eastAsia="Arial" w:hAnsi="Arial"/>
                <w:sz w:val="8"/>
                <w:szCs w:val="8"/>
                <w:color w:val="auto"/>
              </w:rPr>
              <w:t>(2)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45.6</w:t>
            </w:r>
          </w:p>
        </w:tc>
        <w:tc>
          <w:tcPr>
            <w:tcW w:w="220" w:type="dxa"/>
            <w:vAlign w:val="bottom"/>
            <w:gridSpan w:val="2"/>
          </w:tcPr>
          <w:p>
            <w:pPr>
              <w:jc w:val="right"/>
              <w:spacing w:after="0" w:line="189" w:lineRule="exact"/>
              <w:rPr>
                <w:sz w:val="20"/>
                <w:szCs w:val="20"/>
                <w:color w:val="auto"/>
              </w:rPr>
            </w:pPr>
            <w:r>
              <w:rPr>
                <w:rFonts w:ascii="Arial" w:cs="Arial" w:eastAsia="Arial" w:hAnsi="Arial"/>
                <w:sz w:val="17"/>
                <w:szCs w:val="17"/>
                <w:color w:val="auto"/>
                <w:w w:val="79"/>
              </w:rPr>
              <w:t>%</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44.3</w:t>
            </w:r>
          </w:p>
        </w:tc>
        <w:tc>
          <w:tcPr>
            <w:tcW w:w="22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7"/>
                <w:szCs w:val="17"/>
                <w:color w:val="auto"/>
                <w:w w:val="79"/>
              </w:rPr>
              <w:t>%</w:t>
            </w:r>
          </w:p>
        </w:tc>
        <w:tc>
          <w:tcPr>
            <w:tcW w:w="180" w:type="dxa"/>
            <w:vAlign w:val="bottom"/>
          </w:tcPr>
          <w:p>
            <w:pPr>
              <w:spacing w:after="0"/>
              <w:rPr>
                <w:sz w:val="16"/>
                <w:szCs w:val="16"/>
                <w:color w:val="auto"/>
              </w:rPr>
            </w:pPr>
          </w:p>
        </w:tc>
        <w:tc>
          <w:tcPr>
            <w:tcW w:w="240" w:type="dxa"/>
            <w:vAlign w:val="bottom"/>
          </w:tcPr>
          <w:p>
            <w:pPr>
              <w:jc w:val="right"/>
              <w:ind w:right="55"/>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43.8</w:t>
            </w:r>
          </w:p>
        </w:tc>
        <w:tc>
          <w:tcPr>
            <w:tcW w:w="220" w:type="dxa"/>
            <w:vAlign w:val="bottom"/>
            <w:gridSpan w:val="2"/>
          </w:tcPr>
          <w:p>
            <w:pPr>
              <w:jc w:val="right"/>
              <w:ind w:right="6"/>
              <w:spacing w:after="0" w:line="189" w:lineRule="exact"/>
              <w:rPr>
                <w:sz w:val="20"/>
                <w:szCs w:val="20"/>
                <w:color w:val="auto"/>
              </w:rPr>
            </w:pPr>
            <w:r>
              <w:rPr>
                <w:rFonts w:ascii="Arial" w:cs="Arial" w:eastAsia="Arial" w:hAnsi="Arial"/>
                <w:sz w:val="17"/>
                <w:szCs w:val="17"/>
                <w:color w:val="auto"/>
                <w:w w:val="79"/>
              </w:rPr>
              <w:t>%</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43.3</w:t>
            </w: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102"/>
        </w:trPr>
        <w:tc>
          <w:tcPr>
            <w:tcW w:w="226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302" w:hanging="302"/>
        <w:spacing w:after="0"/>
        <w:tabs>
          <w:tab w:leader="none" w:pos="302"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Represents foreign exchange gain or loss from the revaluation of cash denominated in a different currency than the entity’s functional currency.</w:t>
      </w:r>
    </w:p>
    <w:p>
      <w:pPr>
        <w:spacing w:after="0" w:line="205" w:lineRule="exact"/>
        <w:rPr>
          <w:rFonts w:ascii="Arial" w:cs="Arial" w:eastAsia="Arial" w:hAnsi="Arial"/>
          <w:sz w:val="12"/>
          <w:szCs w:val="12"/>
          <w:color w:val="auto"/>
        </w:rPr>
      </w:pPr>
    </w:p>
    <w:p>
      <w:pPr>
        <w:ind w:left="302" w:hanging="302"/>
        <w:spacing w:after="0" w:line="253" w:lineRule="auto"/>
        <w:tabs>
          <w:tab w:leader="none" w:pos="302" w:val="left"/>
        </w:tabs>
        <w:numPr>
          <w:ilvl w:val="0"/>
          <w:numId w:val="38"/>
        </w:numPr>
        <w:rPr>
          <w:rFonts w:ascii="Arial" w:cs="Arial" w:eastAsia="Arial" w:hAnsi="Arial"/>
          <w:sz w:val="12"/>
          <w:szCs w:val="12"/>
          <w:color w:val="auto"/>
        </w:rPr>
      </w:pPr>
      <w:r>
        <w:rPr>
          <w:rFonts w:ascii="Arial" w:cs="Arial" w:eastAsia="Arial" w:hAnsi="Arial"/>
          <w:sz w:val="12"/>
          <w:szCs w:val="12"/>
          <w:color w:val="auto"/>
        </w:rPr>
        <w:t>For the three and six months ended June 30, 2019, Adjusted EBITDA margin increased by 188 and 102 basis points, respectively, or 217 and 149 basis points on a constant currency basis. Adjusted EBITDA margin growth on a constant currency basis, which is a non-GAAP financial measure, is defined as Adjusted EBITDA margin growth excluding the effects of foreign currency fluctuations. Adjusted EBITDA margin excluding the effects of foreign currency fluctuations is calculated by translating the current period and prior period’s results using the average exchange rates for 2018. We use Adjusted EBITDA margin growth on a constant currency basis as a supplemental metric to evaluate our underlying margin performance between periods by removing the impact of foreign currency fluctuations. We believe that providing Adjusted EBITDA margin growth on a constant currency basis provides a useful comparison of our Adjusted EBITDA margin and trends between periods.</w:t>
      </w:r>
    </w:p>
    <w:p>
      <w:pPr>
        <w:spacing w:after="0" w:line="200" w:lineRule="exact"/>
        <w:rPr>
          <w:sz w:val="20"/>
          <w:szCs w:val="20"/>
          <w:color w:val="auto"/>
        </w:rPr>
      </w:pPr>
    </w:p>
    <w:p>
      <w:pPr>
        <w:spacing w:after="0" w:line="376"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335915</wp:posOffset>
            </wp:positionV>
            <wp:extent cx="5753735"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2"/>
          </w:cols>
          <w:pgMar w:left="1418" w:top="127" w:right="1419" w:bottom="1440" w:gutter="0" w:footer="0" w:header="0"/>
        </w:sectPr>
      </w:pPr>
    </w:p>
    <w:bookmarkStart w:id="64" w:name="page65"/>
    <w:bookmarkEnd w:id="6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right="80" w:firstLine="305"/>
        <w:spacing w:after="0" w:line="273" w:lineRule="auto"/>
        <w:rPr>
          <w:sz w:val="20"/>
          <w:szCs w:val="20"/>
          <w:color w:val="auto"/>
        </w:rPr>
      </w:pPr>
      <w:r>
        <w:rPr>
          <w:rFonts w:ascii="Arial" w:cs="Arial" w:eastAsia="Arial" w:hAnsi="Arial"/>
          <w:sz w:val="17"/>
          <w:szCs w:val="17"/>
          <w:color w:val="auto"/>
        </w:rPr>
        <w:t>The table below provides a reconciliation of net income to Adjusted Net Income and Adjusted Diluted EPS for the three and six months ended June 30, 2019 and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2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5"/>
            <w:vMerge w:val="restart"/>
          </w:tcPr>
          <w:p>
            <w:pPr>
              <w:jc w:val="right"/>
              <w:ind w:right="96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7"/>
            <w:vMerge w:val="restart"/>
          </w:tcPr>
          <w:p>
            <w:pPr>
              <w:ind w:left="58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0"/>
        </w:trPr>
        <w:tc>
          <w:tcPr>
            <w:tcW w:w="2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gridSpan w:val="5"/>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gridSpan w:val="2"/>
          </w:tcPr>
          <w:p>
            <w:pPr>
              <w:jc w:val="center"/>
              <w:ind w:right="260"/>
              <w:spacing w:after="0" w:line="113" w:lineRule="exact"/>
              <w:rPr>
                <w:sz w:val="20"/>
                <w:szCs w:val="20"/>
                <w:color w:val="auto"/>
              </w:rPr>
            </w:pPr>
            <w:r>
              <w:rPr>
                <w:rFonts w:ascii="Arial" w:cs="Arial" w:eastAsia="Arial" w:hAnsi="Arial"/>
                <w:sz w:val="12"/>
                <w:szCs w:val="12"/>
                <w:b w:val="1"/>
                <w:bCs w:val="1"/>
                <w:color w:val="auto"/>
              </w:rPr>
              <w:t>Three</w:t>
            </w:r>
          </w:p>
        </w:tc>
        <w:tc>
          <w:tcPr>
            <w:tcW w:w="1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center"/>
              <w:ind w:right="19"/>
              <w:spacing w:after="0" w:line="113" w:lineRule="exact"/>
              <w:rPr>
                <w:sz w:val="20"/>
                <w:szCs w:val="20"/>
                <w:color w:val="auto"/>
              </w:rPr>
            </w:pPr>
            <w:r>
              <w:rPr>
                <w:rFonts w:ascii="Arial" w:cs="Arial" w:eastAsia="Arial" w:hAnsi="Arial"/>
                <w:sz w:val="12"/>
                <w:szCs w:val="12"/>
                <w:b w:val="1"/>
                <w:bCs w:val="1"/>
                <w:color w:val="auto"/>
                <w:w w:val="99"/>
              </w:rPr>
              <w:t>Six</w:t>
            </w:r>
          </w:p>
        </w:tc>
        <w:tc>
          <w:tcPr>
            <w:tcW w:w="12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gridSpan w:val="2"/>
          </w:tcPr>
          <w:p>
            <w:pPr>
              <w:jc w:val="center"/>
              <w:ind w:right="160"/>
              <w:spacing w:after="0" w:line="113" w:lineRule="exact"/>
              <w:rPr>
                <w:sz w:val="20"/>
                <w:szCs w:val="20"/>
                <w:color w:val="auto"/>
              </w:rPr>
            </w:pPr>
            <w:r>
              <w:rPr>
                <w:rFonts w:ascii="Arial" w:cs="Arial" w:eastAsia="Arial" w:hAnsi="Arial"/>
                <w:sz w:val="12"/>
                <w:szCs w:val="12"/>
                <w:b w:val="1"/>
                <w:bCs w:val="1"/>
                <w:color w:val="auto"/>
              </w:rPr>
              <w:t>Three</w:t>
            </w: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ind w:right="140"/>
              <w:spacing w:after="0" w:line="113" w:lineRule="exact"/>
              <w:rPr>
                <w:sz w:val="20"/>
                <w:szCs w:val="20"/>
                <w:color w:val="auto"/>
              </w:rPr>
            </w:pPr>
            <w:r>
              <w:rPr>
                <w:rFonts w:ascii="Arial" w:cs="Arial" w:eastAsia="Arial" w:hAnsi="Arial"/>
                <w:sz w:val="12"/>
                <w:szCs w:val="12"/>
                <w:b w:val="1"/>
                <w:bCs w:val="1"/>
                <w:color w:val="auto"/>
                <w:w w:val="99"/>
              </w:rPr>
              <w:t>Six</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60"/>
              <w:spacing w:after="0" w:line="140" w:lineRule="exact"/>
              <w:rPr>
                <w:sz w:val="20"/>
                <w:szCs w:val="20"/>
                <w:color w:val="auto"/>
              </w:rPr>
            </w:pPr>
            <w:r>
              <w:rPr>
                <w:rFonts w:ascii="Arial" w:cs="Arial" w:eastAsia="Arial" w:hAnsi="Arial"/>
                <w:sz w:val="14"/>
                <w:szCs w:val="14"/>
                <w:b w:val="1"/>
                <w:bCs w:val="1"/>
                <w:color w:val="auto"/>
                <w:w w:val="88"/>
              </w:rPr>
              <w:t>Months</w:t>
            </w: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0" w:lineRule="exact"/>
              <w:rPr>
                <w:sz w:val="20"/>
                <w:szCs w:val="20"/>
                <w:color w:val="auto"/>
              </w:rPr>
            </w:pPr>
            <w:r>
              <w:rPr>
                <w:rFonts w:ascii="Arial" w:cs="Arial" w:eastAsia="Arial" w:hAnsi="Arial"/>
                <w:sz w:val="14"/>
                <w:szCs w:val="14"/>
                <w:b w:val="1"/>
                <w:bCs w:val="1"/>
                <w:color w:val="auto"/>
                <w:w w:val="88"/>
              </w:rPr>
              <w:t>Months</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0" w:lineRule="exact"/>
              <w:rPr>
                <w:sz w:val="20"/>
                <w:szCs w:val="20"/>
                <w:color w:val="auto"/>
              </w:rPr>
            </w:pPr>
            <w:r>
              <w:rPr>
                <w:rFonts w:ascii="Arial" w:cs="Arial" w:eastAsia="Arial" w:hAnsi="Arial"/>
                <w:sz w:val="14"/>
                <w:szCs w:val="14"/>
                <w:b w:val="1"/>
                <w:bCs w:val="1"/>
                <w:color w:val="auto"/>
                <w:w w:val="88"/>
              </w:rPr>
              <w:t>Months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00"/>
              <w:spacing w:after="0" w:line="140"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140"/>
        </w:trPr>
        <w:tc>
          <w:tcPr>
            <w:tcW w:w="2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60"/>
              <w:spacing w:after="0" w:line="140" w:lineRule="exact"/>
              <w:rPr>
                <w:sz w:val="20"/>
                <w:szCs w:val="20"/>
                <w:color w:val="auto"/>
              </w:rPr>
            </w:pPr>
            <w:r>
              <w:rPr>
                <w:rFonts w:ascii="Arial" w:cs="Arial" w:eastAsia="Arial" w:hAnsi="Arial"/>
                <w:sz w:val="14"/>
                <w:szCs w:val="14"/>
                <w:b w:val="1"/>
                <w:bCs w:val="1"/>
                <w:color w:val="auto"/>
                <w:w w:val="84"/>
              </w:rPr>
              <w:t>Ended</w:t>
            </w: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8"/>
              </w:rPr>
              <w:t>Ended</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60"/>
              <w:spacing w:after="0" w:line="140"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0"/>
        </w:trPr>
        <w:tc>
          <w:tcPr>
            <w:tcW w:w="2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300"/>
              <w:spacing w:after="0" w:line="140" w:lineRule="exact"/>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0" w:lineRule="exact"/>
              <w:rPr>
                <w:sz w:val="20"/>
                <w:szCs w:val="20"/>
                <w:color w:val="auto"/>
              </w:rPr>
            </w:pPr>
            <w:r>
              <w:rPr>
                <w:rFonts w:ascii="Arial" w:cs="Arial" w:eastAsia="Arial" w:hAnsi="Arial"/>
                <w:sz w:val="14"/>
                <w:szCs w:val="14"/>
                <w:b w:val="1"/>
                <w:bCs w:val="1"/>
                <w:color w:val="auto"/>
                <w:w w:val="89"/>
              </w:rPr>
              <w:t>June 30,</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0" w:lineRule="exact"/>
              <w:rPr>
                <w:sz w:val="20"/>
                <w:szCs w:val="20"/>
                <w:color w:val="auto"/>
              </w:rPr>
            </w:pPr>
            <w:r>
              <w:rPr>
                <w:rFonts w:ascii="Arial" w:cs="Arial" w:eastAsia="Arial" w:hAnsi="Arial"/>
                <w:sz w:val="14"/>
                <w:szCs w:val="14"/>
                <w:b w:val="1"/>
                <w:bCs w:val="1"/>
                <w:color w:val="auto"/>
                <w:w w:val="85"/>
              </w:rPr>
              <w:t>June 30,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40"/>
              <w:spacing w:after="0" w:line="140"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0"/>
        </w:trPr>
        <w:tc>
          <w:tcPr>
            <w:tcW w:w="22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3"/>
              </w:rPr>
              <w:t>2019</w:t>
            </w: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2018</w:t>
            </w: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13"/>
          </w:tcPr>
          <w:p>
            <w:pPr>
              <w:ind w:left="660"/>
              <w:spacing w:after="0" w:line="133" w:lineRule="exact"/>
              <w:rPr>
                <w:sz w:val="20"/>
                <w:szCs w:val="20"/>
                <w:color w:val="auto"/>
              </w:rPr>
            </w:pPr>
            <w:r>
              <w:rPr>
                <w:rFonts w:ascii="Arial" w:cs="Arial" w:eastAsia="Arial" w:hAnsi="Arial"/>
                <w:sz w:val="14"/>
                <w:szCs w:val="14"/>
                <w:b w:val="1"/>
                <w:bCs w:val="1"/>
                <w:color w:val="auto"/>
                <w:w w:val="86"/>
              </w:rPr>
              <w:t>(in thousands except share and per share amounts)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2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91" w:lineRule="exact"/>
              <w:rPr>
                <w:sz w:val="20"/>
                <w:szCs w:val="20"/>
                <w:color w:val="auto"/>
              </w:rPr>
            </w:pPr>
            <w:r>
              <w:rPr>
                <w:rFonts w:ascii="Arial" w:cs="Arial" w:eastAsia="Arial" w:hAnsi="Arial"/>
                <w:sz w:val="17"/>
                <w:szCs w:val="17"/>
                <w:color w:val="auto"/>
              </w:rPr>
              <w:t xml:space="preserve">0.19 </w:t>
            </w:r>
            <w:r>
              <w:rPr>
                <w:rFonts w:ascii="Arial" w:cs="Arial" w:eastAsia="Arial" w:hAnsi="Arial"/>
                <w:sz w:val="8"/>
                <w:szCs w:val="8"/>
                <w:color w:val="auto"/>
              </w:rPr>
              <w:t>(a)</w:t>
            </w:r>
            <w:r>
              <w:rPr>
                <w:rFonts w:ascii="Arial" w:cs="Arial" w:eastAsia="Arial" w:hAnsi="Arial"/>
                <w:sz w:val="17"/>
                <w:szCs w:val="17"/>
                <w:color w:val="auto"/>
              </w:rPr>
              <w:t xml:space="preserve">  /</w:t>
            </w:r>
          </w:p>
        </w:tc>
        <w:tc>
          <w:tcPr>
            <w:tcW w:w="20" w:type="dxa"/>
            <w:vAlign w:val="bottom"/>
            <w:shd w:val="clear" w:color="auto" w:fill="000000"/>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Earnings per diluted share</w:t>
            </w:r>
            <w:r>
              <w:rPr>
                <w:rFonts w:ascii="Arial" w:cs="Arial" w:eastAsia="Arial" w:hAnsi="Arial"/>
                <w:sz w:val="8"/>
                <w:szCs w:val="8"/>
                <w:color w:val="auto"/>
              </w:rPr>
              <w:t>(1)</w:t>
            </w:r>
          </w:p>
        </w:tc>
        <w:tc>
          <w:tcPr>
            <w:tcW w:w="26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 xml:space="preserve">0.09 </w:t>
            </w:r>
            <w:r>
              <w:rPr>
                <w:rFonts w:ascii="Arial" w:cs="Arial" w:eastAsia="Arial" w:hAnsi="Arial"/>
                <w:sz w:val="8"/>
                <w:szCs w:val="8"/>
                <w:color w:val="auto"/>
              </w:rPr>
              <w:t>(b)</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 xml:space="preserve">0.09 </w:t>
            </w:r>
            <w:r>
              <w:rPr>
                <w:rFonts w:ascii="Arial" w:cs="Arial" w:eastAsia="Arial" w:hAnsi="Arial"/>
                <w:sz w:val="8"/>
                <w:szCs w:val="8"/>
                <w:color w:val="auto"/>
              </w:rPr>
              <w:t>(b)</w:t>
            </w:r>
          </w:p>
        </w:tc>
        <w:tc>
          <w:tcPr>
            <w:tcW w:w="20" w:type="dxa"/>
            <w:vAlign w:val="bottom"/>
            <w:shd w:val="clear" w:color="auto" w:fill="000000"/>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 xml:space="preserve">0.18 </w:t>
            </w:r>
            <w:r>
              <w:rPr>
                <w:rFonts w:ascii="Arial" w:cs="Arial" w:eastAsia="Arial" w:hAnsi="Arial"/>
                <w:sz w:val="8"/>
                <w:szCs w:val="8"/>
                <w:color w:val="auto"/>
              </w:rPr>
              <w:t>(a)</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 xml:space="preserve">0.39 </w:t>
            </w:r>
            <w:r>
              <w:rPr>
                <w:rFonts w:ascii="Arial" w:cs="Arial" w:eastAsia="Arial" w:hAnsi="Arial"/>
                <w:sz w:val="8"/>
                <w:szCs w:val="8"/>
                <w:color w:val="auto"/>
              </w:rPr>
              <w:t>(a)</w:t>
            </w:r>
          </w:p>
        </w:tc>
        <w:tc>
          <w:tcPr>
            <w:tcW w:w="0" w:type="dxa"/>
            <w:vAlign w:val="bottom"/>
          </w:tcPr>
          <w:p>
            <w:pPr>
              <w:spacing w:after="0"/>
              <w:rPr>
                <w:sz w:val="1"/>
                <w:szCs w:val="1"/>
                <w:color w:val="auto"/>
              </w:rPr>
            </w:pPr>
          </w:p>
        </w:tc>
      </w:tr>
      <w:tr>
        <w:trPr>
          <w:trHeight w:val="189"/>
        </w:trPr>
        <w:tc>
          <w:tcPr>
            <w:tcW w:w="4260" w:type="dxa"/>
            <w:vAlign w:val="bottom"/>
            <w:tcBorders>
              <w:top w:val="single" w:sz="8" w:color="CCEEFF"/>
            </w:tcBorders>
            <w:gridSpan w:val="2"/>
          </w:tcPr>
          <w:p>
            <w:pPr>
              <w:spacing w:after="0" w:line="189" w:lineRule="exact"/>
              <w:rPr>
                <w:sz w:val="20"/>
                <w:szCs w:val="20"/>
                <w:color w:val="auto"/>
              </w:rPr>
            </w:pPr>
            <w:r>
              <w:rPr>
                <w:rFonts w:ascii="Arial" w:cs="Arial" w:eastAsia="Arial" w:hAnsi="Arial"/>
                <w:sz w:val="17"/>
                <w:szCs w:val="17"/>
                <w:color w:val="auto"/>
                <w:w w:val="93"/>
              </w:rPr>
              <w:t xml:space="preserve">Pre-IPO net income attributable to Tradeweb Markets LLC </w:t>
            </w:r>
            <w:r>
              <w:rPr>
                <w:rFonts w:ascii="Arial" w:cs="Arial" w:eastAsia="Arial" w:hAnsi="Arial"/>
                <w:sz w:val="8"/>
                <w:szCs w:val="8"/>
                <w:color w:val="auto"/>
                <w:w w:val="93"/>
              </w:rPr>
              <w:t>(1)</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 xml:space="preserve">42,352 </w:t>
            </w:r>
            <w:r>
              <w:rPr>
                <w:rFonts w:ascii="Arial" w:cs="Arial" w:eastAsia="Arial" w:hAnsi="Arial"/>
                <w:sz w:val="8"/>
                <w:szCs w:val="8"/>
                <w:color w:val="auto"/>
              </w:rPr>
              <w:t>(a)</w:t>
            </w: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 xml:space="preserve">38,897 </w:t>
            </w:r>
            <w:r>
              <w:rPr>
                <w:rFonts w:ascii="Arial" w:cs="Arial" w:eastAsia="Arial" w:hAnsi="Arial"/>
                <w:sz w:val="8"/>
                <w:szCs w:val="8"/>
                <w:color w:val="auto"/>
              </w:rPr>
              <w:t>(a)</w:t>
            </w: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 xml:space="preserve">84,205 </w:t>
            </w:r>
            <w:r>
              <w:rPr>
                <w:rFonts w:ascii="Arial" w:cs="Arial" w:eastAsia="Arial" w:hAnsi="Arial"/>
                <w:sz w:val="8"/>
                <w:szCs w:val="8"/>
                <w:color w:val="auto"/>
              </w:rPr>
              <w:t>(a)</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9"/>
              </w:rPr>
              <w:t xml:space="preserve">Add: Net income attributable to Tradeweb Markets Inc. </w:t>
            </w:r>
            <w:r>
              <w:rPr>
                <w:rFonts w:ascii="Arial" w:cs="Arial" w:eastAsia="Arial" w:hAnsi="Arial"/>
                <w:sz w:val="8"/>
                <w:szCs w:val="8"/>
                <w:color w:val="auto"/>
                <w:w w:val="99"/>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 xml:space="preserve">12,828 </w:t>
            </w:r>
            <w:r>
              <w:rPr>
                <w:rFonts w:ascii="Arial" w:cs="Arial" w:eastAsia="Arial" w:hAnsi="Arial"/>
                <w:sz w:val="8"/>
                <w:szCs w:val="8"/>
                <w:color w:val="auto"/>
              </w:rPr>
              <w:t>(b)</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 xml:space="preserve">12,828 </w:t>
            </w:r>
            <w:r>
              <w:rPr>
                <w:rFonts w:ascii="Arial" w:cs="Arial" w:eastAsia="Arial" w:hAnsi="Arial"/>
                <w:sz w:val="8"/>
                <w:szCs w:val="8"/>
                <w:color w:val="auto"/>
              </w:rPr>
              <w:t>(b)</w:t>
            </w:r>
          </w:p>
        </w:tc>
        <w:tc>
          <w:tcPr>
            <w:tcW w:w="20" w:type="dxa"/>
            <w:vAlign w:val="bottom"/>
            <w:shd w:val="clear" w:color="auto" w:fill="000000"/>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260" w:type="dxa"/>
            <w:vAlign w:val="bottom"/>
            <w:gridSpan w:val="2"/>
          </w:tcPr>
          <w:p>
            <w:pPr>
              <w:spacing w:after="0"/>
              <w:rPr>
                <w:sz w:val="20"/>
                <w:szCs w:val="20"/>
                <w:color w:val="auto"/>
              </w:rPr>
            </w:pPr>
            <w:r>
              <w:rPr>
                <w:rFonts w:ascii="Arial" w:cs="Arial" w:eastAsia="Arial" w:hAnsi="Arial"/>
                <w:sz w:val="17"/>
                <w:szCs w:val="17"/>
                <w:color w:val="auto"/>
                <w:w w:val="95"/>
              </w:rPr>
              <w:t xml:space="preserve">Add: Net income attributable to non-controlling interests </w:t>
            </w:r>
            <w:r>
              <w:rPr>
                <w:rFonts w:ascii="Arial" w:cs="Arial" w:eastAsia="Arial" w:hAnsi="Arial"/>
                <w:sz w:val="8"/>
                <w:szCs w:val="8"/>
                <w:color w:val="auto"/>
                <w:w w:val="95"/>
              </w:rPr>
              <w:t>(1)(2)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 xml:space="preserve">11,988 </w:t>
            </w:r>
            <w:r>
              <w:rPr>
                <w:rFonts w:ascii="Arial" w:cs="Arial" w:eastAsia="Arial" w:hAnsi="Arial"/>
                <w:sz w:val="8"/>
                <w:szCs w:val="8"/>
                <w:color w:val="auto"/>
              </w:rPr>
              <w:t>(b)</w:t>
            </w:r>
          </w:p>
        </w:tc>
        <w:tc>
          <w:tcPr>
            <w:tcW w:w="1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 xml:space="preserve">11,988 </w:t>
            </w:r>
            <w:r>
              <w:rPr>
                <w:rFonts w:ascii="Arial" w:cs="Arial" w:eastAsia="Arial" w:hAnsi="Arial"/>
                <w:sz w:val="8"/>
                <w:szCs w:val="8"/>
                <w:color w:val="auto"/>
              </w:rPr>
              <w:t>(b)</w:t>
            </w:r>
          </w:p>
        </w:tc>
        <w:tc>
          <w:tcPr>
            <w:tcW w:w="2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xml:space="preserve">24,816 </w:t>
            </w:r>
            <w:r>
              <w:rPr>
                <w:rFonts w:ascii="Arial" w:cs="Arial" w:eastAsia="Arial" w:hAnsi="Arial"/>
                <w:sz w:val="8"/>
                <w:szCs w:val="8"/>
                <w:color w:val="auto"/>
              </w:rPr>
              <w:t>(b)</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xml:space="preserve">67,168 </w:t>
            </w:r>
            <w:r>
              <w:rPr>
                <w:rFonts w:ascii="Arial" w:cs="Arial" w:eastAsia="Arial" w:hAnsi="Arial"/>
                <w:sz w:val="8"/>
                <w:szCs w:val="8"/>
                <w:color w:val="auto"/>
              </w:rPr>
              <w:t>(a)(b)</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xml:space="preserve">38,897 </w:t>
            </w:r>
            <w:r>
              <w:rPr>
                <w:rFonts w:ascii="Arial" w:cs="Arial" w:eastAsia="Arial" w:hAnsi="Arial"/>
                <w:sz w:val="8"/>
                <w:szCs w:val="8"/>
                <w:color w:val="auto"/>
              </w:rPr>
              <w:t>(a)</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xml:space="preserve">84,205 </w:t>
            </w:r>
            <w:r>
              <w:rPr>
                <w:rFonts w:ascii="Arial" w:cs="Arial" w:eastAsia="Arial" w:hAnsi="Arial"/>
                <w:sz w:val="8"/>
                <w:szCs w:val="8"/>
                <w:color w:val="auto"/>
              </w:rPr>
              <w:t>(a)</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gridSpan w:val="2"/>
          </w:tcPr>
          <w:p>
            <w:pPr>
              <w:spacing w:after="0"/>
              <w:rPr>
                <w:sz w:val="20"/>
                <w:szCs w:val="20"/>
                <w:color w:val="auto"/>
              </w:rPr>
            </w:pPr>
            <w:r>
              <w:rPr>
                <w:rFonts w:ascii="Arial" w:cs="Arial" w:eastAsia="Arial" w:hAnsi="Arial"/>
                <w:sz w:val="17"/>
                <w:szCs w:val="17"/>
                <w:color w:val="auto"/>
              </w:rPr>
              <w:t>Provision for income taxes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6,314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11,097</w:t>
            </w: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1,847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4,365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Contingent consideration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19,297</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gridSpan w:val="2"/>
          </w:tcPr>
          <w:p>
            <w:pPr>
              <w:spacing w:after="0"/>
              <w:rPr>
                <w:sz w:val="20"/>
                <w:szCs w:val="20"/>
                <w:color w:val="auto"/>
              </w:rPr>
            </w:pPr>
            <w:r>
              <w:rPr>
                <w:rFonts w:ascii="Arial" w:cs="Arial" w:eastAsia="Arial" w:hAnsi="Arial"/>
                <w:sz w:val="17"/>
                <w:szCs w:val="17"/>
                <w:color w:val="auto"/>
              </w:rPr>
              <w:t>Acquisition and Refinitiv Transaction related D&amp;A</w:t>
            </w:r>
            <w:r>
              <w:rPr>
                <w:rFonts w:ascii="Arial" w:cs="Arial" w:eastAsia="Arial" w:hAnsi="Arial"/>
                <w:sz w:val="8"/>
                <w:szCs w:val="8"/>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24,133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47,342</w:t>
            </w: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6,557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13,063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260" w:type="dxa"/>
            <w:vAlign w:val="bottom"/>
            <w:gridSpan w:val="2"/>
            <w:shd w:val="clear" w:color="auto" w:fill="CCEEFF"/>
          </w:tcPr>
          <w:p>
            <w:pPr>
              <w:spacing w:after="0" w:line="191" w:lineRule="exact"/>
              <w:rPr>
                <w:sz w:val="20"/>
                <w:szCs w:val="20"/>
                <w:color w:val="auto"/>
              </w:rPr>
            </w:pPr>
            <w:r>
              <w:rPr>
                <w:rFonts w:ascii="Arial" w:cs="Arial" w:eastAsia="Arial" w:hAnsi="Arial"/>
                <w:sz w:val="17"/>
                <w:szCs w:val="17"/>
                <w:color w:val="auto"/>
                <w:w w:val="93"/>
              </w:rPr>
              <w:t>Stock-based compensation expense associated with Special</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 Award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20,403</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260" w:type="dxa"/>
            <w:vAlign w:val="bottom"/>
            <w:gridSpan w:val="2"/>
          </w:tcPr>
          <w:p>
            <w:pPr>
              <w:spacing w:after="0"/>
              <w:rPr>
                <w:sz w:val="20"/>
                <w:szCs w:val="20"/>
                <w:color w:val="auto"/>
              </w:rPr>
            </w:pPr>
            <w:r>
              <w:rPr>
                <w:rFonts w:ascii="Arial" w:cs="Arial" w:eastAsia="Arial" w:hAnsi="Arial"/>
                <w:sz w:val="17"/>
                <w:szCs w:val="17"/>
                <w:color w:val="auto"/>
              </w:rPr>
              <w:t>Unrealized foreign exchange (gains) / losses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1,284</w:t>
            </w: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(399)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(1,367)</w:t>
            </w:r>
          </w:p>
        </w:tc>
        <w:tc>
          <w:tcPr>
            <w:tcW w:w="0" w:type="dxa"/>
            <w:vAlign w:val="bottom"/>
          </w:tcPr>
          <w:p>
            <w:pPr>
              <w:spacing w:after="0"/>
              <w:rPr>
                <w:sz w:val="1"/>
                <w:szCs w:val="1"/>
                <w:color w:val="auto"/>
              </w:rPr>
            </w:pPr>
          </w:p>
        </w:tc>
      </w:tr>
      <w:tr>
        <w:trPr>
          <w:trHeight w:val="203"/>
        </w:trPr>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4"/>
              </w:rPr>
              <w:t>(Gain) / loss from revaluation of foreign denominated cash</w:t>
            </w:r>
            <w:r>
              <w:rPr>
                <w:rFonts w:ascii="Arial" w:cs="Arial" w:eastAsia="Arial" w:hAnsi="Arial"/>
                <w:sz w:val="8"/>
                <w:szCs w:val="8"/>
                <w:color w:val="auto"/>
                <w:w w:val="94"/>
              </w:rPr>
              <w:t>(4)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(302)</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w:t>
            </w: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(455)</w:t>
            </w:r>
          </w:p>
        </w:tc>
        <w:tc>
          <w:tcPr>
            <w:tcW w:w="0" w:type="dxa"/>
            <w:vAlign w:val="bottom"/>
          </w:tcPr>
          <w:p>
            <w:pPr>
              <w:spacing w:after="0"/>
              <w:rPr>
                <w:sz w:val="1"/>
                <w:szCs w:val="1"/>
                <w:color w:val="auto"/>
              </w:rPr>
            </w:pPr>
          </w:p>
        </w:tc>
      </w:tr>
      <w:tr>
        <w:trPr>
          <w:trHeight w:val="196"/>
        </w:trPr>
        <w:tc>
          <w:tcPr>
            <w:tcW w:w="4260" w:type="dxa"/>
            <w:vAlign w:val="bottom"/>
            <w:gridSpan w:val="2"/>
          </w:tcPr>
          <w:p>
            <w:pPr>
              <w:spacing w:after="0"/>
              <w:rPr>
                <w:sz w:val="20"/>
                <w:szCs w:val="20"/>
                <w:color w:val="auto"/>
              </w:rPr>
            </w:pPr>
            <w:r>
              <w:rPr>
                <w:rFonts w:ascii="Arial" w:cs="Arial" w:eastAsia="Arial" w:hAnsi="Arial"/>
                <w:sz w:val="17"/>
                <w:szCs w:val="17"/>
                <w:color w:val="auto"/>
              </w:rPr>
              <w:t>Adjusted Net Income before income taxes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76,941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147,852</w:t>
            </w:r>
          </w:p>
        </w:tc>
        <w:tc>
          <w:tcPr>
            <w:tcW w:w="12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65,788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129,178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Adjusted income taxes</w:t>
            </w:r>
            <w:r>
              <w:rPr>
                <w:rFonts w:ascii="Arial" w:cs="Arial" w:eastAsia="Arial" w:hAnsi="Arial"/>
                <w:sz w:val="8"/>
                <w:szCs w:val="8"/>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(20,312)</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(39,033)</w:t>
            </w:r>
          </w:p>
        </w:tc>
        <w:tc>
          <w:tcPr>
            <w:tcW w:w="20" w:type="dxa"/>
            <w:vAlign w:val="bottom"/>
            <w:shd w:val="clear" w:color="auto" w:fill="000000"/>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(17,368)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(34,103)</w:t>
            </w:r>
          </w:p>
        </w:tc>
        <w:tc>
          <w:tcPr>
            <w:tcW w:w="0" w:type="dxa"/>
            <w:vAlign w:val="bottom"/>
          </w:tcPr>
          <w:p>
            <w:pPr>
              <w:spacing w:after="0"/>
              <w:rPr>
                <w:sz w:val="1"/>
                <w:szCs w:val="1"/>
                <w:color w:val="auto"/>
              </w:rPr>
            </w:pPr>
          </w:p>
        </w:tc>
      </w:tr>
      <w:tr>
        <w:trPr>
          <w:trHeight w:val="201"/>
        </w:trPr>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color w:val="auto"/>
              </w:rPr>
              <w:t>Adjusted Net Income</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56,629</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108,819</w:t>
            </w:r>
          </w:p>
        </w:tc>
        <w:tc>
          <w:tcPr>
            <w:tcW w:w="12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48,420</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95,075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2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1" w:lineRule="exact"/>
              <w:rPr>
                <w:sz w:val="20"/>
                <w:szCs w:val="20"/>
                <w:color w:val="auto"/>
              </w:rPr>
            </w:pPr>
            <w:r>
              <w:rPr>
                <w:rFonts w:ascii="Arial" w:cs="Arial" w:eastAsia="Arial" w:hAnsi="Arial"/>
                <w:sz w:val="17"/>
                <w:szCs w:val="17"/>
                <w:color w:val="auto"/>
              </w:rPr>
              <w:t xml:space="preserve">0.23 </w:t>
            </w:r>
            <w:r>
              <w:rPr>
                <w:rFonts w:ascii="Arial" w:cs="Arial" w:eastAsia="Arial" w:hAnsi="Arial"/>
                <w:sz w:val="8"/>
                <w:szCs w:val="8"/>
                <w:color w:val="auto"/>
              </w:rPr>
              <w:t>(a)</w:t>
            </w:r>
            <w:r>
              <w:rPr>
                <w:rFonts w:ascii="Arial" w:cs="Arial" w:eastAsia="Arial" w:hAnsi="Arial"/>
                <w:sz w:val="17"/>
                <w:szCs w:val="17"/>
                <w:color w:val="auto"/>
              </w:rPr>
              <w:t xml:space="preserve">  /</w:t>
            </w: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 xml:space="preserve">Adjusted Diluted EPS </w:t>
            </w:r>
            <w:r>
              <w:rPr>
                <w:rFonts w:ascii="Arial" w:cs="Arial" w:eastAsia="Arial" w:hAnsi="Arial"/>
                <w:sz w:val="8"/>
                <w:szCs w:val="8"/>
                <w:b w:val="1"/>
                <w:bCs w:val="1"/>
                <w:color w:val="auto"/>
              </w:rPr>
              <w:t>(1)(6)</w:t>
            </w:r>
          </w:p>
        </w:tc>
        <w:tc>
          <w:tcPr>
            <w:tcW w:w="26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 xml:space="preserve">0.25 </w:t>
            </w:r>
            <w:r>
              <w:rPr>
                <w:rFonts w:ascii="Arial" w:cs="Arial" w:eastAsia="Arial" w:hAnsi="Arial"/>
                <w:sz w:val="8"/>
                <w:szCs w:val="8"/>
                <w:color w:val="auto"/>
              </w:rPr>
              <w:t>(b)</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 xml:space="preserve">0.25 </w:t>
            </w:r>
            <w:r>
              <w:rPr>
                <w:rFonts w:ascii="Arial" w:cs="Arial" w:eastAsia="Arial" w:hAnsi="Arial"/>
                <w:sz w:val="8"/>
                <w:szCs w:val="8"/>
                <w:color w:val="auto"/>
              </w:rPr>
              <w:t>(b)</w:t>
            </w:r>
          </w:p>
        </w:tc>
        <w:tc>
          <w:tcPr>
            <w:tcW w:w="20" w:type="dxa"/>
            <w:vAlign w:val="bottom"/>
            <w:shd w:val="clear" w:color="auto" w:fill="000000"/>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 xml:space="preserve">0.23 </w:t>
            </w:r>
            <w:r>
              <w:rPr>
                <w:rFonts w:ascii="Arial" w:cs="Arial" w:eastAsia="Arial" w:hAnsi="Arial"/>
                <w:sz w:val="8"/>
                <w:szCs w:val="8"/>
                <w:color w:val="auto"/>
              </w:rPr>
              <w:t>(a)</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 xml:space="preserve">0.45 </w:t>
            </w:r>
            <w:r>
              <w:rPr>
                <w:rFonts w:ascii="Arial" w:cs="Arial" w:eastAsia="Arial" w:hAnsi="Arial"/>
                <w:sz w:val="8"/>
                <w:szCs w:val="8"/>
                <w:color w:val="auto"/>
              </w:rPr>
              <w:t>(a)</w:t>
            </w:r>
          </w:p>
        </w:tc>
        <w:tc>
          <w:tcPr>
            <w:tcW w:w="0" w:type="dxa"/>
            <w:vAlign w:val="bottom"/>
          </w:tcPr>
          <w:p>
            <w:pPr>
              <w:spacing w:after="0"/>
              <w:rPr>
                <w:sz w:val="1"/>
                <w:szCs w:val="1"/>
                <w:color w:val="auto"/>
              </w:rPr>
            </w:pPr>
          </w:p>
        </w:tc>
      </w:tr>
      <w:tr>
        <w:trPr>
          <w:trHeight w:val="102"/>
        </w:trPr>
        <w:tc>
          <w:tcPr>
            <w:tcW w:w="2260" w:type="dxa"/>
            <w:vAlign w:val="bottom"/>
            <w:tcBorders>
              <w:top w:val="single" w:sz="8" w:color="CCEEFF"/>
              <w:bottom w:val="single" w:sz="8" w:color="auto"/>
            </w:tcBorders>
          </w:tcPr>
          <w:p>
            <w:pPr>
              <w:spacing w:after="0"/>
              <w:rPr>
                <w:sz w:val="8"/>
                <w:szCs w:val="8"/>
                <w:color w:val="auto"/>
              </w:rPr>
            </w:pPr>
          </w:p>
        </w:tc>
        <w:tc>
          <w:tcPr>
            <w:tcW w:w="200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380" w:right="40" w:hanging="306"/>
        <w:spacing w:after="0" w:line="217"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 April 2019, the Company completed the Reorganization Transactions and the IPO. As a result, certain earnings information is being presented separately for Tradeweb Markets LLC and Tradeweb Markets Inc.</w:t>
      </w:r>
    </w:p>
    <w:p>
      <w:pPr>
        <w:ind w:left="980" w:hanging="296"/>
        <w:spacing w:after="0" w:line="208" w:lineRule="auto"/>
        <w:tabs>
          <w:tab w:leader="none" w:pos="980" w:val="left"/>
        </w:tabs>
        <w:numPr>
          <w:ilvl w:val="1"/>
          <w:numId w:val="39"/>
        </w:numPr>
        <w:rPr>
          <w:rFonts w:ascii="Arial" w:cs="Arial" w:eastAsia="Arial" w:hAnsi="Arial"/>
          <w:sz w:val="14"/>
          <w:szCs w:val="14"/>
          <w:color w:val="auto"/>
        </w:rPr>
      </w:pPr>
      <w:r>
        <w:rPr>
          <w:rFonts w:ascii="Arial" w:cs="Arial" w:eastAsia="Arial" w:hAnsi="Arial"/>
          <w:sz w:val="14"/>
          <w:szCs w:val="14"/>
          <w:color w:val="auto"/>
        </w:rPr>
        <w:t>Presents information for Tradeweb Markets LLC (pre-IPO period).</w:t>
      </w:r>
    </w:p>
    <w:p>
      <w:pPr>
        <w:ind w:left="980" w:hanging="296"/>
        <w:spacing w:after="0" w:line="208" w:lineRule="auto"/>
        <w:tabs>
          <w:tab w:leader="none" w:pos="980" w:val="left"/>
        </w:tabs>
        <w:numPr>
          <w:ilvl w:val="1"/>
          <w:numId w:val="39"/>
        </w:numPr>
        <w:rPr>
          <w:rFonts w:ascii="Arial" w:cs="Arial" w:eastAsia="Arial" w:hAnsi="Arial"/>
          <w:sz w:val="14"/>
          <w:szCs w:val="14"/>
          <w:color w:val="auto"/>
        </w:rPr>
      </w:pPr>
      <w:r>
        <w:rPr>
          <w:rFonts w:ascii="Arial" w:cs="Arial" w:eastAsia="Arial" w:hAnsi="Arial"/>
          <w:sz w:val="14"/>
          <w:szCs w:val="14"/>
          <w:color w:val="auto"/>
        </w:rPr>
        <w:t>Presents information for Tradeweb Markets Inc. (post-IPO period).</w:t>
      </w:r>
    </w:p>
    <w:p>
      <w:pPr>
        <w:ind w:left="300"/>
        <w:spacing w:after="0"/>
        <w:rPr>
          <w:sz w:val="20"/>
          <w:szCs w:val="20"/>
          <w:color w:val="auto"/>
        </w:rPr>
      </w:pPr>
      <w:r>
        <w:rPr>
          <w:rFonts w:ascii="Arial" w:cs="Arial" w:eastAsia="Arial" w:hAnsi="Arial"/>
          <w:sz w:val="12"/>
          <w:szCs w:val="12"/>
          <w:color w:val="auto"/>
        </w:rPr>
        <w:t>See Note 16 – Earnings Per Share to our unaudited consolidated financial statements included elsewhere in this Quarterly Report on Form 10-Q.</w:t>
      </w:r>
    </w:p>
    <w:p>
      <w:pPr>
        <w:spacing w:after="0" w:line="193" w:lineRule="exact"/>
        <w:rPr>
          <w:sz w:val="20"/>
          <w:szCs w:val="20"/>
          <w:color w:val="auto"/>
        </w:rPr>
      </w:pPr>
    </w:p>
    <w:p>
      <w:pPr>
        <w:ind w:left="380" w:right="300" w:hanging="306"/>
        <w:spacing w:after="0" w:line="232"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For post-IPO periods, represents the reallocation of net income attributable to non-controlling interests from the assumed exchange of all outstanding LLC Interests held by non-controlling interests for shares of Class A or Class B common stock.</w:t>
      </w:r>
    </w:p>
    <w:p>
      <w:pPr>
        <w:spacing w:after="0" w:line="374" w:lineRule="exact"/>
        <w:rPr>
          <w:rFonts w:ascii="Arial" w:cs="Arial" w:eastAsia="Arial" w:hAnsi="Arial"/>
          <w:sz w:val="14"/>
          <w:szCs w:val="14"/>
          <w:color w:val="auto"/>
        </w:rPr>
      </w:pPr>
    </w:p>
    <w:p>
      <w:pPr>
        <w:ind w:left="380" w:right="160" w:hanging="306"/>
        <w:spacing w:after="0" w:line="224"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to the closing date of the Refinitiv Transaction).</w:t>
      </w:r>
    </w:p>
    <w:p>
      <w:pPr>
        <w:spacing w:after="0" w:line="171" w:lineRule="exact"/>
        <w:rPr>
          <w:rFonts w:ascii="Arial" w:cs="Arial" w:eastAsia="Arial" w:hAnsi="Arial"/>
          <w:sz w:val="14"/>
          <w:szCs w:val="14"/>
          <w:color w:val="auto"/>
        </w:rPr>
      </w:pPr>
    </w:p>
    <w:p>
      <w:pPr>
        <w:ind w:left="380" w:hanging="306"/>
        <w:spacing w:after="0"/>
        <w:tabs>
          <w:tab w:leader="none" w:pos="3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Represents foreign exchange gain or loss from the revaluation of cash denominated in a different currency than the entity’s functional currency.</w:t>
      </w:r>
    </w:p>
    <w:p>
      <w:pPr>
        <w:spacing w:after="0" w:line="205" w:lineRule="exact"/>
        <w:rPr>
          <w:rFonts w:ascii="Arial" w:cs="Arial" w:eastAsia="Arial" w:hAnsi="Arial"/>
          <w:sz w:val="12"/>
          <w:szCs w:val="12"/>
          <w:color w:val="auto"/>
        </w:rPr>
      </w:pPr>
    </w:p>
    <w:p>
      <w:pPr>
        <w:ind w:left="380" w:right="200" w:hanging="306"/>
        <w:spacing w:after="0" w:line="224"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corporate income taxes at an assumed effective tax rate of 26.4% for the three and six months ended June 30, 2019 and 2018 applied to Adjusted Net Income before income taxes. For pre-IPO periods, this adjustment assumes Tradeweb Markets LLC was subject to a corporate tax rate for the periods presented.</w:t>
      </w:r>
    </w:p>
    <w:p>
      <w:pPr>
        <w:spacing w:after="0" w:line="171" w:lineRule="exact"/>
        <w:rPr>
          <w:rFonts w:ascii="Arial" w:cs="Arial" w:eastAsia="Arial" w:hAnsi="Arial"/>
          <w:sz w:val="14"/>
          <w:szCs w:val="14"/>
          <w:color w:val="auto"/>
        </w:rPr>
      </w:pPr>
    </w:p>
    <w:p>
      <w:pPr>
        <w:ind w:left="380" w:right="20" w:hanging="306"/>
        <w:spacing w:after="0" w:line="303" w:lineRule="auto"/>
        <w:tabs>
          <w:tab w:leader="none" w:pos="3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Due to the Reorganization Transactions and the IPO completed in April 2019, shares outstanding during the six months ended June 30, 2019 represent shares of TWM LLC (pre-IPO period) and shares of Class A and Class B common stock of Tradeweb Markets Inc. (post-IPO period).</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65" w:name="page66"/>
    <w:bookmarkEnd w:id="6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The following table summarizes the calculation of Adjusted Diluted EPS for the three and six months ended June 30, 2019 and 2018: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15"/>
              <w:spacing w:after="0"/>
              <w:rPr>
                <w:sz w:val="20"/>
                <w:szCs w:val="20"/>
                <w:color w:val="auto"/>
              </w:rPr>
            </w:pPr>
            <w:r>
              <w:rPr>
                <w:rFonts w:ascii="Arial" w:cs="Arial" w:eastAsia="Arial" w:hAnsi="Arial"/>
                <w:sz w:val="17"/>
                <w:szCs w:val="17"/>
                <w:b w:val="1"/>
                <w:bCs w:val="1"/>
                <w:color w:val="auto"/>
                <w:w w:val="96"/>
              </w:rPr>
              <w:t>Pre-IPO</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15"/>
              <w:spacing w:after="0"/>
              <w:rPr>
                <w:sz w:val="20"/>
                <w:szCs w:val="20"/>
                <w:color w:val="auto"/>
              </w:rPr>
            </w:pPr>
            <w:r>
              <w:rPr>
                <w:rFonts w:ascii="Arial" w:cs="Arial" w:eastAsia="Arial" w:hAnsi="Arial"/>
                <w:sz w:val="17"/>
                <w:szCs w:val="17"/>
                <w:b w:val="1"/>
                <w:bCs w:val="1"/>
                <w:color w:val="auto"/>
                <w:w w:val="91"/>
              </w:rPr>
              <w:t>Post-IPO</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vMerge w:val="restart"/>
          </w:tcPr>
          <w:p>
            <w:pPr>
              <w:jc w:val="center"/>
              <w:ind w:right="15"/>
              <w:spacing w:after="0"/>
              <w:rPr>
                <w:sz w:val="20"/>
                <w:szCs w:val="20"/>
                <w:color w:val="auto"/>
              </w:rPr>
            </w:pPr>
            <w:r>
              <w:rPr>
                <w:rFonts w:ascii="Arial" w:cs="Arial" w:eastAsia="Arial" w:hAnsi="Arial"/>
                <w:sz w:val="17"/>
                <w:szCs w:val="17"/>
                <w:b w:val="1"/>
                <w:bCs w:val="1"/>
                <w:color w:val="auto"/>
                <w:w w:val="90"/>
              </w:rPr>
              <w:t>Three</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90"/>
              </w:rPr>
              <w:t>Period</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b w:val="1"/>
                <w:bCs w:val="1"/>
                <w:color w:val="auto"/>
                <w:w w:val="90"/>
              </w:rPr>
              <w:t>Period</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vMerge w:val="restart"/>
          </w:tcPr>
          <w:p>
            <w:pPr>
              <w:jc w:val="center"/>
              <w:ind w:right="15"/>
              <w:spacing w:after="0"/>
              <w:rPr>
                <w:sz w:val="20"/>
                <w:szCs w:val="20"/>
                <w:color w:val="auto"/>
              </w:rPr>
            </w:pPr>
            <w:r>
              <w:rPr>
                <w:rFonts w:ascii="Arial" w:cs="Arial" w:eastAsia="Arial" w:hAnsi="Arial"/>
                <w:sz w:val="17"/>
                <w:szCs w:val="17"/>
                <w:b w:val="1"/>
                <w:bCs w:val="1"/>
                <w:color w:val="auto"/>
                <w:w w:val="90"/>
              </w:rPr>
              <w:t>Three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vMerge w:val="restart"/>
          </w:tcPr>
          <w:p>
            <w:pPr>
              <w:jc w:val="center"/>
              <w:ind w:right="35"/>
              <w:spacing w:after="0"/>
              <w:rPr>
                <w:sz w:val="20"/>
                <w:szCs w:val="20"/>
                <w:color w:val="auto"/>
              </w:rPr>
            </w:pPr>
            <w:r>
              <w:rPr>
                <w:rFonts w:ascii="Arial" w:cs="Arial" w:eastAsia="Arial" w:hAnsi="Arial"/>
                <w:sz w:val="17"/>
                <w:szCs w:val="17"/>
                <w:b w:val="1"/>
                <w:bCs w:val="1"/>
                <w:color w:val="auto"/>
                <w:w w:val="86"/>
              </w:rPr>
              <w:t>Six</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5"/>
              <w:spacing w:after="0" w:line="180" w:lineRule="exact"/>
              <w:rPr>
                <w:sz w:val="20"/>
                <w:szCs w:val="20"/>
                <w:color w:val="auto"/>
              </w:rPr>
            </w:pPr>
            <w:r>
              <w:rPr>
                <w:rFonts w:ascii="Arial" w:cs="Arial" w:eastAsia="Arial" w:hAnsi="Arial"/>
                <w:sz w:val="17"/>
                <w:szCs w:val="17"/>
                <w:b w:val="1"/>
                <w:bCs w:val="1"/>
                <w:color w:val="auto"/>
                <w:w w:val="93"/>
              </w:rPr>
              <w:t>Six</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15"/>
              <w:spacing w:after="0" w:line="180" w:lineRule="exact"/>
              <w:rPr>
                <w:sz w:val="20"/>
                <w:szCs w:val="20"/>
                <w:color w:val="auto"/>
              </w:rPr>
            </w:pPr>
            <w:r>
              <w:rPr>
                <w:rFonts w:ascii="Arial" w:cs="Arial" w:eastAsia="Arial" w:hAnsi="Arial"/>
                <w:sz w:val="17"/>
                <w:szCs w:val="17"/>
                <w:b w:val="1"/>
                <w:bCs w:val="1"/>
                <w:color w:val="auto"/>
                <w:w w:val="86"/>
              </w:rPr>
              <w:t>Six</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b w:val="1"/>
                <w:bCs w:val="1"/>
                <w:color w:val="auto"/>
                <w:w w:val="92"/>
              </w:rPr>
              <w:t>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15"/>
              <w:spacing w:after="0"/>
              <w:rPr>
                <w:sz w:val="20"/>
                <w:szCs w:val="20"/>
                <w:color w:val="auto"/>
              </w:rPr>
            </w:pPr>
            <w:r>
              <w:rPr>
                <w:rFonts w:ascii="Arial" w:cs="Arial" w:eastAsia="Arial" w:hAnsi="Arial"/>
                <w:sz w:val="17"/>
                <w:szCs w:val="17"/>
                <w:b w:val="1"/>
                <w:bCs w:val="1"/>
                <w:color w:val="auto"/>
                <w:w w:val="92"/>
              </w:rPr>
              <w:t>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35"/>
              <w:spacing w:after="0"/>
              <w:rPr>
                <w:sz w:val="20"/>
                <w:szCs w:val="20"/>
                <w:color w:val="auto"/>
              </w:rPr>
            </w:pPr>
            <w:r>
              <w:rPr>
                <w:rFonts w:ascii="Arial" w:cs="Arial" w:eastAsia="Arial" w:hAnsi="Arial"/>
                <w:sz w:val="17"/>
                <w:szCs w:val="17"/>
                <w:b w:val="1"/>
                <w:bCs w:val="1"/>
                <w:color w:val="auto"/>
                <w:w w:val="92"/>
              </w:rPr>
              <w:t>Months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15"/>
              <w:spacing w:after="0"/>
              <w:rPr>
                <w:sz w:val="20"/>
                <w:szCs w:val="20"/>
                <w:color w:val="auto"/>
              </w:rPr>
            </w:pPr>
            <w:r>
              <w:rPr>
                <w:rFonts w:ascii="Arial" w:cs="Arial" w:eastAsia="Arial" w:hAnsi="Arial"/>
                <w:sz w:val="17"/>
                <w:szCs w:val="17"/>
                <w:b w:val="1"/>
                <w:bCs w:val="1"/>
                <w:color w:val="auto"/>
                <w:w w:val="89"/>
              </w:rPr>
              <w:t>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15"/>
              <w:spacing w:after="0"/>
              <w:rPr>
                <w:sz w:val="20"/>
                <w:szCs w:val="20"/>
                <w:color w:val="auto"/>
              </w:rPr>
            </w:pPr>
            <w:r>
              <w:rPr>
                <w:rFonts w:ascii="Arial" w:cs="Arial" w:eastAsia="Arial" w:hAnsi="Arial"/>
                <w:sz w:val="17"/>
                <w:szCs w:val="17"/>
                <w:b w:val="1"/>
                <w:bCs w:val="1"/>
                <w:color w:val="auto"/>
                <w:w w:val="92"/>
              </w:rPr>
              <w:t>Months</w:t>
            </w:r>
          </w:p>
        </w:tc>
        <w:tc>
          <w:tcPr>
            <w:tcW w:w="0" w:type="dxa"/>
            <w:vAlign w:val="bottom"/>
          </w:tcPr>
          <w:p>
            <w:pPr>
              <w:spacing w:after="0"/>
              <w:rPr>
                <w:sz w:val="1"/>
                <w:szCs w:val="1"/>
                <w:color w:val="auto"/>
              </w:rPr>
            </w:pPr>
          </w:p>
        </w:tc>
      </w:tr>
      <w:tr>
        <w:trPr>
          <w:trHeight w:val="219"/>
        </w:trPr>
        <w:tc>
          <w:tcPr>
            <w:tcW w:w="3540" w:type="dxa"/>
            <w:vAlign w:val="bottom"/>
            <w:vMerge w:val="restart"/>
          </w:tcPr>
          <w:p>
            <w:pPr>
              <w:spacing w:after="0"/>
              <w:rPr>
                <w:sz w:val="20"/>
                <w:szCs w:val="20"/>
                <w:color w:val="auto"/>
              </w:rPr>
            </w:pPr>
            <w:r>
              <w:rPr>
                <w:rFonts w:ascii="Arial" w:cs="Arial" w:eastAsia="Arial" w:hAnsi="Arial"/>
                <w:sz w:val="17"/>
                <w:szCs w:val="17"/>
                <w:b w:val="1"/>
                <w:bCs w:val="1"/>
                <w:color w:val="auto"/>
                <w:w w:val="99"/>
              </w:rPr>
              <w:t>Reconciliation of Diluted Weighted Average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ind w:right="15"/>
              <w:spacing w:after="0"/>
              <w:rPr>
                <w:sz w:val="20"/>
                <w:szCs w:val="20"/>
                <w:color w:val="auto"/>
              </w:rPr>
            </w:pPr>
            <w:r>
              <w:rPr>
                <w:rFonts w:ascii="Arial" w:cs="Arial" w:eastAsia="Arial" w:hAnsi="Arial"/>
                <w:sz w:val="17"/>
                <w:szCs w:val="17"/>
                <w:b w:val="1"/>
                <w:bCs w:val="1"/>
                <w:color w:val="auto"/>
                <w:w w:val="88"/>
              </w:rPr>
              <w:t>Ended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center"/>
              <w:ind w:right="15"/>
              <w:spacing w:after="0"/>
              <w:rPr>
                <w:sz w:val="20"/>
                <w:szCs w:val="20"/>
                <w:color w:val="auto"/>
              </w:rPr>
            </w:pPr>
            <w:r>
              <w:rPr>
                <w:rFonts w:ascii="Arial" w:cs="Arial" w:eastAsia="Arial" w:hAnsi="Arial"/>
                <w:sz w:val="17"/>
                <w:szCs w:val="17"/>
                <w:b w:val="1"/>
                <w:bCs w:val="1"/>
                <w:color w:val="auto"/>
                <w:w w:val="92"/>
              </w:rPr>
              <w:t>Ended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ind w:right="15"/>
              <w:spacing w:after="0"/>
              <w:rPr>
                <w:sz w:val="20"/>
                <w:szCs w:val="20"/>
                <w:color w:val="auto"/>
              </w:rPr>
            </w:pPr>
            <w:r>
              <w:rPr>
                <w:rFonts w:ascii="Arial" w:cs="Arial" w:eastAsia="Arial" w:hAnsi="Arial"/>
                <w:sz w:val="17"/>
                <w:szCs w:val="17"/>
                <w:b w:val="1"/>
                <w:bCs w:val="1"/>
                <w:color w:val="auto"/>
                <w:w w:val="88"/>
              </w:rPr>
              <w:t>Ended</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ind w:right="15"/>
              <w:spacing w:after="0"/>
              <w:rPr>
                <w:sz w:val="20"/>
                <w:szCs w:val="20"/>
                <w:color w:val="auto"/>
              </w:rPr>
            </w:pPr>
            <w:r>
              <w:rPr>
                <w:rFonts w:ascii="Arial" w:cs="Arial" w:eastAsia="Arial" w:hAnsi="Arial"/>
                <w:sz w:val="17"/>
                <w:szCs w:val="17"/>
                <w:b w:val="1"/>
                <w:bCs w:val="1"/>
                <w:color w:val="auto"/>
                <w:w w:val="88"/>
              </w:rPr>
              <w:t>Ended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center"/>
              <w:ind w:right="15"/>
              <w:spacing w:after="0"/>
              <w:rPr>
                <w:sz w:val="20"/>
                <w:szCs w:val="20"/>
                <w:color w:val="auto"/>
              </w:rPr>
            </w:pPr>
            <w:r>
              <w:rPr>
                <w:rFonts w:ascii="Arial" w:cs="Arial" w:eastAsia="Arial" w:hAnsi="Arial"/>
                <w:sz w:val="17"/>
                <w:szCs w:val="17"/>
                <w:b w:val="1"/>
                <w:bCs w:val="1"/>
                <w:color w:val="auto"/>
                <w:w w:val="92"/>
              </w:rPr>
              <w:t>Ended</w:t>
            </w:r>
          </w:p>
        </w:tc>
        <w:tc>
          <w:tcPr>
            <w:tcW w:w="0" w:type="dxa"/>
            <w:vAlign w:val="bottom"/>
          </w:tcPr>
          <w:p>
            <w:pPr>
              <w:spacing w:after="0"/>
              <w:rPr>
                <w:sz w:val="1"/>
                <w:szCs w:val="1"/>
                <w:color w:val="auto"/>
              </w:rPr>
            </w:pPr>
          </w:p>
        </w:tc>
      </w:tr>
      <w:tr>
        <w:trPr>
          <w:trHeight w:val="188"/>
        </w:trPr>
        <w:tc>
          <w:tcPr>
            <w:tcW w:w="3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7"/>
                <w:szCs w:val="17"/>
                <w:b w:val="1"/>
                <w:bCs w:val="1"/>
                <w:color w:val="auto"/>
              </w:rPr>
              <w:t>Shares Outstanding to</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35"/>
              <w:spacing w:after="0"/>
              <w:rPr>
                <w:sz w:val="20"/>
                <w:szCs w:val="20"/>
                <w:color w:val="auto"/>
              </w:rPr>
            </w:pPr>
            <w:r>
              <w:rPr>
                <w:rFonts w:ascii="Arial" w:cs="Arial" w:eastAsia="Arial" w:hAnsi="Arial"/>
                <w:sz w:val="17"/>
                <w:szCs w:val="17"/>
                <w:b w:val="1"/>
                <w:bCs w:val="1"/>
                <w:color w:val="auto"/>
                <w:w w:val="88"/>
              </w:rPr>
              <w:t>June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55"/>
              <w:spacing w:after="0"/>
              <w:rPr>
                <w:sz w:val="20"/>
                <w:szCs w:val="20"/>
                <w:color w:val="auto"/>
              </w:rPr>
            </w:pPr>
            <w:r>
              <w:rPr>
                <w:rFonts w:ascii="Arial" w:cs="Arial" w:eastAsia="Arial" w:hAnsi="Arial"/>
                <w:sz w:val="17"/>
                <w:szCs w:val="17"/>
                <w:b w:val="1"/>
                <w:bCs w:val="1"/>
                <w:color w:val="auto"/>
                <w:w w:val="88"/>
              </w:rPr>
              <w:t>June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75"/>
              <w:spacing w:after="0"/>
              <w:rPr>
                <w:sz w:val="20"/>
                <w:szCs w:val="20"/>
                <w:color w:val="auto"/>
              </w:rPr>
            </w:pPr>
            <w:r>
              <w:rPr>
                <w:rFonts w:ascii="Arial" w:cs="Arial" w:eastAsia="Arial" w:hAnsi="Arial"/>
                <w:sz w:val="17"/>
                <w:szCs w:val="17"/>
                <w:b w:val="1"/>
                <w:bCs w:val="1"/>
                <w:color w:val="auto"/>
                <w:w w:val="88"/>
              </w:rPr>
              <w:t>June 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55"/>
              <w:spacing w:after="0"/>
              <w:rPr>
                <w:sz w:val="20"/>
                <w:szCs w:val="20"/>
                <w:color w:val="auto"/>
              </w:rPr>
            </w:pPr>
            <w:r>
              <w:rPr>
                <w:rFonts w:ascii="Arial" w:cs="Arial" w:eastAsia="Arial" w:hAnsi="Arial"/>
                <w:sz w:val="17"/>
                <w:szCs w:val="17"/>
                <w:b w:val="1"/>
                <w:bCs w:val="1"/>
                <w:color w:val="auto"/>
                <w:w w:val="91"/>
              </w:rPr>
              <w:t>June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55"/>
              <w:spacing w:after="0"/>
              <w:rPr>
                <w:sz w:val="20"/>
                <w:szCs w:val="20"/>
                <w:color w:val="auto"/>
              </w:rPr>
            </w:pPr>
            <w:r>
              <w:rPr>
                <w:rFonts w:ascii="Arial" w:cs="Arial" w:eastAsia="Arial" w:hAnsi="Arial"/>
                <w:sz w:val="17"/>
                <w:szCs w:val="17"/>
                <w:b w:val="1"/>
                <w:bCs w:val="1"/>
                <w:color w:val="auto"/>
                <w:w w:val="88"/>
              </w:rPr>
              <w:t>June 30,</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7"/>
                <w:szCs w:val="17"/>
                <w:b w:val="1"/>
                <w:bCs w:val="1"/>
                <w:color w:val="auto"/>
              </w:rPr>
              <w:t>Adjusted Diluted Weighted Average Shares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Outstanding</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9"/>
              </w:rPr>
              <w:t>2019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4"/>
              </w:rPr>
              <w:t>2019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9"/>
              </w:rPr>
              <w:t>2019</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9"/>
              </w:rPr>
              <w:t>2018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b w:val="1"/>
                <w:bCs w:val="1"/>
                <w:color w:val="auto"/>
                <w:w w:val="89"/>
              </w:rPr>
              <w:t>2018</w:t>
            </w:r>
          </w:p>
        </w:tc>
        <w:tc>
          <w:tcPr>
            <w:tcW w:w="0" w:type="dxa"/>
            <w:vAlign w:val="bottom"/>
          </w:tcPr>
          <w:p>
            <w:pPr>
              <w:spacing w:after="0"/>
              <w:rPr>
                <w:sz w:val="1"/>
                <w:szCs w:val="1"/>
                <w:color w:val="auto"/>
              </w:rPr>
            </w:pPr>
          </w:p>
        </w:tc>
      </w:tr>
      <w:tr>
        <w:trPr>
          <w:trHeight w:val="184"/>
        </w:trPr>
        <w:tc>
          <w:tcPr>
            <w:tcW w:w="354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Diluted weighted average TWM LLC shares</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outstanding</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223,320,457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213,435,314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213,435,314</w:t>
            </w:r>
          </w:p>
        </w:tc>
        <w:tc>
          <w:tcPr>
            <w:tcW w:w="0" w:type="dxa"/>
            <w:vAlign w:val="bottom"/>
          </w:tcPr>
          <w:p>
            <w:pPr>
              <w:spacing w:after="0"/>
              <w:rPr>
                <w:sz w:val="1"/>
                <w:szCs w:val="1"/>
                <w:color w:val="auto"/>
              </w:rPr>
            </w:pPr>
          </w:p>
        </w:tc>
      </w:tr>
      <w:tr>
        <w:trPr>
          <w:trHeight w:val="191"/>
        </w:trPr>
        <w:tc>
          <w:tcPr>
            <w:tcW w:w="3540" w:type="dxa"/>
            <w:vAlign w:val="bottom"/>
          </w:tcPr>
          <w:p>
            <w:pPr>
              <w:spacing w:after="0" w:line="191" w:lineRule="exact"/>
              <w:rPr>
                <w:sz w:val="20"/>
                <w:szCs w:val="20"/>
                <w:color w:val="auto"/>
              </w:rPr>
            </w:pPr>
            <w:r>
              <w:rPr>
                <w:rFonts w:ascii="Arial" w:cs="Arial" w:eastAsia="Arial" w:hAnsi="Arial"/>
                <w:sz w:val="17"/>
                <w:szCs w:val="17"/>
                <w:color w:val="auto"/>
                <w:w w:val="97"/>
              </w:rPr>
              <w:t>Diluted weighted average shares of Class A and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540" w:type="dxa"/>
            <w:vAlign w:val="bottom"/>
          </w:tcPr>
          <w:p>
            <w:pPr>
              <w:spacing w:after="0"/>
              <w:rPr>
                <w:sz w:val="20"/>
                <w:szCs w:val="20"/>
                <w:color w:val="auto"/>
              </w:rPr>
            </w:pPr>
            <w:r>
              <w:rPr>
                <w:rFonts w:ascii="Arial" w:cs="Arial" w:eastAsia="Arial" w:hAnsi="Arial"/>
                <w:sz w:val="17"/>
                <w:szCs w:val="17"/>
                <w:color w:val="auto"/>
              </w:rPr>
              <w:t>Class B common stock outstanding</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w w:val="88"/>
              </w:rPr>
              <w:t>150,847,183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w w:val="88"/>
              </w:rPr>
              <w:t>150,847,183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354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w w:val="94"/>
              </w:rPr>
              <w:t>Assumed exchange of LLC interests for shares of</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Class A or Class B common stock </w:t>
            </w:r>
            <w:r>
              <w:rPr>
                <w:rFonts w:ascii="Arial" w:cs="Arial" w:eastAsia="Arial" w:hAnsi="Arial"/>
                <w:sz w:val="8"/>
                <w:szCs w:val="8"/>
                <w:color w:val="auto"/>
              </w:rPr>
              <w:t>(1)</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79,289,005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79,289,005</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1"/>
        </w:trPr>
        <w:tc>
          <w:tcPr>
            <w:tcW w:w="3540" w:type="dxa"/>
            <w:vAlign w:val="bottom"/>
          </w:tcPr>
          <w:p>
            <w:pPr>
              <w:spacing w:after="0" w:line="171" w:lineRule="exact"/>
              <w:rPr>
                <w:sz w:val="20"/>
                <w:szCs w:val="20"/>
                <w:color w:val="auto"/>
              </w:rPr>
            </w:pPr>
            <w:r>
              <w:rPr>
                <w:rFonts w:ascii="Arial" w:cs="Arial" w:eastAsia="Arial" w:hAnsi="Arial"/>
                <w:sz w:val="17"/>
                <w:szCs w:val="17"/>
                <w:color w:val="auto"/>
              </w:rPr>
              <w:t>Adjusted diluted weighted average 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w w:val="88"/>
              </w:rPr>
              <w:t>230,136,188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w w:val="88"/>
              </w:rPr>
              <w:t>223,320,457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w w:val="88"/>
              </w:rPr>
              <w:t>230,136,188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w w:val="88"/>
              </w:rPr>
              <w:t>213,435,314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w w:val="86"/>
              </w:rPr>
              <w:t>213,435,314</w:t>
            </w:r>
          </w:p>
        </w:tc>
        <w:tc>
          <w:tcPr>
            <w:tcW w:w="0" w:type="dxa"/>
            <w:vAlign w:val="bottom"/>
          </w:tcPr>
          <w:p>
            <w:pPr>
              <w:spacing w:after="0"/>
              <w:rPr>
                <w:sz w:val="1"/>
                <w:szCs w:val="1"/>
                <w:color w:val="auto"/>
              </w:rPr>
            </w:pPr>
          </w:p>
        </w:tc>
      </w:tr>
      <w:tr>
        <w:trPr>
          <w:trHeight w:val="208"/>
        </w:trPr>
        <w:tc>
          <w:tcPr>
            <w:tcW w:w="35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outstanding</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Adjusted Net Income</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56,629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52,190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56,629</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48,420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95,075</w:t>
            </w:r>
          </w:p>
        </w:tc>
        <w:tc>
          <w:tcPr>
            <w:tcW w:w="0" w:type="dxa"/>
            <w:vAlign w:val="bottom"/>
          </w:tcPr>
          <w:p>
            <w:pPr>
              <w:spacing w:after="0"/>
              <w:rPr>
                <w:sz w:val="1"/>
                <w:szCs w:val="1"/>
                <w:color w:val="auto"/>
              </w:rPr>
            </w:pPr>
          </w:p>
        </w:tc>
      </w:tr>
      <w:tr>
        <w:trPr>
          <w:trHeight w:val="209"/>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Adjusted Diluted EPS</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0.45</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920" w:right="500" w:hanging="312"/>
        <w:spacing w:after="0" w:line="303" w:lineRule="auto"/>
        <w:tabs>
          <w:tab w:leader="none" w:pos="9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Assumes the full exchange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June 30, 2019, we did not have any off-balance sheet arrangements.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15" w:lineRule="exact"/>
        <w:rPr>
          <w:sz w:val="20"/>
          <w:szCs w:val="20"/>
          <w:color w:val="auto"/>
        </w:rPr>
      </w:pPr>
    </w:p>
    <w:p>
      <w:pPr>
        <w:ind w:right="380" w:firstLine="305"/>
        <w:spacing w:after="0" w:line="312" w:lineRule="auto"/>
        <w:rPr>
          <w:sz w:val="20"/>
          <w:szCs w:val="20"/>
          <w:color w:val="auto"/>
        </w:rPr>
      </w:pPr>
      <w:r>
        <w:rPr>
          <w:rFonts w:ascii="Arial" w:cs="Arial" w:eastAsia="Arial" w:hAnsi="Arial"/>
          <w:sz w:val="15"/>
          <w:szCs w:val="15"/>
          <w:color w:val="auto"/>
        </w:rPr>
        <w:t>Our consolidated financial statements are prepared in accordance with U.S. GAAP which requires us to make estimates and assumptions about future events that affect the reported amounts of assets, liabilities, revenues and expenses, and disclosure of contingent assets and liabilities. Management evaluates its accounting policies, estimates and judgments on an on-going basis.</w:t>
      </w:r>
    </w:p>
    <w:p>
      <w:pPr>
        <w:spacing w:after="0" w:line="141" w:lineRule="exact"/>
        <w:rPr>
          <w:sz w:val="20"/>
          <w:szCs w:val="20"/>
          <w:color w:val="auto"/>
        </w:rPr>
      </w:pPr>
    </w:p>
    <w:p>
      <w:pPr>
        <w:ind w:right="140" w:firstLine="305"/>
        <w:spacing w:after="0" w:line="253" w:lineRule="auto"/>
        <w:rPr>
          <w:sz w:val="20"/>
          <w:szCs w:val="20"/>
          <w:color w:val="auto"/>
        </w:rPr>
      </w:pPr>
      <w:r>
        <w:rPr>
          <w:rFonts w:ascii="Arial" w:cs="Arial" w:eastAsia="Arial" w:hAnsi="Arial"/>
          <w:sz w:val="17"/>
          <w:szCs w:val="17"/>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With respect to critical accounting policies,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unaudited consolidated financial statements included elsewhere in this Quarterly Report on Form 10-Q.</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11" w:lineRule="exact"/>
        <w:rPr>
          <w:sz w:val="20"/>
          <w:szCs w:val="20"/>
          <w:color w:val="auto"/>
        </w:rPr>
      </w:pPr>
    </w:p>
    <w:p>
      <w:pPr>
        <w:ind w:right="20" w:firstLine="305"/>
        <w:spacing w:after="0" w:line="275"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and disclosures in our consolidated financial statements and accompanying notes.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66" w:name="page67"/>
    <w:bookmarkEnd w:id="6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Information from these sources form the basis for making judgments about the carrying values of assets and liabilities that may not be readily apparent from other sources. Therefore, actual results could differ materially from those estimates. Such estimates include pushdown accounting, intangible assets, goodwill, software development costs, stock based compensation, contingent consideration payable and current and deferred income taxes.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Pushdown Accounting</w:t>
      </w:r>
    </w:p>
    <w:p>
      <w:pPr>
        <w:spacing w:after="0" w:line="211" w:lineRule="exact"/>
        <w:rPr>
          <w:sz w:val="20"/>
          <w:szCs w:val="20"/>
          <w:color w:val="auto"/>
        </w:rPr>
      </w:pPr>
    </w:p>
    <w:p>
      <w:pPr>
        <w:ind w:right="40" w:firstLine="305"/>
        <w:spacing w:after="0" w:line="253" w:lineRule="auto"/>
        <w:rPr>
          <w:sz w:val="20"/>
          <w:szCs w:val="20"/>
          <w:color w:val="auto"/>
        </w:rPr>
      </w:pPr>
      <w:r>
        <w:rPr>
          <w:rFonts w:ascii="Arial" w:cs="Arial" w:eastAsia="Arial" w:hAnsi="Arial"/>
          <w:sz w:val="17"/>
          <w:szCs w:val="17"/>
          <w:color w:val="auto"/>
        </w:rPr>
        <w:t>The Refinitiv Transaction was accounted for by Refinitiv in accordance with the acquisition method of accounting pursuant to ASC 805 “Business Combinations” and pushdown accounting was applied to Refinitiv to record the fair value of the assets and liabilities of Refinitiv on the date of the Refinitiv Transaction. We, as a consolidating subsidiary of Refinitiv, also accounted for the Refinitiv Transaction using pushdown accounting. Under pushdown accounting, the excess of our fair value above the fair value accounting basis of our net assets and liabilities is recorded as goodwill. The fair value of assets acquired and liabilities assumed was determined based on assumptions that reasonable market participants would use in the principal (or most advantageous) market for the asset or liability.</w:t>
      </w:r>
    </w:p>
    <w:p>
      <w:pPr>
        <w:spacing w:after="0" w:line="184" w:lineRule="exact"/>
        <w:rPr>
          <w:sz w:val="20"/>
          <w:szCs w:val="20"/>
          <w:color w:val="auto"/>
        </w:rPr>
      </w:pPr>
    </w:p>
    <w:p>
      <w:pPr>
        <w:ind w:right="100" w:firstLine="305"/>
        <w:spacing w:after="0" w:line="257" w:lineRule="auto"/>
        <w:rPr>
          <w:sz w:val="20"/>
          <w:szCs w:val="20"/>
          <w:color w:val="auto"/>
        </w:rPr>
      </w:pPr>
      <w:r>
        <w:rPr>
          <w:rFonts w:ascii="Arial" w:cs="Arial" w:eastAsia="Arial" w:hAnsi="Arial"/>
          <w:sz w:val="17"/>
          <w:szCs w:val="17"/>
          <w:color w:val="auto"/>
        </w:rPr>
        <w:t>In determining the fair value of the assets acquired and the liabilities assumed, we considered a report of a third-party valuation expert. Management is responsible for these internal and third-party valuations and appraisals and they are continuing to review the amounts and allocations to finalize these amounts. We have one year from the date of the Refinitiv Transaction to finalize these amounts.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211" w:lineRule="exact"/>
        <w:rPr>
          <w:sz w:val="20"/>
          <w:szCs w:val="20"/>
          <w:color w:val="auto"/>
        </w:rPr>
      </w:pPr>
    </w:p>
    <w:p>
      <w:pPr>
        <w:ind w:right="40" w:firstLine="305"/>
        <w:spacing w:after="0" w:line="255" w:lineRule="auto"/>
        <w:rPr>
          <w:sz w:val="20"/>
          <w:szCs w:val="20"/>
          <w:color w:val="auto"/>
        </w:rPr>
      </w:pPr>
      <w:r>
        <w:rPr>
          <w:rFonts w:ascii="Arial" w:cs="Arial" w:eastAsia="Arial" w:hAnsi="Arial"/>
          <w:sz w:val="17"/>
          <w:szCs w:val="17"/>
          <w:color w:val="auto"/>
        </w:rPr>
        <w:t>We amortize our intangible assets over the estimated useful lives and test for impairment whenever events or changes in circumstances suggest that an asset’s or asset group’s carrying value may not be fully recoverable. We test our intangible assets with an indefinite useful life for impairment at least annually. An impairment loss is recognized if the sum of the estimated discounted cash flows relating to the asset or asset group is less than the corresponding carrying value. Intangible assets are amortized over their estimated useful lives of seven to sixteen years.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211" w:lineRule="exact"/>
        <w:rPr>
          <w:sz w:val="20"/>
          <w:szCs w:val="20"/>
          <w:color w:val="auto"/>
        </w:rPr>
      </w:pPr>
    </w:p>
    <w:p>
      <w:pPr>
        <w:ind w:right="60" w:firstLine="305"/>
        <w:spacing w:after="0" w:line="292" w:lineRule="auto"/>
        <w:rPr>
          <w:sz w:val="20"/>
          <w:szCs w:val="20"/>
          <w:color w:val="auto"/>
        </w:rPr>
      </w:pPr>
      <w:r>
        <w:rPr>
          <w:rFonts w:ascii="Arial" w:cs="Arial" w:eastAsia="Arial" w:hAnsi="Arial"/>
          <w:sz w:val="15"/>
          <w:szCs w:val="15"/>
          <w:color w:val="auto"/>
        </w:rPr>
        <w:t>Goodwill arises out of pushdown accounting and business combinations and is the cost of acquired companies in excess of the fair value of identifiable net assets at acquisition date. We test our goodwill at least annually for impairment and recognize an impairment loss if the estimated fair value of a reporting unit is less than its net book value. The Company is one reporting unit for goodwill impairment testing purposes. The fair value of a reporting unit is calculated using a discounted cash flow or a revenues and earnings multiple approach. We calculate such loss as the difference between the estimated fair value of goodwill and its carrying value. If future events or results differ adversely from the estimates and assumptions made at acquisition or as part of subsequent impairment tests, we may record increased amortization or impairment charges in the future.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Software Development Costs</w:t>
      </w:r>
    </w:p>
    <w:p>
      <w:pPr>
        <w:spacing w:after="0" w:line="211" w:lineRule="exact"/>
        <w:rPr>
          <w:sz w:val="20"/>
          <w:szCs w:val="20"/>
          <w:color w:val="auto"/>
        </w:rPr>
      </w:pPr>
    </w:p>
    <w:p>
      <w:pPr>
        <w:ind w:firstLine="305"/>
        <w:spacing w:after="0" w:line="252" w:lineRule="auto"/>
        <w:rPr>
          <w:sz w:val="20"/>
          <w:szCs w:val="20"/>
          <w:color w:val="auto"/>
        </w:rPr>
      </w:pPr>
      <w:r>
        <w:rPr>
          <w:rFonts w:ascii="Arial" w:cs="Arial" w:eastAsia="Arial" w:hAnsi="Arial"/>
          <w:sz w:val="17"/>
          <w:szCs w:val="17"/>
          <w:color w:val="auto"/>
        </w:rPr>
        <w:t>We capitalize certain costs associated with the development of internal use software at the point at which the conceptual formulation, design and testing of possible software project alternatives have been completed, including among other items, employee compensation and related benefits and third-party consulting costs incurred during the application development stage which directly contribute to such development. Such costs are amortized on a straight-line basis over three years. Costs capitalized as part of the pushdown accounting allocation are amortized over nine years. We review the amounts capitalized for impairment whenever events or changes in circumstances indicate that the carrying amounts of the assets may not be fully recoverable, or that their useful lives are shorter than originally expected. Due to rapidly changing technology and the uncertainty of the software development process itself, future results could be affected if management’s current assessment of its software projects differs from actual performance.</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67" w:name="page68"/>
    <w:bookmarkEnd w:id="6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11" w:lineRule="exact"/>
        <w:rPr>
          <w:sz w:val="20"/>
          <w:szCs w:val="20"/>
          <w:color w:val="auto"/>
        </w:rPr>
      </w:pPr>
    </w:p>
    <w:p>
      <w:pPr>
        <w:ind w:right="100" w:firstLine="305"/>
        <w:spacing w:after="0" w:line="302" w:lineRule="auto"/>
        <w:rPr>
          <w:sz w:val="20"/>
          <w:szCs w:val="20"/>
          <w:color w:val="auto"/>
        </w:rPr>
      </w:pPr>
      <w:r>
        <w:rPr>
          <w:rFonts w:ascii="Arial" w:cs="Arial" w:eastAsia="Arial" w:hAnsi="Arial"/>
          <w:sz w:val="15"/>
          <w:szCs w:val="15"/>
          <w:color w:val="auto"/>
        </w:rPr>
        <w:t>We earn fees from Refinitiv relating to the sale of market data to Refinitiv, which redistributes that data. Included in these fees are real-time market data fees which are recognized in the period that the data is provided, generally on a monthly basis, and fees for historical data sets which are recognized when the historical data set is provided to Refinitiv. We are required to make significant judgements for the Refinitiv market data fees. Significant judgements used in accounting for this contract include:</w:t>
      </w:r>
    </w:p>
    <w:p>
      <w:pPr>
        <w:spacing w:after="0" w:line="148" w:lineRule="exact"/>
        <w:rPr>
          <w:sz w:val="20"/>
          <w:szCs w:val="20"/>
          <w:color w:val="auto"/>
        </w:rPr>
      </w:pPr>
    </w:p>
    <w:p>
      <w:pPr>
        <w:ind w:left="600" w:hanging="297"/>
        <w:spacing w:after="0"/>
        <w:tabs>
          <w:tab w:leader="none" w:pos="6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provision of real-time market data feeds and annual historical data sets are distinct performance obligations.</w:t>
      </w:r>
    </w:p>
    <w:p>
      <w:pPr>
        <w:spacing w:after="0" w:line="211" w:lineRule="exact"/>
        <w:rPr>
          <w:rFonts w:ascii="Arial" w:cs="Arial" w:eastAsia="Arial" w:hAnsi="Arial"/>
          <w:sz w:val="17"/>
          <w:szCs w:val="17"/>
          <w:color w:val="auto"/>
        </w:rPr>
      </w:pPr>
    </w:p>
    <w:p>
      <w:pPr>
        <w:ind w:left="600" w:right="140" w:hanging="297"/>
        <w:spacing w:after="0" w:line="273" w:lineRule="auto"/>
        <w:tabs>
          <w:tab w:leader="none" w:pos="6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performance obligations under this contract are recognized over time from the initial delivery of the data feeds or each historical data set until the end of the contract term.</w:t>
      </w:r>
    </w:p>
    <w:p>
      <w:pPr>
        <w:spacing w:after="0" w:line="165" w:lineRule="exact"/>
        <w:rPr>
          <w:rFonts w:ascii="Arial" w:cs="Arial" w:eastAsia="Arial" w:hAnsi="Arial"/>
          <w:sz w:val="17"/>
          <w:szCs w:val="17"/>
          <w:color w:val="auto"/>
        </w:rPr>
      </w:pPr>
    </w:p>
    <w:p>
      <w:pPr>
        <w:ind w:left="600" w:right="420" w:hanging="297"/>
        <w:spacing w:after="0" w:line="261" w:lineRule="auto"/>
        <w:tabs>
          <w:tab w:leader="none" w:pos="6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Determining the transaction price for the performance obligations by using a market assessment analysis. Inputs in this analysis include a consultant study which determined the overall value of our market data and pricing information for historical data sets provided by other companies.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11" w:lineRule="exact"/>
        <w:rPr>
          <w:sz w:val="20"/>
          <w:szCs w:val="20"/>
          <w:color w:val="auto"/>
        </w:rPr>
      </w:pPr>
    </w:p>
    <w:p>
      <w:pPr>
        <w:ind w:right="40" w:firstLine="305"/>
        <w:spacing w:after="0" w:line="257" w:lineRule="auto"/>
        <w:rPr>
          <w:sz w:val="20"/>
          <w:szCs w:val="20"/>
          <w:color w:val="auto"/>
        </w:rPr>
      </w:pPr>
      <w:r>
        <w:rPr>
          <w:rFonts w:ascii="Arial" w:cs="Arial" w:eastAsia="Arial" w:hAnsi="Arial"/>
          <w:sz w:val="17"/>
          <w:szCs w:val="17"/>
          <w:color w:val="auto"/>
        </w:rPr>
        <w:t>The stock-based compensation that our employees receive is accounted for as equity or liability awards. As a stock-based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w:t>
      </w:r>
    </w:p>
    <w:p>
      <w:pPr>
        <w:spacing w:after="0" w:line="179" w:lineRule="exact"/>
        <w:rPr>
          <w:sz w:val="20"/>
          <w:szCs w:val="20"/>
          <w:color w:val="auto"/>
        </w:rPr>
      </w:pPr>
    </w:p>
    <w:p>
      <w:pPr>
        <w:ind w:right="60" w:firstLine="305"/>
        <w:spacing w:after="0" w:line="257" w:lineRule="auto"/>
        <w:rPr>
          <w:sz w:val="20"/>
          <w:szCs w:val="20"/>
          <w:color w:val="auto"/>
        </w:rPr>
      </w:pPr>
      <w:r>
        <w:rPr>
          <w:rFonts w:ascii="Arial" w:cs="Arial" w:eastAsia="Arial" w:hAnsi="Arial"/>
          <w:sz w:val="17"/>
          <w:szCs w:val="17"/>
          <w:color w:val="auto"/>
        </w:rPr>
        <w:t>As a stock-based liability award, the cost of the employee services received in exchange for an award of equity instruments is generally measured based on the grant-date fair value of the award. The fair value of that award is remeasured subsequently at each reporting date through to settlement. Changes in the fair value of the equity instrument are recognized as compensation cost over that period in our consolidated statements of income.</w:t>
      </w:r>
    </w:p>
    <w:p>
      <w:pPr>
        <w:spacing w:after="0" w:line="179" w:lineRule="exact"/>
        <w:rPr>
          <w:sz w:val="20"/>
          <w:szCs w:val="20"/>
          <w:color w:val="auto"/>
        </w:rPr>
      </w:pPr>
    </w:p>
    <w:p>
      <w:pPr>
        <w:ind w:right="440" w:firstLine="305"/>
        <w:spacing w:after="0" w:line="273" w:lineRule="auto"/>
        <w:rPr>
          <w:sz w:val="20"/>
          <w:szCs w:val="20"/>
          <w:color w:val="auto"/>
        </w:rPr>
      </w:pPr>
      <w:r>
        <w:rPr>
          <w:rFonts w:ascii="Arial" w:cs="Arial" w:eastAsia="Arial" w:hAnsi="Arial"/>
          <w:sz w:val="17"/>
          <w:szCs w:val="17"/>
          <w:color w:val="auto"/>
        </w:rPr>
        <w:t>For grants made during the post-IPO period, the fair value of the equity instruments is determined based on the price of the Company’s Class A common stock on the grant date.</w:t>
      </w:r>
    </w:p>
    <w:p>
      <w:pPr>
        <w:spacing w:after="0" w:line="165" w:lineRule="exact"/>
        <w:rPr>
          <w:sz w:val="20"/>
          <w:szCs w:val="20"/>
          <w:color w:val="auto"/>
        </w:rPr>
      </w:pPr>
    </w:p>
    <w:p>
      <w:pPr>
        <w:ind w:firstLine="305"/>
        <w:spacing w:after="0" w:line="289" w:lineRule="auto"/>
        <w:rPr>
          <w:sz w:val="20"/>
          <w:szCs w:val="20"/>
          <w:color w:val="auto"/>
        </w:rPr>
      </w:pPr>
      <w:r>
        <w:rPr>
          <w:rFonts w:ascii="Arial" w:cs="Arial" w:eastAsia="Arial" w:hAnsi="Arial"/>
          <w:sz w:val="15"/>
          <w:szCs w:val="15"/>
          <w:color w:val="auto"/>
        </w:rPr>
        <w:t>In October 2018, following the closing of the Refinitiv Transaction, we made a special award of options to management and other employees (the “Special Option Award”) under the Amended and Restated Tradeweb Markets Inc. Option Plan. In accounting for the options issued under this plan, we measure and recognize compensation expense for all awards based on their estimated fair values measured as of the grant date. Costs related to these options will be recognized as an expense in our consolidated statements of income over the requisite service period, with an offsetting increase to additional paid-in capital. We expect the non-cash stock-based compensation expense associated with the Special Option Award to be between approximately $33.5 million and $35.7 million, which we started to expense beginning in the second quarter of 2019, with a charge of $20.4 million ($18.9 million of which was charged immediately upon the completion of the IPO), and will continue to expense over the following three years. For more information, please see “Executive Compensation—Narrative Disclosure to Summary Compensation Table—Amended and Restated Tradeweb Markets Inc. 2018 Share Option Plan” in the IPO Prospectus.</w:t>
      </w:r>
    </w:p>
    <w:p>
      <w:pPr>
        <w:spacing w:after="0" w:line="160" w:lineRule="exact"/>
        <w:rPr>
          <w:sz w:val="20"/>
          <w:szCs w:val="20"/>
          <w:color w:val="auto"/>
        </w:rPr>
      </w:pPr>
    </w:p>
    <w:p>
      <w:pPr>
        <w:ind w:right="20" w:firstLine="305"/>
        <w:spacing w:after="0" w:line="257" w:lineRule="auto"/>
        <w:rPr>
          <w:sz w:val="20"/>
          <w:szCs w:val="20"/>
          <w:color w:val="auto"/>
        </w:rPr>
      </w:pPr>
      <w:r>
        <w:rPr>
          <w:rFonts w:ascii="Arial" w:cs="Arial" w:eastAsia="Arial" w:hAnsi="Arial"/>
          <w:sz w:val="17"/>
          <w:szCs w:val="17"/>
          <w:color w:val="auto"/>
        </w:rPr>
        <w:t>We use the Black-Scholes pricing model to value some of our stock-based awards. Determining the appropriate fair value model and calculating the fair value of the stock-based awards requires the input of highly subjective assumptions, including the expected life of the stock-based awards, the number of expected stock-based awards that will be forfeited prior to the completion of the vesting requirements, and the stock price volatility.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11" w:lineRule="exact"/>
        <w:rPr>
          <w:sz w:val="20"/>
          <w:szCs w:val="20"/>
          <w:color w:val="auto"/>
        </w:rPr>
      </w:pPr>
    </w:p>
    <w:p>
      <w:pPr>
        <w:ind w:right="280" w:firstLine="305"/>
        <w:spacing w:after="0" w:line="273" w:lineRule="auto"/>
        <w:rPr>
          <w:sz w:val="20"/>
          <w:szCs w:val="20"/>
          <w:color w:val="auto"/>
        </w:rPr>
      </w:pPr>
      <w:r>
        <w:rPr>
          <w:rFonts w:ascii="Arial" w:cs="Arial" w:eastAsia="Arial" w:hAnsi="Arial"/>
          <w:sz w:val="17"/>
          <w:szCs w:val="17"/>
          <w:color w:val="auto"/>
        </w:rPr>
        <w:t>Tradeweb Markets Inc. is subject to U.S. federal, state and local income taxes with respect to its taxable income, including its allocable share of any taxable income of TWM LLC, and is taxed at prevailing corporate tax rates. TWM</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80"/>
          </w:cols>
          <w:pgMar w:left="1420" w:top="127" w:right="1399" w:bottom="1440" w:gutter="0" w:footer="0" w:header="0"/>
        </w:sectPr>
      </w:pPr>
    </w:p>
    <w:bookmarkStart w:id="68" w:name="page69"/>
    <w:bookmarkEnd w:id="6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LLC is a multiple member limited liability company taxed as a partnership and accordingly any taxable income generated by TWM LLC is passed through to and included in the taxable income of its members, including us, on a pro rata basis.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We believe that it is more likely than not that the Company will be able to realize its deferred tax assets in the future; therefore, no valuation allowance is necessary.</w:t>
      </w:r>
    </w:p>
    <w:p>
      <w:pPr>
        <w:spacing w:after="0" w:line="181" w:lineRule="exact"/>
        <w:rPr>
          <w:sz w:val="20"/>
          <w:szCs w:val="20"/>
          <w:color w:val="auto"/>
        </w:rPr>
      </w:pPr>
    </w:p>
    <w:p>
      <w:pPr>
        <w:ind w:right="80" w:firstLine="305"/>
        <w:spacing w:after="0" w:line="261" w:lineRule="auto"/>
        <w:rPr>
          <w:sz w:val="20"/>
          <w:szCs w:val="20"/>
          <w:color w:val="auto"/>
        </w:rPr>
      </w:pPr>
      <w:r>
        <w:rPr>
          <w:rFonts w:ascii="Arial" w:cs="Arial" w:eastAsia="Arial" w:hAnsi="Arial"/>
          <w:sz w:val="17"/>
          <w:szCs w:val="17"/>
          <w:color w:val="auto"/>
        </w:rPr>
        <w:t>We recognize interest and penalties related to unrecognized tax benefits within the provision for income taxes in our consolidated statements of income. Accrued interest and penalties are included within accounts payable, accrued expenses and other liabilities in our consolidated statements of financial condition.</w:t>
      </w:r>
    </w:p>
    <w:p>
      <w:pPr>
        <w:spacing w:after="0" w:line="176" w:lineRule="exact"/>
        <w:rPr>
          <w:sz w:val="20"/>
          <w:szCs w:val="20"/>
          <w:color w:val="auto"/>
        </w:rPr>
      </w:pPr>
    </w:p>
    <w:p>
      <w:pPr>
        <w:ind w:right="260" w:firstLine="305"/>
        <w:spacing w:after="0" w:line="273" w:lineRule="auto"/>
        <w:rPr>
          <w:sz w:val="20"/>
          <w:szCs w:val="20"/>
          <w:color w:val="auto"/>
        </w:rPr>
      </w:pPr>
      <w:r>
        <w:rPr>
          <w:rFonts w:ascii="Arial" w:cs="Arial" w:eastAsia="Arial" w:hAnsi="Arial"/>
          <w:sz w:val="17"/>
          <w:szCs w:val="17"/>
          <w:color w:val="auto"/>
        </w:rPr>
        <w:t>We have elected to treat taxes due on future U.S. inclusions in taxable income under the GILTI provision of the Tax Cuts and Jobs Act as a current period expense when incurred.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Receivable Agreement</w:t>
      </w:r>
    </w:p>
    <w:p>
      <w:pPr>
        <w:spacing w:after="0" w:line="211" w:lineRule="exact"/>
        <w:rPr>
          <w:sz w:val="20"/>
          <w:szCs w:val="20"/>
          <w:color w:val="auto"/>
        </w:rPr>
      </w:pPr>
    </w:p>
    <w:p>
      <w:pPr>
        <w:ind w:firstLine="305"/>
        <w:spacing w:after="0" w:line="292" w:lineRule="auto"/>
        <w:rPr>
          <w:sz w:val="20"/>
          <w:szCs w:val="20"/>
          <w:color w:val="auto"/>
        </w:rPr>
      </w:pPr>
      <w:r>
        <w:rPr>
          <w:rFonts w:ascii="Arial" w:cs="Arial" w:eastAsia="Arial" w:hAnsi="Arial"/>
          <w:sz w:val="15"/>
          <w:szCs w:val="15"/>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using the net proceeds of the IPO or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w:t>
      </w:r>
    </w:p>
    <w:p>
      <w:pPr>
        <w:spacing w:after="0" w:line="158" w:lineRule="exact"/>
        <w:rPr>
          <w:sz w:val="20"/>
          <w:szCs w:val="20"/>
          <w:color w:val="auto"/>
        </w:rPr>
      </w:pPr>
    </w:p>
    <w:p>
      <w:pPr>
        <w:ind w:firstLine="305"/>
        <w:spacing w:after="0" w:line="255" w:lineRule="auto"/>
        <w:rPr>
          <w:sz w:val="20"/>
          <w:szCs w:val="20"/>
          <w:color w:val="auto"/>
        </w:rPr>
      </w:pPr>
      <w:r>
        <w:rPr>
          <w:rFonts w:ascii="Arial" w:cs="Arial" w:eastAsia="Arial" w:hAnsi="Arial"/>
          <w:sz w:val="17"/>
          <w:szCs w:val="17"/>
          <w:color w:val="auto"/>
        </w:rPr>
        <w:t>We recorded an initial liability of $171.4 million related to our projected obligations under the Tax Receivable Agreement for LLC Interests that were purchased using the net proceeds from the IPO. The impact of any changes in the projected obligations under the Tax Receivable Agreement as a result of changes in the geographic mix of the our earnings, changes in tax legislation and tax rates or other factors that may impact the our tax savings will be reflected in income before taxes in the period in which the change occurs.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Contingent Consideration</w:t>
      </w:r>
    </w:p>
    <w:p>
      <w:pPr>
        <w:spacing w:after="0" w:line="211" w:lineRule="exact"/>
        <w:rPr>
          <w:sz w:val="20"/>
          <w:szCs w:val="20"/>
          <w:color w:val="auto"/>
        </w:rPr>
      </w:pPr>
    </w:p>
    <w:p>
      <w:pPr>
        <w:ind w:right="140" w:firstLine="305"/>
        <w:spacing w:after="0" w:line="205" w:lineRule="exact"/>
        <w:rPr>
          <w:sz w:val="20"/>
          <w:szCs w:val="20"/>
          <w:color w:val="auto"/>
        </w:rPr>
      </w:pPr>
      <w:r>
        <w:rPr>
          <w:rFonts w:ascii="Arial" w:cs="Arial" w:eastAsia="Arial" w:hAnsi="Arial"/>
          <w:sz w:val="15"/>
          <w:szCs w:val="15"/>
          <w:color w:val="auto"/>
        </w:rPr>
        <w:t>In 2014, we issued Class A Shares and unvested Class P</w:t>
      </w:r>
      <w:r>
        <w:rPr>
          <w:rFonts w:ascii="MS PGothic" w:cs="MS PGothic" w:eastAsia="MS PGothic" w:hAnsi="MS PGothic"/>
          <w:sz w:val="15"/>
          <w:szCs w:val="15"/>
          <w:color w:val="auto"/>
        </w:rPr>
        <w:t>‑</w:t>
      </w:r>
      <w:r>
        <w:rPr>
          <w:rFonts w:ascii="Arial" w:cs="Arial" w:eastAsia="Arial" w:hAnsi="Arial"/>
          <w:sz w:val="15"/>
          <w:szCs w:val="15"/>
          <w:color w:val="auto"/>
        </w:rPr>
        <w:t>1(A) Shares to some of the Bank Stockholders as a result of a capital contribution to facilitate our expansion into new credit products. The proceeds from the issuance of the shares were included in members’ capital. In connection with the investment, certain employees also invested in the Company and were issued Class C Shares and unvested Class P</w:t>
      </w:r>
      <w:r>
        <w:rPr>
          <w:rFonts w:ascii="MS PGothic" w:cs="MS PGothic" w:eastAsia="MS PGothic" w:hAnsi="MS PGothic"/>
          <w:sz w:val="15"/>
          <w:szCs w:val="15"/>
          <w:color w:val="auto"/>
        </w:rPr>
        <w:t>‑</w:t>
      </w:r>
      <w:r>
        <w:rPr>
          <w:rFonts w:ascii="Arial" w:cs="Arial" w:eastAsia="Arial" w:hAnsi="Arial"/>
          <w:sz w:val="15"/>
          <w:szCs w:val="15"/>
          <w:color w:val="auto"/>
        </w:rPr>
        <w:t>1(C) Shares. The proceeds from the issuance of these shares were included in members’ capital. The Class A Shares and Class C Shares issued in connection with the investment equally participated in the earnings of the Company together with the other Class A Shares, Class P(A) Shares, Class C Shares and Class P(C) Shares of the Company. Most of the holders of Class A shares had the right to appoint members to the board of managers of the Company. The Class P</w:t>
      </w:r>
      <w:r>
        <w:rPr>
          <w:rFonts w:ascii="MS PGothic" w:cs="MS PGothic" w:eastAsia="MS PGothic" w:hAnsi="MS PGothic"/>
          <w:sz w:val="15"/>
          <w:szCs w:val="15"/>
          <w:color w:val="auto"/>
        </w:rPr>
        <w:t>‑</w:t>
      </w:r>
      <w:r>
        <w:rPr>
          <w:rFonts w:ascii="Arial" w:cs="Arial" w:eastAsia="Arial" w:hAnsi="Arial"/>
          <w:sz w:val="15"/>
          <w:szCs w:val="15"/>
          <w:color w:val="auto"/>
        </w:rPr>
        <w:t>1(A) Shares and Class P</w:t>
      </w:r>
      <w:r>
        <w:rPr>
          <w:rFonts w:ascii="MS PGothic" w:cs="MS PGothic" w:eastAsia="MS PGothic" w:hAnsi="MS PGothic"/>
          <w:sz w:val="15"/>
          <w:szCs w:val="15"/>
          <w:color w:val="auto"/>
        </w:rPr>
        <w:t>‑</w:t>
      </w:r>
      <w:r>
        <w:rPr>
          <w:rFonts w:ascii="Arial" w:cs="Arial" w:eastAsia="Arial" w:hAnsi="Arial"/>
          <w:sz w:val="15"/>
          <w:szCs w:val="15"/>
          <w:color w:val="auto"/>
        </w:rPr>
        <w:t>1(C) Shares did not have any earnings participation rights, nor did any of the Class P</w:t>
      </w:r>
      <w:r>
        <w:rPr>
          <w:rFonts w:ascii="MS PGothic" w:cs="MS PGothic" w:eastAsia="MS PGothic" w:hAnsi="MS PGothic"/>
          <w:sz w:val="15"/>
          <w:szCs w:val="15"/>
          <w:color w:val="auto"/>
        </w:rPr>
        <w:t>‑</w:t>
      </w:r>
      <w:r>
        <w:rPr>
          <w:rFonts w:ascii="Arial" w:cs="Arial" w:eastAsia="Arial" w:hAnsi="Arial"/>
          <w:sz w:val="15"/>
          <w:szCs w:val="15"/>
          <w:color w:val="auto"/>
        </w:rPr>
        <w:t>1(A) Shares have the right to appoint members to the former board of managers, until they vested. The Class P</w:t>
      </w:r>
      <w:r>
        <w:rPr>
          <w:rFonts w:ascii="MS PGothic" w:cs="MS PGothic" w:eastAsia="MS PGothic" w:hAnsi="MS PGothic"/>
          <w:sz w:val="15"/>
          <w:szCs w:val="15"/>
          <w:color w:val="auto"/>
        </w:rPr>
        <w:t>‑</w:t>
      </w:r>
      <w:r>
        <w:rPr>
          <w:rFonts w:ascii="Arial" w:cs="Arial" w:eastAsia="Arial" w:hAnsi="Arial"/>
          <w:sz w:val="15"/>
          <w:szCs w:val="15"/>
          <w:color w:val="auto"/>
        </w:rPr>
        <w:t>1(A) Shares and Class P</w:t>
      </w:r>
      <w:r>
        <w:rPr>
          <w:rFonts w:ascii="MS PGothic" w:cs="MS PGothic" w:eastAsia="MS PGothic" w:hAnsi="MS PGothic"/>
          <w:sz w:val="15"/>
          <w:szCs w:val="15"/>
          <w:color w:val="auto"/>
        </w:rPr>
        <w:t>‑</w:t>
      </w:r>
      <w:r>
        <w:rPr>
          <w:rFonts w:ascii="Arial" w:cs="Arial" w:eastAsia="Arial" w:hAnsi="Arial"/>
          <w:sz w:val="15"/>
          <w:szCs w:val="15"/>
          <w:color w:val="auto"/>
        </w:rPr>
        <w:t>1(C) Shares vested in July 2018 upon the achievement of specific revenue earnout milestones related to the growth of our credit products, as defined by the agreement, from August 2014 through the vesting date of July 2018.</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Prior to the July 2018 vesting, we recognized contingent consideration with respect to the potential vesting of</w:t>
      </w:r>
    </w:p>
    <w:p>
      <w:pPr>
        <w:spacing w:after="0" w:line="19" w:lineRule="exact"/>
        <w:rPr>
          <w:sz w:val="20"/>
          <w:szCs w:val="20"/>
          <w:color w:val="auto"/>
        </w:rPr>
      </w:pPr>
    </w:p>
    <w:p>
      <w:pPr>
        <w:ind w:right="180"/>
        <w:spacing w:after="0" w:line="204" w:lineRule="exact"/>
        <w:rPr>
          <w:sz w:val="20"/>
          <w:szCs w:val="20"/>
          <w:color w:val="auto"/>
        </w:rPr>
      </w:pPr>
      <w:r>
        <w:rPr>
          <w:rFonts w:ascii="Arial" w:cs="Arial" w:eastAsia="Arial" w:hAnsi="Arial"/>
          <w:sz w:val="16"/>
          <w:szCs w:val="16"/>
          <w:color w:val="auto"/>
        </w:rPr>
        <w:t>Class P</w:t>
      </w:r>
      <w:r>
        <w:rPr>
          <w:rFonts w:ascii="MS PGothic" w:cs="MS PGothic" w:eastAsia="MS PGothic" w:hAnsi="MS PGothic"/>
          <w:sz w:val="16"/>
          <w:szCs w:val="16"/>
          <w:color w:val="auto"/>
        </w:rPr>
        <w:t>‑</w:t>
      </w:r>
      <w:r>
        <w:rPr>
          <w:rFonts w:ascii="Arial" w:cs="Arial" w:eastAsia="Arial" w:hAnsi="Arial"/>
          <w:sz w:val="16"/>
          <w:szCs w:val="16"/>
          <w:color w:val="auto"/>
        </w:rPr>
        <w:t>1(A) Shares and Class P</w:t>
      </w:r>
      <w:r>
        <w:rPr>
          <w:rFonts w:ascii="MS PGothic" w:cs="MS PGothic" w:eastAsia="MS PGothic" w:hAnsi="MS PGothic"/>
          <w:sz w:val="16"/>
          <w:szCs w:val="16"/>
          <w:color w:val="auto"/>
        </w:rPr>
        <w:t>‑</w:t>
      </w:r>
      <w:r>
        <w:rPr>
          <w:rFonts w:ascii="Arial" w:cs="Arial" w:eastAsia="Arial" w:hAnsi="Arial"/>
          <w:sz w:val="16"/>
          <w:szCs w:val="16"/>
          <w:color w:val="auto"/>
        </w:rPr>
        <w:t>1(C) Shares as a contra-revenue adjustment in accordance with ASC 605</w:t>
      </w:r>
      <w:r>
        <w:rPr>
          <w:rFonts w:ascii="MS PGothic" w:cs="MS PGothic" w:eastAsia="MS PGothic" w:hAnsi="MS PGothic"/>
          <w:sz w:val="16"/>
          <w:szCs w:val="16"/>
          <w:color w:val="auto"/>
        </w:rPr>
        <w:t>‑</w:t>
      </w:r>
      <w:r>
        <w:rPr>
          <w:rFonts w:ascii="Arial" w:cs="Arial" w:eastAsia="Arial" w:hAnsi="Arial"/>
          <w:sz w:val="16"/>
          <w:szCs w:val="16"/>
          <w:color w:val="auto"/>
        </w:rPr>
        <w:t>50</w:t>
      </w:r>
      <w:r>
        <w:rPr>
          <w:rFonts w:ascii="MS PGothic" w:cs="MS PGothic" w:eastAsia="MS PGothic" w:hAnsi="MS PGothic"/>
          <w:sz w:val="16"/>
          <w:szCs w:val="16"/>
          <w:color w:val="auto"/>
        </w:rPr>
        <w:t>‑</w:t>
      </w:r>
      <w:r>
        <w:rPr>
          <w:rFonts w:ascii="Arial" w:cs="Arial" w:eastAsia="Arial" w:hAnsi="Arial"/>
          <w:sz w:val="16"/>
          <w:szCs w:val="16"/>
          <w:color w:val="auto"/>
        </w:rPr>
        <w:t>45</w:t>
      </w:r>
      <w:r>
        <w:rPr>
          <w:rFonts w:ascii="MS PGothic" w:cs="MS PGothic" w:eastAsia="MS PGothic" w:hAnsi="MS PGothic"/>
          <w:sz w:val="16"/>
          <w:szCs w:val="16"/>
          <w:color w:val="auto"/>
        </w:rPr>
        <w:t>‑</w:t>
      </w:r>
      <w:r>
        <w:rPr>
          <w:rFonts w:ascii="Arial" w:cs="Arial" w:eastAsia="Arial" w:hAnsi="Arial"/>
          <w:sz w:val="16"/>
          <w:szCs w:val="16"/>
          <w:color w:val="auto"/>
        </w:rPr>
        <w:t>2 because the vesting could be viewed as a sales incentive to participating Bank Stockholders since they are also customers of the Company. The contingent consideration for each reporting period was calculated by estimating the final contingent consideration value using a monte carlo simulation and recognizing that value on a straightline basis over the 48-month period of the agreement, adjusting at each reporting period for any changes in the final value estimate. The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69" w:name="page70"/>
    <w:bookmarkEnd w:id="6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revenue milestones provided that shares would vest only if certain credit revenue milestones would be achieved in the twelve months ended July 2016, 2017 and 2018.</w:t>
      </w:r>
    </w:p>
    <w:p>
      <w:pPr>
        <w:spacing w:after="0" w:line="165" w:lineRule="exact"/>
        <w:rPr>
          <w:sz w:val="20"/>
          <w:szCs w:val="20"/>
          <w:color w:val="auto"/>
        </w:rPr>
      </w:pPr>
    </w:p>
    <w:p>
      <w:pPr>
        <w:ind w:right="100" w:firstLine="305"/>
        <w:spacing w:after="0" w:line="207" w:lineRule="exact"/>
        <w:rPr>
          <w:sz w:val="20"/>
          <w:szCs w:val="20"/>
          <w:color w:val="auto"/>
        </w:rPr>
      </w:pPr>
      <w:r>
        <w:rPr>
          <w:rFonts w:ascii="Arial" w:cs="Arial" w:eastAsia="Arial" w:hAnsi="Arial"/>
          <w:sz w:val="15"/>
          <w:szCs w:val="15"/>
          <w:color w:val="auto"/>
        </w:rPr>
        <w:t>As a result of achieving these milestones, the final earnout amount was calculated based on the credit revenues during the twelve months ended July 31, 2018. On July 31, 2018, members’ capital increased by $150.5 million as a result of the vesting of the Class P</w:t>
      </w:r>
      <w:r>
        <w:rPr>
          <w:rFonts w:ascii="MS PGothic" w:cs="MS PGothic" w:eastAsia="MS PGothic" w:hAnsi="MS PGothic"/>
          <w:sz w:val="15"/>
          <w:szCs w:val="15"/>
          <w:color w:val="auto"/>
        </w:rPr>
        <w:t>‑</w:t>
      </w:r>
      <w:r>
        <w:rPr>
          <w:rFonts w:ascii="Arial" w:cs="Arial" w:eastAsia="Arial" w:hAnsi="Arial"/>
          <w:sz w:val="15"/>
          <w:szCs w:val="15"/>
          <w:color w:val="auto"/>
        </w:rPr>
        <w:t>1(A) Shares and employee equity compensation payable increased by $5.7 million as a result of the vesting of the</w:t>
      </w:r>
    </w:p>
    <w:p>
      <w:pPr>
        <w:spacing w:after="0" w:line="1" w:lineRule="exact"/>
        <w:rPr>
          <w:sz w:val="20"/>
          <w:szCs w:val="20"/>
          <w:color w:val="auto"/>
        </w:rPr>
      </w:pPr>
    </w:p>
    <w:p>
      <w:pPr>
        <w:spacing w:after="0" w:line="203" w:lineRule="exact"/>
        <w:rPr>
          <w:sz w:val="20"/>
          <w:szCs w:val="20"/>
          <w:color w:val="auto"/>
        </w:rPr>
      </w:pPr>
      <w:r>
        <w:rPr>
          <w:rFonts w:ascii="Arial" w:cs="Arial" w:eastAsia="Arial" w:hAnsi="Arial"/>
          <w:sz w:val="17"/>
          <w:szCs w:val="17"/>
          <w:color w:val="auto"/>
        </w:rPr>
        <w:t>Class P</w:t>
      </w:r>
      <w:r>
        <w:rPr>
          <w:rFonts w:ascii="MS PGothic" w:cs="MS PGothic" w:eastAsia="MS PGothic" w:hAnsi="MS PGothic"/>
          <w:sz w:val="17"/>
          <w:szCs w:val="17"/>
          <w:color w:val="auto"/>
        </w:rPr>
        <w:t>‑</w:t>
      </w:r>
      <w:r>
        <w:rPr>
          <w:rFonts w:ascii="Arial" w:cs="Arial" w:eastAsia="Arial" w:hAnsi="Arial"/>
          <w:sz w:val="17"/>
          <w:szCs w:val="17"/>
          <w:color w:val="auto"/>
        </w:rPr>
        <w:t>1(C) Shares. The value of the vested Class P</w:t>
      </w:r>
      <w:r>
        <w:rPr>
          <w:rFonts w:ascii="MS PGothic" w:cs="MS PGothic" w:eastAsia="MS PGothic" w:hAnsi="MS PGothic"/>
          <w:sz w:val="17"/>
          <w:szCs w:val="17"/>
          <w:color w:val="auto"/>
        </w:rPr>
        <w:t>‑</w:t>
      </w:r>
      <w:r>
        <w:rPr>
          <w:rFonts w:ascii="Arial" w:cs="Arial" w:eastAsia="Arial" w:hAnsi="Arial"/>
          <w:sz w:val="17"/>
          <w:szCs w:val="17"/>
          <w:color w:val="auto"/>
        </w:rPr>
        <w:t>1(C) Shares was included in employee equity compensation payable because the Class P</w:t>
      </w:r>
      <w:r>
        <w:rPr>
          <w:rFonts w:ascii="MS PGothic" w:cs="MS PGothic" w:eastAsia="MS PGothic" w:hAnsi="MS PGothic"/>
          <w:sz w:val="17"/>
          <w:szCs w:val="17"/>
          <w:color w:val="auto"/>
        </w:rPr>
        <w:t>‑</w:t>
      </w:r>
      <w:r>
        <w:rPr>
          <w:rFonts w:ascii="Arial" w:cs="Arial" w:eastAsia="Arial" w:hAnsi="Arial"/>
          <w:sz w:val="17"/>
          <w:szCs w:val="17"/>
          <w:color w:val="auto"/>
        </w:rPr>
        <w:t>1(C) were owned for less than six months by employees who had the ability to exercise a put option of those shares under certain conditions under their control.</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 – Recently Adopted</w:t>
      </w:r>
    </w:p>
    <w:p>
      <w:pPr>
        <w:spacing w:after="0" w:line="215" w:lineRule="exact"/>
        <w:rPr>
          <w:sz w:val="20"/>
          <w:szCs w:val="20"/>
          <w:color w:val="auto"/>
        </w:rPr>
      </w:pPr>
    </w:p>
    <w:p>
      <w:pPr>
        <w:ind w:right="160" w:firstLine="305"/>
        <w:spacing w:after="0" w:line="273" w:lineRule="auto"/>
        <w:rPr>
          <w:sz w:val="20"/>
          <w:szCs w:val="20"/>
          <w:color w:val="auto"/>
        </w:rPr>
      </w:pPr>
      <w:r>
        <w:rPr>
          <w:rFonts w:ascii="Arial" w:cs="Arial" w:eastAsia="Arial" w:hAnsi="Arial"/>
          <w:sz w:val="16"/>
          <w:szCs w:val="16"/>
          <w:color w:val="auto"/>
        </w:rPr>
        <w:t>Effective January 1, 2019, we adopted ASC 842, Leases. This standard requires us to recognize a right-of-use asset and a lease liability for all leases with an initial term in excess of twelve months. The asset reflects the present value of unpaid lease payments coupled with initial direct costs, prepaid lease payments and lease incentives. The amount of the lease liability is calculated as the present value of unpaid lease payments. We adopted ASC 842 prospectively and elected to take the package of practical expedients allowing us not to reassess (i) whether any expired or existing contracts are or contain leases, (ii) the lease classification for any expired or existing leases and (iii) initial direct costs for any existing leases.</w:t>
      </w:r>
    </w:p>
    <w:p>
      <w:pPr>
        <w:spacing w:after="0" w:line="168" w:lineRule="exact"/>
        <w:rPr>
          <w:sz w:val="20"/>
          <w:szCs w:val="20"/>
          <w:color w:val="auto"/>
        </w:rPr>
      </w:pPr>
    </w:p>
    <w:p>
      <w:pPr>
        <w:ind w:right="240" w:firstLine="305"/>
        <w:spacing w:after="0" w:line="273" w:lineRule="auto"/>
        <w:rPr>
          <w:sz w:val="20"/>
          <w:szCs w:val="20"/>
          <w:color w:val="auto"/>
        </w:rPr>
      </w:pPr>
      <w:r>
        <w:rPr>
          <w:rFonts w:ascii="Arial" w:cs="Arial" w:eastAsia="Arial" w:hAnsi="Arial"/>
          <w:sz w:val="17"/>
          <w:szCs w:val="17"/>
          <w:color w:val="auto"/>
        </w:rPr>
        <w:t>On January 1, 2019, upon the adoption of ASC 842, we recorded right-to-use assets of $34.8 million, lease liabilities of $39.6 million and eliminated deferred rent of $4.9 million.</w:t>
      </w:r>
    </w:p>
    <w:p>
      <w:pPr>
        <w:spacing w:after="0" w:line="165" w:lineRule="exact"/>
        <w:rPr>
          <w:sz w:val="20"/>
          <w:szCs w:val="20"/>
          <w:color w:val="auto"/>
        </w:rPr>
      </w:pPr>
    </w:p>
    <w:p>
      <w:pPr>
        <w:ind w:right="440" w:firstLine="305"/>
        <w:spacing w:after="0" w:line="305" w:lineRule="auto"/>
        <w:rPr>
          <w:sz w:val="20"/>
          <w:szCs w:val="20"/>
          <w:color w:val="auto"/>
        </w:rPr>
      </w:pPr>
      <w:r>
        <w:rPr>
          <w:rFonts w:ascii="Arial" w:cs="Arial" w:eastAsia="Arial" w:hAnsi="Arial"/>
          <w:sz w:val="16"/>
          <w:szCs w:val="16"/>
          <w:color w:val="auto"/>
        </w:rPr>
        <w:t>See Note 2 – Significant Accounting Policies to our unaudited consolidated financial statements included elsewhere in this Quarterly Report on Form 10-Q for information regarding recent accounting pronouncements not yet adopted.</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Effects of Inflation</w:t>
      </w:r>
    </w:p>
    <w:p>
      <w:pPr>
        <w:spacing w:after="0" w:line="215" w:lineRule="exact"/>
        <w:rPr>
          <w:sz w:val="20"/>
          <w:szCs w:val="20"/>
          <w:color w:val="auto"/>
        </w:rPr>
      </w:pPr>
    </w:p>
    <w:p>
      <w:pPr>
        <w:ind w:right="240" w:firstLine="305"/>
        <w:spacing w:after="0" w:line="261" w:lineRule="auto"/>
        <w:rPr>
          <w:sz w:val="20"/>
          <w:szCs w:val="20"/>
          <w:color w:val="auto"/>
        </w:rPr>
      </w:pPr>
      <w:r>
        <w:rPr>
          <w:rFonts w:ascii="Arial" w:cs="Arial" w:eastAsia="Arial" w:hAnsi="Arial"/>
          <w:sz w:val="17"/>
          <w:szCs w:val="17"/>
          <w:color w:val="auto"/>
        </w:rPr>
        <w:t>While inflation may impact our revenues and operating expenses, we believe the effects of inflation, if any, on our results of operations and financial condition have not been significant. However, there can be no assurance that our results of operations and financial condition will not be materially impacted by inflation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Jumpstart Our Business Startups Act of 2012</w:t>
      </w:r>
    </w:p>
    <w:p>
      <w:pPr>
        <w:spacing w:after="0" w:line="215" w:lineRule="exact"/>
        <w:rPr>
          <w:sz w:val="20"/>
          <w:szCs w:val="20"/>
          <w:color w:val="auto"/>
        </w:rPr>
      </w:pPr>
    </w:p>
    <w:p>
      <w:pPr>
        <w:ind w:right="20" w:firstLine="305"/>
        <w:spacing w:after="0" w:line="275" w:lineRule="auto"/>
        <w:rPr>
          <w:sz w:val="20"/>
          <w:szCs w:val="20"/>
          <w:color w:val="auto"/>
        </w:rPr>
      </w:pPr>
      <w:r>
        <w:rPr>
          <w:rFonts w:ascii="Arial" w:cs="Arial" w:eastAsia="Arial" w:hAnsi="Arial"/>
          <w:sz w:val="16"/>
          <w:szCs w:val="16"/>
          <w:color w:val="auto"/>
        </w:rPr>
        <w:t>The Jumpstart Our Business Startups Act of 2012 (the “JOBS Act”) permits us, as an “emerging growth company,” to take advantage of an extended transition period to comply with new or revised accounting standards applicable to public companies. We have elected to “opt out” of this provision and, as a result, we will comply with new or revised accounting standards on the relevant dates on which adoption of such standards is required for public companies that are not emerging growth companies. This decision to opt out of the extended transition period under the JOBS Act is irrevocable.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and Derivative Risk</w:t>
      </w:r>
    </w:p>
    <w:p>
      <w:pPr>
        <w:spacing w:after="0" w:line="211" w:lineRule="exact"/>
        <w:rPr>
          <w:sz w:val="20"/>
          <w:szCs w:val="20"/>
          <w:color w:val="auto"/>
        </w:rPr>
      </w:pPr>
    </w:p>
    <w:p>
      <w:pPr>
        <w:ind w:right="840" w:firstLine="305"/>
        <w:spacing w:after="0" w:line="273" w:lineRule="auto"/>
        <w:rPr>
          <w:sz w:val="20"/>
          <w:szCs w:val="20"/>
          <w:color w:val="auto"/>
        </w:rPr>
      </w:pPr>
      <w:r>
        <w:rPr>
          <w:rFonts w:ascii="Arial" w:cs="Arial" w:eastAsia="Arial" w:hAnsi="Arial"/>
          <w:sz w:val="17"/>
          <w:szCs w:val="17"/>
          <w:color w:val="auto"/>
        </w:rPr>
        <w:t>We have global operations and substantial portions of our revenues, expenses, assets and liabilities are generated and denominated in non-U.S. dollar currencies.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70" w:name="page71"/>
    <w:bookmarkEnd w:id="7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right="260" w:firstLine="305"/>
        <w:spacing w:after="0" w:line="273" w:lineRule="auto"/>
        <w:rPr>
          <w:sz w:val="20"/>
          <w:szCs w:val="20"/>
          <w:color w:val="auto"/>
        </w:rPr>
      </w:pPr>
      <w:r>
        <w:rPr>
          <w:rFonts w:ascii="Arial" w:cs="Arial" w:eastAsia="Arial" w:hAnsi="Arial"/>
          <w:sz w:val="17"/>
          <w:szCs w:val="17"/>
          <w:color w:val="auto"/>
        </w:rPr>
        <w:t>The following table shows the percentage breakdown of our gross revenue and operating expenses denominated in currencies other than the U.S. dollar for the three and six months ended June 30, 2019 and 2018: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780" w:type="dxa"/>
            <w:vAlign w:val="bottom"/>
          </w:tcPr>
          <w:p>
            <w:pPr>
              <w:spacing w:after="0"/>
              <w:rPr>
                <w:sz w:val="19"/>
                <w:szCs w:val="19"/>
                <w:color w:val="auto"/>
              </w:rPr>
            </w:pPr>
          </w:p>
        </w:tc>
        <w:tc>
          <w:tcPr>
            <w:tcW w:w="2820" w:type="dxa"/>
            <w:vAlign w:val="bottom"/>
            <w:gridSpan w:val="4"/>
          </w:tcPr>
          <w:p>
            <w:pPr>
              <w:jc w:val="right"/>
              <w:ind w:right="1215"/>
              <w:spacing w:after="0"/>
              <w:rPr>
                <w:sz w:val="20"/>
                <w:szCs w:val="20"/>
                <w:color w:val="auto"/>
              </w:rPr>
            </w:pPr>
            <w:r>
              <w:rPr>
                <w:rFonts w:ascii="Arial" w:cs="Arial" w:eastAsia="Arial" w:hAnsi="Arial"/>
                <w:sz w:val="17"/>
                <w:szCs w:val="17"/>
                <w:b w:val="1"/>
                <w:bCs w:val="1"/>
                <w:color w:val="auto"/>
              </w:rPr>
              <w:t>Successor</w:t>
            </w:r>
          </w:p>
        </w:tc>
        <w:tc>
          <w:tcPr>
            <w:tcW w:w="2460" w:type="dxa"/>
            <w:vAlign w:val="bottom"/>
            <w:gridSpan w:val="4"/>
          </w:tcPr>
          <w:p>
            <w:pPr>
              <w:jc w:val="right"/>
              <w:ind w:right="815"/>
              <w:spacing w:after="0"/>
              <w:rPr>
                <w:sz w:val="20"/>
                <w:szCs w:val="20"/>
                <w:color w:val="auto"/>
              </w:rPr>
            </w:pPr>
            <w:r>
              <w:rPr>
                <w:rFonts w:ascii="Arial" w:cs="Arial" w:eastAsia="Arial" w:hAnsi="Arial"/>
                <w:sz w:val="17"/>
                <w:szCs w:val="17"/>
                <w:b w:val="1"/>
                <w:bCs w:val="1"/>
                <w:color w:val="auto"/>
              </w:rPr>
              <w:t>Predecessor</w:t>
            </w:r>
          </w:p>
        </w:tc>
      </w:tr>
      <w:tr>
        <w:trPr>
          <w:trHeight w:val="180"/>
        </w:trPr>
        <w:tc>
          <w:tcPr>
            <w:tcW w:w="3780" w:type="dxa"/>
            <w:vAlign w:val="bottom"/>
          </w:tcPr>
          <w:p>
            <w:pPr>
              <w:spacing w:after="0"/>
              <w:rPr>
                <w:sz w:val="15"/>
                <w:szCs w:val="15"/>
                <w:color w:val="auto"/>
              </w:rPr>
            </w:pPr>
          </w:p>
        </w:tc>
        <w:tc>
          <w:tcPr>
            <w:tcW w:w="1260" w:type="dxa"/>
            <w:vAlign w:val="bottom"/>
            <w:tcBorders>
              <w:top w:val="single" w:sz="8" w:color="auto"/>
            </w:tcBorders>
            <w:gridSpan w:val="2"/>
          </w:tcPr>
          <w:p>
            <w:pPr>
              <w:jc w:val="center"/>
              <w:ind w:right="115"/>
              <w:spacing w:after="0" w:line="180" w:lineRule="exact"/>
              <w:rPr>
                <w:sz w:val="20"/>
                <w:szCs w:val="20"/>
                <w:color w:val="auto"/>
              </w:rPr>
            </w:pPr>
            <w:r>
              <w:rPr>
                <w:rFonts w:ascii="Arial" w:cs="Arial" w:eastAsia="Arial" w:hAnsi="Arial"/>
                <w:sz w:val="17"/>
                <w:szCs w:val="17"/>
                <w:b w:val="1"/>
                <w:bCs w:val="1"/>
                <w:color w:val="auto"/>
                <w:w w:val="90"/>
              </w:rPr>
              <w:t>Three</w:t>
            </w:r>
          </w:p>
        </w:tc>
        <w:tc>
          <w:tcPr>
            <w:tcW w:w="108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7"/>
                <w:szCs w:val="17"/>
                <w:b w:val="1"/>
                <w:bCs w:val="1"/>
                <w:color w:val="auto"/>
                <w:w w:val="93"/>
              </w:rPr>
              <w:t>Six</w:t>
            </w:r>
          </w:p>
        </w:tc>
        <w:tc>
          <w:tcPr>
            <w:tcW w:w="480" w:type="dxa"/>
            <w:vAlign w:val="bottom"/>
          </w:tcPr>
          <w:p>
            <w:pPr>
              <w:spacing w:after="0"/>
              <w:rPr>
                <w:sz w:val="15"/>
                <w:szCs w:val="15"/>
                <w:color w:val="auto"/>
              </w:rPr>
            </w:pPr>
          </w:p>
        </w:tc>
        <w:tc>
          <w:tcPr>
            <w:tcW w:w="1240" w:type="dxa"/>
            <w:vAlign w:val="bottom"/>
            <w:tcBorders>
              <w:top w:val="single" w:sz="8" w:color="auto"/>
            </w:tcBorders>
            <w:gridSpan w:val="2"/>
          </w:tcPr>
          <w:p>
            <w:pPr>
              <w:jc w:val="center"/>
              <w:ind w:right="115"/>
              <w:spacing w:after="0" w:line="180" w:lineRule="exact"/>
              <w:rPr>
                <w:sz w:val="20"/>
                <w:szCs w:val="20"/>
                <w:color w:val="auto"/>
              </w:rPr>
            </w:pPr>
            <w:r>
              <w:rPr>
                <w:rFonts w:ascii="Arial" w:cs="Arial" w:eastAsia="Arial" w:hAnsi="Arial"/>
                <w:sz w:val="17"/>
                <w:szCs w:val="17"/>
                <w:b w:val="1"/>
                <w:bCs w:val="1"/>
                <w:color w:val="auto"/>
                <w:w w:val="94"/>
              </w:rPr>
              <w:t>Three</w:t>
            </w:r>
          </w:p>
        </w:tc>
        <w:tc>
          <w:tcPr>
            <w:tcW w:w="104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7"/>
                <w:szCs w:val="17"/>
                <w:b w:val="1"/>
                <w:bCs w:val="1"/>
                <w:color w:val="auto"/>
                <w:w w:val="86"/>
              </w:rPr>
              <w:t>Six</w:t>
            </w:r>
          </w:p>
        </w:tc>
        <w:tc>
          <w:tcPr>
            <w:tcW w:w="180" w:type="dxa"/>
            <w:vAlign w:val="bottom"/>
          </w:tcPr>
          <w:p>
            <w:pPr>
              <w:spacing w:after="0"/>
              <w:rPr>
                <w:sz w:val="15"/>
                <w:szCs w:val="15"/>
                <w:color w:val="auto"/>
              </w:rPr>
            </w:pPr>
          </w:p>
        </w:tc>
      </w:tr>
      <w:tr>
        <w:trPr>
          <w:trHeight w:val="203"/>
        </w:trPr>
        <w:tc>
          <w:tcPr>
            <w:tcW w:w="3780" w:type="dxa"/>
            <w:vAlign w:val="bottom"/>
          </w:tcPr>
          <w:p>
            <w:pPr>
              <w:spacing w:after="0"/>
              <w:rPr>
                <w:sz w:val="17"/>
                <w:szCs w:val="17"/>
                <w:color w:val="auto"/>
              </w:rPr>
            </w:pPr>
          </w:p>
        </w:tc>
        <w:tc>
          <w:tcPr>
            <w:tcW w:w="1260" w:type="dxa"/>
            <w:vAlign w:val="bottom"/>
            <w:gridSpan w:val="2"/>
          </w:tcPr>
          <w:p>
            <w:pPr>
              <w:jc w:val="center"/>
              <w:ind w:right="115"/>
              <w:spacing w:after="0"/>
              <w:rPr>
                <w:sz w:val="20"/>
                <w:szCs w:val="20"/>
                <w:color w:val="auto"/>
              </w:rPr>
            </w:pPr>
            <w:r>
              <w:rPr>
                <w:rFonts w:ascii="Arial" w:cs="Arial" w:eastAsia="Arial" w:hAnsi="Arial"/>
                <w:sz w:val="17"/>
                <w:szCs w:val="17"/>
                <w:b w:val="1"/>
                <w:bCs w:val="1"/>
                <w:color w:val="auto"/>
                <w:w w:val="89"/>
              </w:rPr>
              <w:t>Months</w:t>
            </w:r>
          </w:p>
        </w:tc>
        <w:tc>
          <w:tcPr>
            <w:tcW w:w="1560" w:type="dxa"/>
            <w:vAlign w:val="bottom"/>
            <w:gridSpan w:val="2"/>
          </w:tcPr>
          <w:p>
            <w:pPr>
              <w:jc w:val="center"/>
              <w:ind w:right="395"/>
              <w:spacing w:after="0"/>
              <w:rPr>
                <w:sz w:val="20"/>
                <w:szCs w:val="20"/>
                <w:color w:val="auto"/>
              </w:rPr>
            </w:pPr>
            <w:r>
              <w:rPr>
                <w:rFonts w:ascii="Arial" w:cs="Arial" w:eastAsia="Arial" w:hAnsi="Arial"/>
                <w:sz w:val="17"/>
                <w:szCs w:val="17"/>
                <w:b w:val="1"/>
                <w:bCs w:val="1"/>
                <w:color w:val="auto"/>
                <w:w w:val="92"/>
              </w:rPr>
              <w:t>Months</w:t>
            </w:r>
          </w:p>
        </w:tc>
        <w:tc>
          <w:tcPr>
            <w:tcW w:w="1240" w:type="dxa"/>
            <w:vAlign w:val="bottom"/>
            <w:gridSpan w:val="2"/>
          </w:tcPr>
          <w:p>
            <w:pPr>
              <w:jc w:val="center"/>
              <w:ind w:right="115"/>
              <w:spacing w:after="0"/>
              <w:rPr>
                <w:sz w:val="20"/>
                <w:szCs w:val="20"/>
                <w:color w:val="auto"/>
              </w:rPr>
            </w:pPr>
            <w:r>
              <w:rPr>
                <w:rFonts w:ascii="Arial" w:cs="Arial" w:eastAsia="Arial" w:hAnsi="Arial"/>
                <w:sz w:val="17"/>
                <w:szCs w:val="17"/>
                <w:b w:val="1"/>
                <w:bCs w:val="1"/>
                <w:color w:val="auto"/>
                <w:w w:val="92"/>
              </w:rPr>
              <w:t>Months</w:t>
            </w:r>
          </w:p>
        </w:tc>
        <w:tc>
          <w:tcPr>
            <w:tcW w:w="1220" w:type="dxa"/>
            <w:vAlign w:val="bottom"/>
            <w:gridSpan w:val="2"/>
          </w:tcPr>
          <w:p>
            <w:pPr>
              <w:jc w:val="center"/>
              <w:ind w:right="95"/>
              <w:spacing w:after="0"/>
              <w:rPr>
                <w:sz w:val="20"/>
                <w:szCs w:val="20"/>
                <w:color w:val="auto"/>
              </w:rPr>
            </w:pPr>
            <w:r>
              <w:rPr>
                <w:rFonts w:ascii="Arial" w:cs="Arial" w:eastAsia="Arial" w:hAnsi="Arial"/>
                <w:sz w:val="17"/>
                <w:szCs w:val="17"/>
                <w:b w:val="1"/>
                <w:bCs w:val="1"/>
                <w:color w:val="auto"/>
                <w:w w:val="92"/>
              </w:rPr>
              <w:t>Months</w:t>
            </w:r>
          </w:p>
        </w:tc>
      </w:tr>
      <w:tr>
        <w:trPr>
          <w:trHeight w:val="203"/>
        </w:trPr>
        <w:tc>
          <w:tcPr>
            <w:tcW w:w="3780" w:type="dxa"/>
            <w:vAlign w:val="bottom"/>
          </w:tcPr>
          <w:p>
            <w:pPr>
              <w:spacing w:after="0"/>
              <w:rPr>
                <w:sz w:val="17"/>
                <w:szCs w:val="17"/>
                <w:color w:val="auto"/>
              </w:rPr>
            </w:pPr>
          </w:p>
        </w:tc>
        <w:tc>
          <w:tcPr>
            <w:tcW w:w="1260" w:type="dxa"/>
            <w:vAlign w:val="bottom"/>
            <w:gridSpan w:val="2"/>
          </w:tcPr>
          <w:p>
            <w:pPr>
              <w:jc w:val="center"/>
              <w:ind w:right="115"/>
              <w:spacing w:after="0"/>
              <w:rPr>
                <w:sz w:val="20"/>
                <w:szCs w:val="20"/>
                <w:color w:val="auto"/>
              </w:rPr>
            </w:pPr>
            <w:r>
              <w:rPr>
                <w:rFonts w:ascii="Arial" w:cs="Arial" w:eastAsia="Arial" w:hAnsi="Arial"/>
                <w:sz w:val="17"/>
                <w:szCs w:val="17"/>
                <w:b w:val="1"/>
                <w:bCs w:val="1"/>
                <w:color w:val="auto"/>
                <w:w w:val="88"/>
              </w:rPr>
              <w:t>Ended</w:t>
            </w:r>
          </w:p>
        </w:tc>
        <w:tc>
          <w:tcPr>
            <w:tcW w:w="1560" w:type="dxa"/>
            <w:vAlign w:val="bottom"/>
            <w:gridSpan w:val="2"/>
          </w:tcPr>
          <w:p>
            <w:pPr>
              <w:jc w:val="center"/>
              <w:ind w:right="395"/>
              <w:spacing w:after="0"/>
              <w:rPr>
                <w:sz w:val="20"/>
                <w:szCs w:val="20"/>
                <w:color w:val="auto"/>
              </w:rPr>
            </w:pPr>
            <w:r>
              <w:rPr>
                <w:rFonts w:ascii="Arial" w:cs="Arial" w:eastAsia="Arial" w:hAnsi="Arial"/>
                <w:sz w:val="17"/>
                <w:szCs w:val="17"/>
                <w:b w:val="1"/>
                <w:bCs w:val="1"/>
                <w:color w:val="auto"/>
                <w:w w:val="92"/>
              </w:rPr>
              <w:t>Ended</w:t>
            </w:r>
          </w:p>
        </w:tc>
        <w:tc>
          <w:tcPr>
            <w:tcW w:w="1240" w:type="dxa"/>
            <w:vAlign w:val="bottom"/>
            <w:gridSpan w:val="2"/>
          </w:tcPr>
          <w:p>
            <w:pPr>
              <w:jc w:val="center"/>
              <w:ind w:right="115"/>
              <w:spacing w:after="0"/>
              <w:rPr>
                <w:sz w:val="20"/>
                <w:szCs w:val="20"/>
                <w:color w:val="auto"/>
              </w:rPr>
            </w:pPr>
            <w:r>
              <w:rPr>
                <w:rFonts w:ascii="Arial" w:cs="Arial" w:eastAsia="Arial" w:hAnsi="Arial"/>
                <w:sz w:val="17"/>
                <w:szCs w:val="17"/>
                <w:b w:val="1"/>
                <w:bCs w:val="1"/>
                <w:color w:val="auto"/>
                <w:w w:val="92"/>
              </w:rPr>
              <w:t>Ended</w:t>
            </w:r>
          </w:p>
        </w:tc>
        <w:tc>
          <w:tcPr>
            <w:tcW w:w="1220" w:type="dxa"/>
            <w:vAlign w:val="bottom"/>
            <w:gridSpan w:val="2"/>
          </w:tcPr>
          <w:p>
            <w:pPr>
              <w:jc w:val="center"/>
              <w:ind w:right="115"/>
              <w:spacing w:after="0"/>
              <w:rPr>
                <w:sz w:val="20"/>
                <w:szCs w:val="20"/>
                <w:color w:val="auto"/>
              </w:rPr>
            </w:pPr>
            <w:r>
              <w:rPr>
                <w:rFonts w:ascii="Arial" w:cs="Arial" w:eastAsia="Arial" w:hAnsi="Arial"/>
                <w:sz w:val="17"/>
                <w:szCs w:val="17"/>
                <w:b w:val="1"/>
                <w:bCs w:val="1"/>
                <w:color w:val="auto"/>
                <w:w w:val="88"/>
              </w:rPr>
              <w:t>Ended</w:t>
            </w:r>
          </w:p>
        </w:tc>
      </w:tr>
      <w:tr>
        <w:trPr>
          <w:trHeight w:val="203"/>
        </w:trPr>
        <w:tc>
          <w:tcPr>
            <w:tcW w:w="3780" w:type="dxa"/>
            <w:vAlign w:val="bottom"/>
          </w:tcPr>
          <w:p>
            <w:pPr>
              <w:spacing w:after="0"/>
              <w:rPr>
                <w:sz w:val="17"/>
                <w:szCs w:val="17"/>
                <w:color w:val="auto"/>
              </w:rPr>
            </w:pPr>
          </w:p>
        </w:tc>
        <w:tc>
          <w:tcPr>
            <w:tcW w:w="1260" w:type="dxa"/>
            <w:vAlign w:val="bottom"/>
            <w:gridSpan w:val="2"/>
          </w:tcPr>
          <w:p>
            <w:pPr>
              <w:jc w:val="center"/>
              <w:ind w:right="155"/>
              <w:spacing w:after="0"/>
              <w:rPr>
                <w:sz w:val="20"/>
                <w:szCs w:val="20"/>
                <w:color w:val="auto"/>
              </w:rPr>
            </w:pPr>
            <w:r>
              <w:rPr>
                <w:rFonts w:ascii="Arial" w:cs="Arial" w:eastAsia="Arial" w:hAnsi="Arial"/>
                <w:sz w:val="17"/>
                <w:szCs w:val="17"/>
                <w:b w:val="1"/>
                <w:bCs w:val="1"/>
                <w:color w:val="auto"/>
                <w:w w:val="91"/>
              </w:rPr>
              <w:t>June 30,</w:t>
            </w:r>
          </w:p>
        </w:tc>
        <w:tc>
          <w:tcPr>
            <w:tcW w:w="1560" w:type="dxa"/>
            <w:vAlign w:val="bottom"/>
            <w:gridSpan w:val="2"/>
          </w:tcPr>
          <w:p>
            <w:pPr>
              <w:jc w:val="center"/>
              <w:ind w:right="435"/>
              <w:spacing w:after="0"/>
              <w:rPr>
                <w:sz w:val="20"/>
                <w:szCs w:val="20"/>
                <w:color w:val="auto"/>
              </w:rPr>
            </w:pPr>
            <w:r>
              <w:rPr>
                <w:rFonts w:ascii="Arial" w:cs="Arial" w:eastAsia="Arial" w:hAnsi="Arial"/>
                <w:sz w:val="17"/>
                <w:szCs w:val="17"/>
                <w:b w:val="1"/>
                <w:bCs w:val="1"/>
                <w:color w:val="auto"/>
                <w:w w:val="88"/>
              </w:rPr>
              <w:t>June 30,</w:t>
            </w:r>
          </w:p>
        </w:tc>
        <w:tc>
          <w:tcPr>
            <w:tcW w:w="1240" w:type="dxa"/>
            <w:vAlign w:val="bottom"/>
            <w:gridSpan w:val="2"/>
          </w:tcPr>
          <w:p>
            <w:pPr>
              <w:jc w:val="center"/>
              <w:ind w:right="155"/>
              <w:spacing w:after="0"/>
              <w:rPr>
                <w:sz w:val="20"/>
                <w:szCs w:val="20"/>
                <w:color w:val="auto"/>
              </w:rPr>
            </w:pPr>
            <w:r>
              <w:rPr>
                <w:rFonts w:ascii="Arial" w:cs="Arial" w:eastAsia="Arial" w:hAnsi="Arial"/>
                <w:sz w:val="17"/>
                <w:szCs w:val="17"/>
                <w:b w:val="1"/>
                <w:bCs w:val="1"/>
                <w:color w:val="auto"/>
                <w:w w:val="88"/>
              </w:rPr>
              <w:t>June 30,</w:t>
            </w:r>
          </w:p>
        </w:tc>
        <w:tc>
          <w:tcPr>
            <w:tcW w:w="1220" w:type="dxa"/>
            <w:vAlign w:val="bottom"/>
            <w:gridSpan w:val="2"/>
          </w:tcPr>
          <w:p>
            <w:pPr>
              <w:jc w:val="center"/>
              <w:ind w:right="135"/>
              <w:spacing w:after="0"/>
              <w:rPr>
                <w:sz w:val="20"/>
                <w:szCs w:val="20"/>
                <w:color w:val="auto"/>
              </w:rPr>
            </w:pPr>
            <w:r>
              <w:rPr>
                <w:rFonts w:ascii="Arial" w:cs="Arial" w:eastAsia="Arial" w:hAnsi="Arial"/>
                <w:sz w:val="17"/>
                <w:szCs w:val="17"/>
                <w:b w:val="1"/>
                <w:bCs w:val="1"/>
                <w:color w:val="auto"/>
                <w:w w:val="88"/>
              </w:rPr>
              <w:t>June 30,</w:t>
            </w:r>
          </w:p>
        </w:tc>
      </w:tr>
      <w:tr>
        <w:trPr>
          <w:trHeight w:val="219"/>
        </w:trPr>
        <w:tc>
          <w:tcPr>
            <w:tcW w:w="37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2019</w:t>
            </w: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2019</w:t>
            </w:r>
          </w:p>
        </w:tc>
        <w:tc>
          <w:tcPr>
            <w:tcW w:w="4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2018</w:t>
            </w: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2018</w:t>
            </w:r>
          </w:p>
        </w:tc>
        <w:tc>
          <w:tcPr>
            <w:tcW w:w="180" w:type="dxa"/>
            <w:vAlign w:val="bottom"/>
            <w:tcBorders>
              <w:bottom w:val="single" w:sz="8" w:color="CCEEFF"/>
            </w:tcBorders>
          </w:tcPr>
          <w:p>
            <w:pPr>
              <w:spacing w:after="0"/>
              <w:rPr>
                <w:sz w:val="19"/>
                <w:szCs w:val="19"/>
                <w:color w:val="auto"/>
              </w:rPr>
            </w:pPr>
          </w:p>
        </w:tc>
      </w:tr>
      <w:tr>
        <w:trPr>
          <w:trHeight w:val="196"/>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 of revenue denominated in foreign currencies </w:t>
            </w:r>
            <w:r>
              <w:rPr>
                <w:rFonts w:ascii="Arial" w:cs="Arial" w:eastAsia="Arial" w:hAnsi="Arial"/>
                <w:sz w:val="8"/>
                <w:szCs w:val="8"/>
                <w:color w:val="auto"/>
              </w:rPr>
              <w:t>(1)</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48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191"/>
        </w:trPr>
        <w:tc>
          <w:tcPr>
            <w:tcW w:w="3780" w:type="dxa"/>
            <w:vAlign w:val="bottom"/>
          </w:tcPr>
          <w:p>
            <w:pPr>
              <w:spacing w:after="0" w:line="191" w:lineRule="exact"/>
              <w:rPr>
                <w:sz w:val="20"/>
                <w:szCs w:val="20"/>
                <w:color w:val="auto"/>
              </w:rPr>
            </w:pPr>
            <w:r>
              <w:rPr>
                <w:rFonts w:ascii="Arial" w:cs="Arial" w:eastAsia="Arial" w:hAnsi="Arial"/>
                <w:sz w:val="17"/>
                <w:szCs w:val="17"/>
                <w:color w:val="auto"/>
              </w:rPr>
              <w:t>% of operating expenses denominated in foreign</w:t>
            </w: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9"/>
        </w:trPr>
        <w:tc>
          <w:tcPr>
            <w:tcW w:w="3780" w:type="dxa"/>
            <w:vAlign w:val="bottom"/>
          </w:tcPr>
          <w:p>
            <w:pPr>
              <w:spacing w:after="0"/>
              <w:rPr>
                <w:sz w:val="20"/>
                <w:szCs w:val="20"/>
                <w:color w:val="auto"/>
              </w:rPr>
            </w:pPr>
            <w:r>
              <w:rPr>
                <w:rFonts w:ascii="Arial" w:cs="Arial" w:eastAsia="Arial" w:hAnsi="Arial"/>
                <w:sz w:val="17"/>
                <w:szCs w:val="17"/>
                <w:color w:val="auto"/>
              </w:rPr>
              <w:t xml:space="preserve">currencies </w:t>
            </w:r>
            <w:r>
              <w:rPr>
                <w:rFonts w:ascii="Arial" w:cs="Arial" w:eastAsia="Arial" w:hAnsi="Arial"/>
                <w:sz w:val="8"/>
                <w:szCs w:val="8"/>
                <w:color w:val="auto"/>
              </w:rPr>
              <w:t>(2)</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13.8 %</w:t>
            </w:r>
          </w:p>
        </w:tc>
        <w:tc>
          <w:tcPr>
            <w:tcW w:w="1560" w:type="dxa"/>
            <w:vAlign w:val="bottom"/>
            <w:gridSpan w:val="2"/>
          </w:tcPr>
          <w:p>
            <w:pPr>
              <w:jc w:val="right"/>
              <w:ind w:right="255"/>
              <w:spacing w:after="0"/>
              <w:rPr>
                <w:sz w:val="20"/>
                <w:szCs w:val="20"/>
                <w:color w:val="auto"/>
              </w:rPr>
            </w:pPr>
            <w:r>
              <w:rPr>
                <w:rFonts w:ascii="Arial" w:cs="Arial" w:eastAsia="Arial" w:hAnsi="Arial"/>
                <w:sz w:val="17"/>
                <w:szCs w:val="17"/>
                <w:color w:val="auto"/>
              </w:rPr>
              <w:t>14.4 %</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16.5 %</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16.3 %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-1173480</wp:posOffset>
            </wp:positionV>
            <wp:extent cx="8255" cy="11779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1177925"/>
                    </a:xfrm>
                    <a:prstGeom prst="rect">
                      <a:avLst/>
                    </a:prstGeom>
                    <a:noFill/>
                  </pic:spPr>
                </pic:pic>
              </a:graphicData>
            </a:graphic>
          </wp:anchor>
        </w:drawing>
      </w:r>
    </w:p>
    <w:p>
      <w:pPr>
        <w:ind w:left="380" w:hanging="306"/>
        <w:spacing w:after="0" w:line="208" w:lineRule="auto"/>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Gross revenue in foreign currencies is primarily denominated in Euros.</w:t>
      </w:r>
    </w:p>
    <w:p>
      <w:pPr>
        <w:ind w:left="380" w:hanging="306"/>
        <w:spacing w:after="0"/>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Operating expenses in foreign currencies are primarily denominated in British pounds.</w:t>
      </w:r>
    </w:p>
    <w:p>
      <w:pPr>
        <w:spacing w:after="0" w:line="176" w:lineRule="exact"/>
        <w:rPr>
          <w:sz w:val="20"/>
          <w:szCs w:val="20"/>
          <w:color w:val="auto"/>
        </w:rPr>
      </w:pPr>
    </w:p>
    <w:p>
      <w:pPr>
        <w:ind w:right="40" w:firstLine="305"/>
        <w:spacing w:after="0" w:line="253" w:lineRule="auto"/>
        <w:rPr>
          <w:sz w:val="20"/>
          <w:szCs w:val="20"/>
          <w:color w:val="auto"/>
        </w:rPr>
      </w:pPr>
      <w:r>
        <w:rPr>
          <w:rFonts w:ascii="Arial" w:cs="Arial" w:eastAsia="Arial" w:hAnsi="Arial"/>
          <w:sz w:val="17"/>
          <w:szCs w:val="17"/>
          <w:color w:val="auto"/>
        </w:rPr>
        <w:t>Since our consolidated financial statements are presented in U.S. dollars, we must translate revenues and expenses, as well as assets and liabilities, into U.S. dollars. Accordingly, increases or decreases in the value of the U.S. dollar against the other currencies will affect our net operating revenues, operating income and the value of balance sheet items denominated in foreign currencies. Revenues and expenses denominated in currencies other than the U.S. dollar are translated at the rate of exchange prevailing at the transaction date. Assets and liabilities denominated in foreign currencies are translated at the rate prevailing at the end of the reporting period. Any gain or loss resulting from the translation of assets and liabilities is included as a component of comprehensive income.</w:t>
      </w:r>
    </w:p>
    <w:p>
      <w:pPr>
        <w:spacing w:after="0" w:line="184" w:lineRule="exact"/>
        <w:rPr>
          <w:sz w:val="20"/>
          <w:szCs w:val="20"/>
          <w:color w:val="auto"/>
        </w:rPr>
      </w:pPr>
    </w:p>
    <w:p>
      <w:pPr>
        <w:ind w:right="260" w:firstLine="305"/>
        <w:spacing w:after="0" w:line="273" w:lineRule="auto"/>
        <w:rPr>
          <w:sz w:val="20"/>
          <w:szCs w:val="20"/>
          <w:color w:val="auto"/>
        </w:rPr>
      </w:pPr>
      <w:r>
        <w:rPr>
          <w:rFonts w:ascii="Arial" w:cs="Arial" w:eastAsia="Arial" w:hAnsi="Arial"/>
          <w:sz w:val="17"/>
          <w:szCs w:val="17"/>
          <w:color w:val="auto"/>
        </w:rPr>
        <w:t>The following table shows the change in gross revenue and operating income caused by fluctuations in foreign currency rates during the three and six months ended June 30, 2019 and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tcBorders>
              <w:right w:val="single" w:sz="8" w:color="auto"/>
            </w:tcBorders>
            <w:gridSpan w:val="5"/>
          </w:tcPr>
          <w:p>
            <w:pPr>
              <w:ind w:left="620"/>
              <w:spacing w:after="0"/>
              <w:rPr>
                <w:sz w:val="20"/>
                <w:szCs w:val="20"/>
                <w:color w:val="auto"/>
              </w:rPr>
            </w:pPr>
            <w:r>
              <w:rPr>
                <w:rFonts w:ascii="Arial" w:cs="Arial" w:eastAsia="Arial" w:hAnsi="Arial"/>
                <w:sz w:val="17"/>
                <w:szCs w:val="17"/>
                <w:b w:val="1"/>
                <w:bCs w:val="1"/>
                <w:color w:val="auto"/>
              </w:rPr>
              <w:t>Successor</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80" w:type="dxa"/>
            <w:vAlign w:val="bottom"/>
            <w:gridSpan w:val="4"/>
          </w:tcPr>
          <w:p>
            <w:pPr>
              <w:jc w:val="right"/>
              <w:ind w:right="675"/>
              <w:spacing w:after="0"/>
              <w:rPr>
                <w:sz w:val="20"/>
                <w:szCs w:val="20"/>
                <w:color w:val="auto"/>
              </w:rPr>
            </w:pPr>
            <w:r>
              <w:rPr>
                <w:rFonts w:ascii="Arial" w:cs="Arial" w:eastAsia="Arial" w:hAnsi="Arial"/>
                <w:sz w:val="17"/>
                <w:szCs w:val="17"/>
                <w:b w:val="1"/>
                <w:bCs w:val="1"/>
                <w:color w:val="auto"/>
              </w:rPr>
              <w:t>Predecessor</w:t>
            </w:r>
          </w:p>
        </w:tc>
      </w:tr>
      <w:tr>
        <w:trPr>
          <w:trHeight w:val="180"/>
        </w:trPr>
        <w:tc>
          <w:tcPr>
            <w:tcW w:w="3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center"/>
              <w:ind w:right="400"/>
              <w:spacing w:after="0" w:line="180" w:lineRule="exact"/>
              <w:rPr>
                <w:sz w:val="20"/>
                <w:szCs w:val="20"/>
                <w:color w:val="auto"/>
              </w:rPr>
            </w:pPr>
            <w:r>
              <w:rPr>
                <w:rFonts w:ascii="Arial" w:cs="Arial" w:eastAsia="Arial" w:hAnsi="Arial"/>
                <w:sz w:val="17"/>
                <w:szCs w:val="17"/>
                <w:b w:val="1"/>
                <w:bCs w:val="1"/>
                <w:color w:val="auto"/>
                <w:w w:val="90"/>
              </w:rPr>
              <w:t>Three</w:t>
            </w: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ind w:right="115"/>
              <w:spacing w:after="0" w:line="180" w:lineRule="exact"/>
              <w:rPr>
                <w:sz w:val="20"/>
                <w:szCs w:val="20"/>
                <w:color w:val="auto"/>
              </w:rPr>
            </w:pPr>
            <w:r>
              <w:rPr>
                <w:rFonts w:ascii="Arial" w:cs="Arial" w:eastAsia="Arial" w:hAnsi="Arial"/>
                <w:sz w:val="17"/>
                <w:szCs w:val="17"/>
                <w:b w:val="1"/>
                <w:bCs w:val="1"/>
                <w:color w:val="auto"/>
                <w:w w:val="93"/>
              </w:rPr>
              <w:t>Six</w:t>
            </w:r>
          </w:p>
        </w:tc>
        <w:tc>
          <w:tcPr>
            <w:tcW w:w="3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center"/>
              <w:ind w:right="400"/>
              <w:spacing w:after="0" w:line="180" w:lineRule="exact"/>
              <w:rPr>
                <w:sz w:val="20"/>
                <w:szCs w:val="20"/>
                <w:color w:val="auto"/>
              </w:rPr>
            </w:pPr>
            <w:r>
              <w:rPr>
                <w:rFonts w:ascii="Arial" w:cs="Arial" w:eastAsia="Arial" w:hAnsi="Arial"/>
                <w:sz w:val="17"/>
                <w:szCs w:val="17"/>
                <w:b w:val="1"/>
                <w:bCs w:val="1"/>
                <w:color w:val="auto"/>
                <w:w w:val="90"/>
              </w:rPr>
              <w:t>Three</w:t>
            </w: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ind w:right="115"/>
              <w:spacing w:after="0" w:line="180" w:lineRule="exact"/>
              <w:rPr>
                <w:sz w:val="20"/>
                <w:szCs w:val="20"/>
                <w:color w:val="auto"/>
              </w:rPr>
            </w:pPr>
            <w:r>
              <w:rPr>
                <w:rFonts w:ascii="Arial" w:cs="Arial" w:eastAsia="Arial" w:hAnsi="Arial"/>
                <w:sz w:val="17"/>
                <w:szCs w:val="17"/>
                <w:b w:val="1"/>
                <w:bCs w:val="1"/>
                <w:color w:val="auto"/>
                <w:w w:val="93"/>
              </w:rPr>
              <w:t>Six</w:t>
            </w:r>
          </w:p>
        </w:tc>
      </w:tr>
      <w:tr>
        <w:trPr>
          <w:trHeight w:val="203"/>
        </w:trPr>
        <w:tc>
          <w:tcPr>
            <w:tcW w:w="3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2"/>
              </w:rPr>
              <w:t>Months</w:t>
            </w:r>
          </w:p>
        </w:tc>
        <w:tc>
          <w:tcPr>
            <w:tcW w:w="180" w:type="dxa"/>
            <w:vAlign w:val="bottom"/>
          </w:tcPr>
          <w:p>
            <w:pPr>
              <w:spacing w:after="0"/>
              <w:rPr>
                <w:sz w:val="17"/>
                <w:szCs w:val="17"/>
                <w:color w:val="auto"/>
              </w:rPr>
            </w:pPr>
          </w:p>
        </w:tc>
        <w:tc>
          <w:tcPr>
            <w:tcW w:w="118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7"/>
                <w:szCs w:val="17"/>
                <w:b w:val="1"/>
                <w:bCs w:val="1"/>
                <w:color w:val="auto"/>
                <w:w w:val="92"/>
              </w:rPr>
              <w:t>Months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2"/>
              </w:rPr>
              <w:t>Months</w:t>
            </w:r>
          </w:p>
        </w:tc>
        <w:tc>
          <w:tcPr>
            <w:tcW w:w="200" w:type="dxa"/>
            <w:vAlign w:val="bottom"/>
          </w:tcPr>
          <w:p>
            <w:pPr>
              <w:spacing w:after="0"/>
              <w:rPr>
                <w:sz w:val="17"/>
                <w:szCs w:val="17"/>
                <w:color w:val="auto"/>
              </w:rPr>
            </w:pPr>
          </w:p>
        </w:tc>
        <w:tc>
          <w:tcPr>
            <w:tcW w:w="880" w:type="dxa"/>
            <w:vAlign w:val="bottom"/>
          </w:tcPr>
          <w:p>
            <w:pPr>
              <w:jc w:val="center"/>
              <w:ind w:right="115"/>
              <w:spacing w:after="0"/>
              <w:rPr>
                <w:sz w:val="20"/>
                <w:szCs w:val="20"/>
                <w:color w:val="auto"/>
              </w:rPr>
            </w:pPr>
            <w:r>
              <w:rPr>
                <w:rFonts w:ascii="Arial" w:cs="Arial" w:eastAsia="Arial" w:hAnsi="Arial"/>
                <w:sz w:val="17"/>
                <w:szCs w:val="17"/>
                <w:b w:val="1"/>
                <w:bCs w:val="1"/>
                <w:color w:val="auto"/>
                <w:w w:val="92"/>
              </w:rPr>
              <w:t>Months</w:t>
            </w:r>
          </w:p>
        </w:tc>
      </w:tr>
      <w:tr>
        <w:trPr>
          <w:trHeight w:val="203"/>
        </w:trPr>
        <w:tc>
          <w:tcPr>
            <w:tcW w:w="3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8"/>
              </w:rPr>
              <w:t>Ended</w:t>
            </w:r>
          </w:p>
        </w:tc>
        <w:tc>
          <w:tcPr>
            <w:tcW w:w="180" w:type="dxa"/>
            <w:vAlign w:val="bottom"/>
          </w:tcPr>
          <w:p>
            <w:pPr>
              <w:spacing w:after="0"/>
              <w:rPr>
                <w:sz w:val="17"/>
                <w:szCs w:val="17"/>
                <w:color w:val="auto"/>
              </w:rPr>
            </w:pPr>
          </w:p>
        </w:tc>
        <w:tc>
          <w:tcPr>
            <w:tcW w:w="118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7"/>
                <w:szCs w:val="17"/>
                <w:b w:val="1"/>
                <w:bCs w:val="1"/>
                <w:color w:val="auto"/>
                <w:w w:val="92"/>
              </w:rPr>
              <w:t>Ended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2"/>
              </w:rPr>
              <w:t>Ended</w:t>
            </w:r>
          </w:p>
        </w:tc>
        <w:tc>
          <w:tcPr>
            <w:tcW w:w="200" w:type="dxa"/>
            <w:vAlign w:val="bottom"/>
          </w:tcPr>
          <w:p>
            <w:pPr>
              <w:spacing w:after="0"/>
              <w:rPr>
                <w:sz w:val="17"/>
                <w:szCs w:val="17"/>
                <w:color w:val="auto"/>
              </w:rPr>
            </w:pPr>
          </w:p>
        </w:tc>
        <w:tc>
          <w:tcPr>
            <w:tcW w:w="880" w:type="dxa"/>
            <w:vAlign w:val="bottom"/>
          </w:tcPr>
          <w:p>
            <w:pPr>
              <w:jc w:val="center"/>
              <w:ind w:right="115"/>
              <w:spacing w:after="0"/>
              <w:rPr>
                <w:sz w:val="20"/>
                <w:szCs w:val="20"/>
                <w:color w:val="auto"/>
              </w:rPr>
            </w:pPr>
            <w:r>
              <w:rPr>
                <w:rFonts w:ascii="Arial" w:cs="Arial" w:eastAsia="Arial" w:hAnsi="Arial"/>
                <w:sz w:val="17"/>
                <w:szCs w:val="17"/>
                <w:b w:val="1"/>
                <w:bCs w:val="1"/>
                <w:color w:val="auto"/>
                <w:w w:val="92"/>
              </w:rPr>
              <w:t>Ended</w:t>
            </w:r>
          </w:p>
        </w:tc>
      </w:tr>
      <w:tr>
        <w:trPr>
          <w:trHeight w:val="203"/>
        </w:trPr>
        <w:tc>
          <w:tcPr>
            <w:tcW w:w="3880" w:type="dxa"/>
            <w:vAlign w:val="bottom"/>
            <w:gridSpan w:val="2"/>
          </w:tcPr>
          <w:p>
            <w:pPr>
              <w:spacing w:after="0"/>
              <w:rPr>
                <w:sz w:val="20"/>
                <w:szCs w:val="20"/>
                <w:color w:val="auto"/>
              </w:rPr>
            </w:pPr>
            <w:r>
              <w:rPr>
                <w:rFonts w:ascii="Arial" w:cs="Arial" w:eastAsia="Arial" w:hAnsi="Arial"/>
                <w:sz w:val="17"/>
                <w:szCs w:val="17"/>
                <w:b w:val="1"/>
                <w:bCs w:val="1"/>
                <w:color w:val="auto"/>
              </w:rPr>
              <w:t>Impact of Foreign Currency Rate Fluctuations</w:t>
            </w:r>
          </w:p>
        </w:tc>
        <w:tc>
          <w:tcPr>
            <w:tcW w:w="180" w:type="dxa"/>
            <w:vAlign w:val="bottom"/>
          </w:tcPr>
          <w:p>
            <w:pPr>
              <w:spacing w:after="0"/>
              <w:rPr>
                <w:sz w:val="17"/>
                <w:szCs w:val="17"/>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w w:val="88"/>
              </w:rPr>
              <w:t>June 30,</w:t>
            </w:r>
          </w:p>
        </w:tc>
        <w:tc>
          <w:tcPr>
            <w:tcW w:w="180" w:type="dxa"/>
            <w:vAlign w:val="bottom"/>
          </w:tcPr>
          <w:p>
            <w:pPr>
              <w:spacing w:after="0"/>
              <w:rPr>
                <w:sz w:val="17"/>
                <w:szCs w:val="17"/>
                <w:color w:val="auto"/>
              </w:rPr>
            </w:pPr>
          </w:p>
        </w:tc>
        <w:tc>
          <w:tcPr>
            <w:tcW w:w="118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7"/>
                <w:szCs w:val="17"/>
                <w:b w:val="1"/>
                <w:bCs w:val="1"/>
                <w:color w:val="auto"/>
                <w:w w:val="88"/>
              </w:rPr>
              <w:t>June 30,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88"/>
              </w:rPr>
              <w:t>June 30,</w:t>
            </w:r>
          </w:p>
        </w:tc>
        <w:tc>
          <w:tcPr>
            <w:tcW w:w="200" w:type="dxa"/>
            <w:vAlign w:val="bottom"/>
          </w:tcPr>
          <w:p>
            <w:pPr>
              <w:spacing w:after="0"/>
              <w:rPr>
                <w:sz w:val="17"/>
                <w:szCs w:val="17"/>
                <w:color w:val="auto"/>
              </w:rPr>
            </w:pPr>
          </w:p>
        </w:tc>
        <w:tc>
          <w:tcPr>
            <w:tcW w:w="880" w:type="dxa"/>
            <w:vAlign w:val="bottom"/>
          </w:tcPr>
          <w:p>
            <w:pPr>
              <w:jc w:val="center"/>
              <w:ind w:right="155"/>
              <w:spacing w:after="0"/>
              <w:rPr>
                <w:sz w:val="20"/>
                <w:szCs w:val="20"/>
                <w:color w:val="auto"/>
              </w:rPr>
            </w:pPr>
            <w:r>
              <w:rPr>
                <w:rFonts w:ascii="Arial" w:cs="Arial" w:eastAsia="Arial" w:hAnsi="Arial"/>
                <w:sz w:val="17"/>
                <w:szCs w:val="17"/>
                <w:b w:val="1"/>
                <w:bCs w:val="1"/>
                <w:color w:val="auto"/>
                <w:w w:val="88"/>
              </w:rPr>
              <w:t>June 30,</w:t>
            </w:r>
          </w:p>
        </w:tc>
      </w:tr>
      <w:tr>
        <w:trPr>
          <w:trHeight w:val="219"/>
        </w:trPr>
        <w:tc>
          <w:tcPr>
            <w:tcW w:w="3880" w:type="dxa"/>
            <w:vAlign w:val="bottom"/>
            <w:gridSpan w:val="2"/>
          </w:tcPr>
          <w:p>
            <w:pPr>
              <w:spacing w:after="0"/>
              <w:rPr>
                <w:sz w:val="20"/>
                <w:szCs w:val="20"/>
                <w:color w:val="auto"/>
              </w:rPr>
            </w:pPr>
            <w:r>
              <w:rPr>
                <w:rFonts w:ascii="Arial" w:cs="Arial" w:eastAsia="Arial" w:hAnsi="Arial"/>
                <w:sz w:val="17"/>
                <w:szCs w:val="17"/>
                <w:b w:val="1"/>
                <w:bCs w:val="1"/>
                <w:color w:val="auto"/>
              </w:rPr>
              <w:t>(amounts in thousands)</w:t>
            </w:r>
          </w:p>
        </w:tc>
        <w:tc>
          <w:tcPr>
            <w:tcW w:w="180" w:type="dxa"/>
            <w:vAlign w:val="bottom"/>
          </w:tcPr>
          <w:p>
            <w:pPr>
              <w:spacing w:after="0"/>
              <w:rPr>
                <w:sz w:val="19"/>
                <w:szCs w:val="19"/>
                <w:color w:val="auto"/>
              </w:rPr>
            </w:pPr>
          </w:p>
        </w:tc>
        <w:tc>
          <w:tcPr>
            <w:tcW w:w="880" w:type="dxa"/>
            <w:vAlign w:val="bottom"/>
          </w:tcPr>
          <w:p>
            <w:pPr>
              <w:jc w:val="center"/>
              <w:ind w:right="95"/>
              <w:spacing w:after="0"/>
              <w:rPr>
                <w:sz w:val="20"/>
                <w:szCs w:val="20"/>
                <w:color w:val="auto"/>
              </w:rPr>
            </w:pPr>
            <w:r>
              <w:rPr>
                <w:rFonts w:ascii="Arial" w:cs="Arial" w:eastAsia="Arial" w:hAnsi="Arial"/>
                <w:sz w:val="17"/>
                <w:szCs w:val="17"/>
                <w:b w:val="1"/>
                <w:bCs w:val="1"/>
                <w:color w:val="auto"/>
                <w:w w:val="89"/>
              </w:rPr>
              <w:t>2019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center"/>
              <w:ind w:right="135"/>
              <w:spacing w:after="0"/>
              <w:rPr>
                <w:sz w:val="20"/>
                <w:szCs w:val="20"/>
                <w:color w:val="auto"/>
              </w:rPr>
            </w:pPr>
            <w:r>
              <w:rPr>
                <w:rFonts w:ascii="Arial" w:cs="Arial" w:eastAsia="Arial" w:hAnsi="Arial"/>
                <w:sz w:val="17"/>
                <w:szCs w:val="17"/>
                <w:b w:val="1"/>
                <w:bCs w:val="1"/>
                <w:color w:val="auto"/>
                <w:w w:val="89"/>
              </w:rPr>
              <w:t>2019</w:t>
            </w:r>
          </w:p>
        </w:tc>
        <w:tc>
          <w:tcPr>
            <w:tcW w:w="3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center"/>
              <w:ind w:right="115"/>
              <w:spacing w:after="0"/>
              <w:rPr>
                <w:sz w:val="20"/>
                <w:szCs w:val="20"/>
                <w:color w:val="auto"/>
              </w:rPr>
            </w:pPr>
            <w:r>
              <w:rPr>
                <w:rFonts w:ascii="Arial" w:cs="Arial" w:eastAsia="Arial" w:hAnsi="Arial"/>
                <w:sz w:val="17"/>
                <w:szCs w:val="17"/>
                <w:b w:val="1"/>
                <w:bCs w:val="1"/>
                <w:color w:val="auto"/>
                <w:w w:val="89"/>
              </w:rPr>
              <w:t>2018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center"/>
              <w:ind w:right="135"/>
              <w:spacing w:after="0"/>
              <w:rPr>
                <w:sz w:val="20"/>
                <w:szCs w:val="20"/>
                <w:color w:val="auto"/>
              </w:rPr>
            </w:pPr>
            <w:r>
              <w:rPr>
                <w:rFonts w:ascii="Arial" w:cs="Arial" w:eastAsia="Arial" w:hAnsi="Arial"/>
                <w:sz w:val="17"/>
                <w:szCs w:val="17"/>
                <w:b w:val="1"/>
                <w:bCs w:val="1"/>
                <w:color w:val="auto"/>
                <w:w w:val="89"/>
              </w:rPr>
              <w:t>2018</w:t>
            </w:r>
          </w:p>
        </w:tc>
      </w:tr>
      <w:tr>
        <w:trPr>
          <w:trHeight w:val="196"/>
        </w:trPr>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Increase (decrease) in gross revenue</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(2,400)</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(4,700)</w:t>
            </w:r>
          </w:p>
        </w:tc>
        <w:tc>
          <w:tcPr>
            <w:tcW w:w="300" w:type="dxa"/>
            <w:vAlign w:val="bottom"/>
            <w:tcBorders>
              <w:top w:val="single" w:sz="8" w:color="CCEEFF"/>
              <w:right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2,100</w:t>
            </w:r>
          </w:p>
        </w:tc>
      </w:tr>
      <w:tr>
        <w:trPr>
          <w:trHeight w:val="203"/>
        </w:trPr>
        <w:tc>
          <w:tcPr>
            <w:tcW w:w="3880" w:type="dxa"/>
            <w:vAlign w:val="bottom"/>
            <w:gridSpan w:val="2"/>
          </w:tcPr>
          <w:p>
            <w:pPr>
              <w:spacing w:after="0"/>
              <w:rPr>
                <w:sz w:val="20"/>
                <w:szCs w:val="20"/>
                <w:color w:val="auto"/>
              </w:rPr>
            </w:pPr>
            <w:r>
              <w:rPr>
                <w:rFonts w:ascii="Arial" w:cs="Arial" w:eastAsia="Arial" w:hAnsi="Arial"/>
                <w:sz w:val="17"/>
                <w:szCs w:val="17"/>
                <w:color w:val="auto"/>
              </w:rPr>
              <w:t>Increase (decrease) in operating income</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(2,100)</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(5,300)</w:t>
            </w:r>
          </w:p>
        </w:tc>
        <w:tc>
          <w:tcPr>
            <w:tcW w:w="3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1,900</w:t>
            </w:r>
          </w:p>
        </w:tc>
        <w:tc>
          <w:tcPr>
            <w:tcW w:w="2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3,300</w:t>
            </w:r>
          </w:p>
        </w:tc>
      </w:tr>
    </w:tbl>
    <w:p>
      <w:pPr>
        <w:spacing w:after="0" w:line="394" w:lineRule="exact"/>
        <w:rPr>
          <w:sz w:val="20"/>
          <w:szCs w:val="20"/>
          <w:color w:val="auto"/>
        </w:rPr>
      </w:pPr>
    </w:p>
    <w:p>
      <w:pPr>
        <w:ind w:right="380" w:firstLine="305"/>
        <w:spacing w:after="0" w:line="341" w:lineRule="auto"/>
        <w:rPr>
          <w:sz w:val="20"/>
          <w:szCs w:val="20"/>
          <w:color w:val="auto"/>
        </w:rPr>
      </w:pPr>
      <w:r>
        <w:rPr>
          <w:rFonts w:ascii="Arial" w:cs="Arial" w:eastAsia="Arial" w:hAnsi="Arial"/>
          <w:sz w:val="15"/>
          <w:szCs w:val="15"/>
          <w:color w:val="auto"/>
        </w:rPr>
        <w:t>The following table shows the impact a hypothetical 10% increase or decrease in the U.S. dollar against all other currencies would have on actual gross revenue and operating income for the three and six months ended June 30, 2019 and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Successor</w:t>
            </w:r>
          </w:p>
        </w:tc>
        <w:tc>
          <w:tcPr>
            <w:tcW w:w="820" w:type="dxa"/>
            <w:vAlign w:val="bottom"/>
            <w:tcBorders>
              <w:bottom w:val="single" w:sz="8" w:color="auto"/>
            </w:tcBorders>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7"/>
                <w:szCs w:val="17"/>
                <w:b w:val="1"/>
                <w:bCs w:val="1"/>
                <w:color w:val="auto"/>
              </w:rPr>
              <w:t>Predecessor</w:t>
            </w:r>
          </w:p>
        </w:tc>
      </w:tr>
      <w:tr>
        <w:trPr>
          <w:trHeight w:val="180"/>
        </w:trPr>
        <w:tc>
          <w:tcPr>
            <w:tcW w:w="3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center"/>
              <w:ind w:right="460"/>
              <w:spacing w:after="0" w:line="180" w:lineRule="exact"/>
              <w:rPr>
                <w:sz w:val="20"/>
                <w:szCs w:val="20"/>
                <w:color w:val="auto"/>
              </w:rPr>
            </w:pPr>
            <w:r>
              <w:rPr>
                <w:rFonts w:ascii="Arial" w:cs="Arial" w:eastAsia="Arial" w:hAnsi="Arial"/>
                <w:sz w:val="17"/>
                <w:szCs w:val="17"/>
                <w:b w:val="1"/>
                <w:bCs w:val="1"/>
                <w:color w:val="auto"/>
                <w:w w:val="90"/>
              </w:rPr>
              <w:t>Three</w:t>
            </w:r>
          </w:p>
        </w:tc>
        <w:tc>
          <w:tcPr>
            <w:tcW w:w="240" w:type="dxa"/>
            <w:vAlign w:val="bottom"/>
          </w:tcPr>
          <w:p>
            <w:pPr>
              <w:spacing w:after="0"/>
              <w:rPr>
                <w:sz w:val="15"/>
                <w:szCs w:val="15"/>
                <w:color w:val="auto"/>
              </w:rPr>
            </w:pPr>
          </w:p>
        </w:tc>
        <w:tc>
          <w:tcPr>
            <w:tcW w:w="820" w:type="dxa"/>
            <w:vAlign w:val="bottom"/>
          </w:tcPr>
          <w:p>
            <w:pPr>
              <w:jc w:val="center"/>
              <w:ind w:right="175"/>
              <w:spacing w:after="0" w:line="180" w:lineRule="exact"/>
              <w:rPr>
                <w:sz w:val="20"/>
                <w:szCs w:val="20"/>
                <w:color w:val="auto"/>
              </w:rPr>
            </w:pPr>
            <w:r>
              <w:rPr>
                <w:rFonts w:ascii="Arial" w:cs="Arial" w:eastAsia="Arial" w:hAnsi="Arial"/>
                <w:sz w:val="17"/>
                <w:szCs w:val="17"/>
                <w:b w:val="1"/>
                <w:bCs w:val="1"/>
                <w:color w:val="auto"/>
                <w:w w:val="93"/>
              </w:rPr>
              <w:t>Six</w:t>
            </w:r>
          </w:p>
        </w:tc>
        <w:tc>
          <w:tcPr>
            <w:tcW w:w="3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center"/>
              <w:ind w:right="460"/>
              <w:spacing w:after="0" w:line="180" w:lineRule="exact"/>
              <w:rPr>
                <w:sz w:val="20"/>
                <w:szCs w:val="20"/>
                <w:color w:val="auto"/>
              </w:rPr>
            </w:pPr>
            <w:r>
              <w:rPr>
                <w:rFonts w:ascii="Arial" w:cs="Arial" w:eastAsia="Arial" w:hAnsi="Arial"/>
                <w:sz w:val="17"/>
                <w:szCs w:val="17"/>
                <w:b w:val="1"/>
                <w:bCs w:val="1"/>
                <w:color w:val="auto"/>
                <w:w w:val="90"/>
              </w:rPr>
              <w:t>Three</w:t>
            </w:r>
          </w:p>
        </w:tc>
        <w:tc>
          <w:tcPr>
            <w:tcW w:w="240" w:type="dxa"/>
            <w:vAlign w:val="bottom"/>
          </w:tcPr>
          <w:p>
            <w:pPr>
              <w:spacing w:after="0"/>
              <w:rPr>
                <w:sz w:val="15"/>
                <w:szCs w:val="15"/>
                <w:color w:val="auto"/>
              </w:rPr>
            </w:pPr>
          </w:p>
        </w:tc>
        <w:tc>
          <w:tcPr>
            <w:tcW w:w="840" w:type="dxa"/>
            <w:vAlign w:val="bottom"/>
          </w:tcPr>
          <w:p>
            <w:pPr>
              <w:jc w:val="center"/>
              <w:ind w:right="155"/>
              <w:spacing w:after="0" w:line="180" w:lineRule="exact"/>
              <w:rPr>
                <w:sz w:val="20"/>
                <w:szCs w:val="20"/>
                <w:color w:val="auto"/>
              </w:rPr>
            </w:pPr>
            <w:r>
              <w:rPr>
                <w:rFonts w:ascii="Arial" w:cs="Arial" w:eastAsia="Arial" w:hAnsi="Arial"/>
                <w:sz w:val="17"/>
                <w:szCs w:val="17"/>
                <w:b w:val="1"/>
                <w:bCs w:val="1"/>
                <w:color w:val="auto"/>
                <w:w w:val="93"/>
              </w:rPr>
              <w:t>Six</w:t>
            </w:r>
          </w:p>
        </w:tc>
      </w:tr>
      <w:tr>
        <w:trPr>
          <w:trHeight w:val="203"/>
        </w:trPr>
        <w:tc>
          <w:tcPr>
            <w:tcW w:w="3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480"/>
              <w:spacing w:after="0"/>
              <w:rPr>
                <w:sz w:val="20"/>
                <w:szCs w:val="20"/>
                <w:color w:val="auto"/>
              </w:rPr>
            </w:pPr>
            <w:r>
              <w:rPr>
                <w:rFonts w:ascii="Arial" w:cs="Arial" w:eastAsia="Arial" w:hAnsi="Arial"/>
                <w:sz w:val="17"/>
                <w:szCs w:val="17"/>
                <w:b w:val="1"/>
                <w:bCs w:val="1"/>
                <w:color w:val="auto"/>
                <w:w w:val="92"/>
              </w:rPr>
              <w:t>Months</w:t>
            </w:r>
          </w:p>
        </w:tc>
        <w:tc>
          <w:tcPr>
            <w:tcW w:w="240" w:type="dxa"/>
            <w:vAlign w:val="bottom"/>
          </w:tcPr>
          <w:p>
            <w:pPr>
              <w:spacing w:after="0"/>
              <w:rPr>
                <w:sz w:val="17"/>
                <w:szCs w:val="17"/>
                <w:color w:val="auto"/>
              </w:rPr>
            </w:pPr>
          </w:p>
        </w:tc>
        <w:tc>
          <w:tcPr>
            <w:tcW w:w="112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7"/>
                <w:szCs w:val="17"/>
                <w:b w:val="1"/>
                <w:bCs w:val="1"/>
                <w:color w:val="auto"/>
                <w:w w:val="92"/>
              </w:rPr>
              <w:t>Months</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2"/>
              </w:rPr>
              <w:t>Months</w:t>
            </w:r>
          </w:p>
        </w:tc>
        <w:tc>
          <w:tcPr>
            <w:tcW w:w="240" w:type="dxa"/>
            <w:vAlign w:val="bottom"/>
          </w:tcPr>
          <w:p>
            <w:pPr>
              <w:spacing w:after="0"/>
              <w:rPr>
                <w:sz w:val="17"/>
                <w:szCs w:val="17"/>
                <w:color w:val="auto"/>
              </w:rPr>
            </w:pPr>
          </w:p>
        </w:tc>
        <w:tc>
          <w:tcPr>
            <w:tcW w:w="840" w:type="dxa"/>
            <w:vAlign w:val="bottom"/>
          </w:tcPr>
          <w:p>
            <w:pPr>
              <w:jc w:val="center"/>
              <w:ind w:right="155"/>
              <w:spacing w:after="0"/>
              <w:rPr>
                <w:sz w:val="20"/>
                <w:szCs w:val="20"/>
                <w:color w:val="auto"/>
              </w:rPr>
            </w:pPr>
            <w:r>
              <w:rPr>
                <w:rFonts w:ascii="Arial" w:cs="Arial" w:eastAsia="Arial" w:hAnsi="Arial"/>
                <w:sz w:val="17"/>
                <w:szCs w:val="17"/>
                <w:b w:val="1"/>
                <w:bCs w:val="1"/>
                <w:color w:val="auto"/>
                <w:w w:val="92"/>
              </w:rPr>
              <w:t>Months</w:t>
            </w:r>
          </w:p>
        </w:tc>
      </w:tr>
      <w:tr>
        <w:trPr>
          <w:trHeight w:val="203"/>
        </w:trPr>
        <w:tc>
          <w:tcPr>
            <w:tcW w:w="3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w w:val="88"/>
              </w:rPr>
              <w:t>Ended</w:t>
            </w:r>
          </w:p>
        </w:tc>
        <w:tc>
          <w:tcPr>
            <w:tcW w:w="240" w:type="dxa"/>
            <w:vAlign w:val="bottom"/>
          </w:tcPr>
          <w:p>
            <w:pPr>
              <w:spacing w:after="0"/>
              <w:rPr>
                <w:sz w:val="17"/>
                <w:szCs w:val="17"/>
                <w:color w:val="auto"/>
              </w:rPr>
            </w:pPr>
          </w:p>
        </w:tc>
        <w:tc>
          <w:tcPr>
            <w:tcW w:w="112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7"/>
                <w:szCs w:val="17"/>
                <w:b w:val="1"/>
                <w:bCs w:val="1"/>
                <w:color w:val="auto"/>
                <w:w w:val="92"/>
              </w:rPr>
              <w:t>Ended</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2"/>
              </w:rPr>
              <w:t>Ended</w:t>
            </w:r>
          </w:p>
        </w:tc>
        <w:tc>
          <w:tcPr>
            <w:tcW w:w="240" w:type="dxa"/>
            <w:vAlign w:val="bottom"/>
          </w:tcPr>
          <w:p>
            <w:pPr>
              <w:spacing w:after="0"/>
              <w:rPr>
                <w:sz w:val="17"/>
                <w:szCs w:val="17"/>
                <w:color w:val="auto"/>
              </w:rPr>
            </w:pPr>
          </w:p>
        </w:tc>
        <w:tc>
          <w:tcPr>
            <w:tcW w:w="840" w:type="dxa"/>
            <w:vAlign w:val="bottom"/>
          </w:tcPr>
          <w:p>
            <w:pPr>
              <w:jc w:val="center"/>
              <w:ind w:right="155"/>
              <w:spacing w:after="0"/>
              <w:rPr>
                <w:sz w:val="20"/>
                <w:szCs w:val="20"/>
                <w:color w:val="auto"/>
              </w:rPr>
            </w:pPr>
            <w:r>
              <w:rPr>
                <w:rFonts w:ascii="Arial" w:cs="Arial" w:eastAsia="Arial" w:hAnsi="Arial"/>
                <w:sz w:val="17"/>
                <w:szCs w:val="17"/>
                <w:b w:val="1"/>
                <w:bCs w:val="1"/>
                <w:color w:val="auto"/>
                <w:w w:val="92"/>
              </w:rPr>
              <w:t>Ended</w:t>
            </w:r>
          </w:p>
        </w:tc>
      </w:tr>
      <w:tr>
        <w:trPr>
          <w:trHeight w:val="203"/>
        </w:trPr>
        <w:tc>
          <w:tcPr>
            <w:tcW w:w="3880" w:type="dxa"/>
            <w:vAlign w:val="bottom"/>
            <w:gridSpan w:val="2"/>
          </w:tcPr>
          <w:p>
            <w:pPr>
              <w:spacing w:after="0"/>
              <w:rPr>
                <w:sz w:val="20"/>
                <w:szCs w:val="20"/>
                <w:color w:val="auto"/>
              </w:rPr>
            </w:pPr>
            <w:r>
              <w:rPr>
                <w:rFonts w:ascii="Arial" w:cs="Arial" w:eastAsia="Arial" w:hAnsi="Arial"/>
                <w:sz w:val="17"/>
                <w:szCs w:val="17"/>
                <w:b w:val="1"/>
                <w:bCs w:val="1"/>
                <w:color w:val="auto"/>
                <w:w w:val="99"/>
              </w:rPr>
              <w:t>Hypothetical 10% Change in Value of U.S. Dollar</w:t>
            </w:r>
          </w:p>
        </w:tc>
        <w:tc>
          <w:tcPr>
            <w:tcW w:w="1280" w:type="dxa"/>
            <w:vAlign w:val="bottom"/>
            <w:gridSpan w:val="3"/>
          </w:tcPr>
          <w:p>
            <w:pPr>
              <w:jc w:val="center"/>
              <w:ind w:right="280"/>
              <w:spacing w:after="0"/>
              <w:rPr>
                <w:sz w:val="20"/>
                <w:szCs w:val="20"/>
                <w:color w:val="auto"/>
              </w:rPr>
            </w:pPr>
            <w:r>
              <w:rPr>
                <w:rFonts w:ascii="Arial" w:cs="Arial" w:eastAsia="Arial" w:hAnsi="Arial"/>
                <w:sz w:val="17"/>
                <w:szCs w:val="17"/>
                <w:b w:val="1"/>
                <w:bCs w:val="1"/>
                <w:color w:val="auto"/>
                <w:w w:val="88"/>
              </w:rPr>
              <w:t>June 30,</w:t>
            </w:r>
          </w:p>
        </w:tc>
        <w:tc>
          <w:tcPr>
            <w:tcW w:w="1360" w:type="dxa"/>
            <w:vAlign w:val="bottom"/>
            <w:tcBorders>
              <w:right w:val="single" w:sz="8" w:color="auto"/>
            </w:tcBorders>
            <w:gridSpan w:val="3"/>
          </w:tcPr>
          <w:p>
            <w:pPr>
              <w:jc w:val="center"/>
              <w:ind w:right="360"/>
              <w:spacing w:after="0"/>
              <w:rPr>
                <w:sz w:val="20"/>
                <w:szCs w:val="20"/>
                <w:color w:val="auto"/>
              </w:rPr>
            </w:pPr>
            <w:r>
              <w:rPr>
                <w:rFonts w:ascii="Arial" w:cs="Arial" w:eastAsia="Arial" w:hAnsi="Arial"/>
                <w:sz w:val="17"/>
                <w:szCs w:val="17"/>
                <w:b w:val="1"/>
                <w:bCs w:val="1"/>
                <w:color w:val="auto"/>
                <w:w w:val="88"/>
              </w:rPr>
              <w:t>June 30,</w:t>
            </w:r>
          </w:p>
        </w:tc>
        <w:tc>
          <w:tcPr>
            <w:tcW w:w="180" w:type="dxa"/>
            <w:vAlign w:val="bottom"/>
          </w:tcPr>
          <w:p>
            <w:pPr>
              <w:spacing w:after="0"/>
              <w:rPr>
                <w:sz w:val="17"/>
                <w:szCs w:val="17"/>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88"/>
              </w:rPr>
              <w:t>June 30,</w:t>
            </w:r>
          </w:p>
        </w:tc>
        <w:tc>
          <w:tcPr>
            <w:tcW w:w="1080" w:type="dxa"/>
            <w:vAlign w:val="bottom"/>
            <w:gridSpan w:val="2"/>
          </w:tcPr>
          <w:p>
            <w:pPr>
              <w:jc w:val="center"/>
              <w:spacing w:after="0"/>
              <w:rPr>
                <w:sz w:val="20"/>
                <w:szCs w:val="20"/>
                <w:color w:val="auto"/>
              </w:rPr>
            </w:pPr>
            <w:r>
              <w:rPr>
                <w:rFonts w:ascii="Arial" w:cs="Arial" w:eastAsia="Arial" w:hAnsi="Arial"/>
                <w:sz w:val="17"/>
                <w:szCs w:val="17"/>
                <w:b w:val="1"/>
                <w:bCs w:val="1"/>
                <w:color w:val="auto"/>
                <w:w w:val="88"/>
              </w:rPr>
              <w:t>June 30,</w:t>
            </w:r>
          </w:p>
        </w:tc>
      </w:tr>
      <w:tr>
        <w:trPr>
          <w:trHeight w:val="219"/>
        </w:trPr>
        <w:tc>
          <w:tcPr>
            <w:tcW w:w="3880" w:type="dxa"/>
            <w:vAlign w:val="bottom"/>
            <w:gridSpan w:val="2"/>
          </w:tcPr>
          <w:p>
            <w:pPr>
              <w:spacing w:after="0"/>
              <w:rPr>
                <w:sz w:val="20"/>
                <w:szCs w:val="20"/>
                <w:color w:val="auto"/>
              </w:rPr>
            </w:pPr>
            <w:r>
              <w:rPr>
                <w:rFonts w:ascii="Arial" w:cs="Arial" w:eastAsia="Arial" w:hAnsi="Arial"/>
                <w:sz w:val="17"/>
                <w:szCs w:val="17"/>
                <w:b w:val="1"/>
                <w:bCs w:val="1"/>
                <w:color w:val="auto"/>
              </w:rPr>
              <w:t>(amounts in thousands)</w:t>
            </w:r>
          </w:p>
        </w:tc>
        <w:tc>
          <w:tcPr>
            <w:tcW w:w="240" w:type="dxa"/>
            <w:vAlign w:val="bottom"/>
          </w:tcPr>
          <w:p>
            <w:pPr>
              <w:spacing w:after="0"/>
              <w:rPr>
                <w:sz w:val="19"/>
                <w:szCs w:val="19"/>
                <w:color w:val="auto"/>
              </w:rPr>
            </w:pPr>
          </w:p>
        </w:tc>
        <w:tc>
          <w:tcPr>
            <w:tcW w:w="820" w:type="dxa"/>
            <w:vAlign w:val="bottom"/>
          </w:tcPr>
          <w:p>
            <w:pPr>
              <w:jc w:val="center"/>
              <w:ind w:right="155"/>
              <w:spacing w:after="0"/>
              <w:rPr>
                <w:sz w:val="20"/>
                <w:szCs w:val="20"/>
                <w:color w:val="auto"/>
              </w:rPr>
            </w:pPr>
            <w:r>
              <w:rPr>
                <w:rFonts w:ascii="Arial" w:cs="Arial" w:eastAsia="Arial" w:hAnsi="Arial"/>
                <w:sz w:val="17"/>
                <w:szCs w:val="17"/>
                <w:b w:val="1"/>
                <w:bCs w:val="1"/>
                <w:color w:val="auto"/>
                <w:w w:val="89"/>
              </w:rPr>
              <w:t>2019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center"/>
              <w:ind w:right="195"/>
              <w:spacing w:after="0"/>
              <w:rPr>
                <w:sz w:val="20"/>
                <w:szCs w:val="20"/>
                <w:color w:val="auto"/>
              </w:rPr>
            </w:pPr>
            <w:r>
              <w:rPr>
                <w:rFonts w:ascii="Arial" w:cs="Arial" w:eastAsia="Arial" w:hAnsi="Arial"/>
                <w:sz w:val="17"/>
                <w:szCs w:val="17"/>
                <w:b w:val="1"/>
                <w:bCs w:val="1"/>
                <w:color w:val="auto"/>
                <w:w w:val="89"/>
              </w:rPr>
              <w:t>2019</w:t>
            </w:r>
          </w:p>
        </w:tc>
        <w:tc>
          <w:tcPr>
            <w:tcW w:w="3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center"/>
              <w:ind w:right="175"/>
              <w:spacing w:after="0"/>
              <w:rPr>
                <w:sz w:val="20"/>
                <w:szCs w:val="20"/>
                <w:color w:val="auto"/>
              </w:rPr>
            </w:pPr>
            <w:r>
              <w:rPr>
                <w:rFonts w:ascii="Arial" w:cs="Arial" w:eastAsia="Arial" w:hAnsi="Arial"/>
                <w:sz w:val="17"/>
                <w:szCs w:val="17"/>
                <w:b w:val="1"/>
                <w:bCs w:val="1"/>
                <w:color w:val="auto"/>
                <w:w w:val="89"/>
              </w:rPr>
              <w:t>2018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center"/>
              <w:ind w:right="175"/>
              <w:spacing w:after="0"/>
              <w:rPr>
                <w:sz w:val="20"/>
                <w:szCs w:val="20"/>
                <w:color w:val="auto"/>
              </w:rPr>
            </w:pPr>
            <w:r>
              <w:rPr>
                <w:rFonts w:ascii="Arial" w:cs="Arial" w:eastAsia="Arial" w:hAnsi="Arial"/>
                <w:sz w:val="17"/>
                <w:szCs w:val="17"/>
                <w:b w:val="1"/>
                <w:bCs w:val="1"/>
                <w:color w:val="auto"/>
                <w:w w:val="89"/>
              </w:rPr>
              <w:t>2018</w:t>
            </w:r>
          </w:p>
        </w:tc>
      </w:tr>
      <w:tr>
        <w:trPr>
          <w:trHeight w:val="196"/>
        </w:trPr>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Effect of 10% change on gross revenue</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$ 5,800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$ 11,500</w:t>
            </w:r>
          </w:p>
        </w:tc>
        <w:tc>
          <w:tcPr>
            <w:tcW w:w="300" w:type="dxa"/>
            <w:vAlign w:val="bottom"/>
            <w:tcBorders>
              <w:top w:val="single" w:sz="8" w:color="CCEEFF"/>
              <w:right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$ 5,000</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$ 9,900</w:t>
            </w:r>
          </w:p>
        </w:tc>
      </w:tr>
      <w:tr>
        <w:trPr>
          <w:trHeight w:val="203"/>
        </w:trPr>
        <w:tc>
          <w:tcPr>
            <w:tcW w:w="3880" w:type="dxa"/>
            <w:vAlign w:val="bottom"/>
            <w:gridSpan w:val="2"/>
          </w:tcPr>
          <w:p>
            <w:pPr>
              <w:spacing w:after="0"/>
              <w:rPr>
                <w:sz w:val="20"/>
                <w:szCs w:val="20"/>
                <w:color w:val="auto"/>
              </w:rPr>
            </w:pPr>
            <w:r>
              <w:rPr>
                <w:rFonts w:ascii="Arial" w:cs="Arial" w:eastAsia="Arial" w:hAnsi="Arial"/>
                <w:sz w:val="17"/>
                <w:szCs w:val="17"/>
                <w:color w:val="auto"/>
              </w:rPr>
              <w:t>Effect of 10% change on operating income</w:t>
            </w:r>
          </w:p>
        </w:tc>
        <w:tc>
          <w:tcPr>
            <w:tcW w:w="240" w:type="dxa"/>
            <w:vAlign w:val="bottom"/>
          </w:tcPr>
          <w:p>
            <w:pPr>
              <w:jc w:val="right"/>
              <w:spacing w:after="0"/>
              <w:rPr>
                <w:sz w:val="20"/>
                <w:szCs w:val="20"/>
                <w:color w:val="auto"/>
              </w:rPr>
            </w:pPr>
            <w:r>
              <w:rPr>
                <w:rFonts w:ascii="Arial" w:cs="Arial" w:eastAsia="Arial" w:hAnsi="Arial"/>
                <w:sz w:val="17"/>
                <w:szCs w:val="17"/>
                <w:color w:val="auto"/>
                <w:w w:val="98"/>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$ 3,600</w:t>
            </w:r>
          </w:p>
        </w:tc>
        <w:tc>
          <w:tcPr>
            <w:tcW w:w="2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w w:val="98"/>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$ 7,300</w:t>
            </w:r>
          </w:p>
        </w:tc>
        <w:tc>
          <w:tcPr>
            <w:tcW w:w="3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w w:val="98"/>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$ 3,200</w:t>
            </w:r>
          </w:p>
        </w:tc>
        <w:tc>
          <w:tcPr>
            <w:tcW w:w="2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w w:val="98"/>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$ 6,300</w:t>
            </w:r>
          </w:p>
        </w:tc>
      </w:tr>
      <w:tr>
        <w:trPr>
          <w:trHeight w:val="812"/>
        </w:trPr>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235"/>
              <w:spacing w:after="0"/>
              <w:rPr>
                <w:sz w:val="20"/>
                <w:szCs w:val="20"/>
                <w:color w:val="auto"/>
              </w:rPr>
            </w:pPr>
            <w:r>
              <w:rPr>
                <w:rFonts w:ascii="Arial" w:cs="Arial" w:eastAsia="Arial" w:hAnsi="Arial"/>
                <w:sz w:val="17"/>
                <w:szCs w:val="17"/>
                <w:color w:val="auto"/>
              </w:rPr>
              <w:t>71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27"/>
        </w:trPr>
        <w:tc>
          <w:tcPr>
            <w:tcW w:w="3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7" w:right="1419" w:bottom="1440" w:gutter="0" w:footer="0" w:header="0"/>
        </w:sectPr>
      </w:pPr>
    </w:p>
    <w:bookmarkStart w:id="71" w:name="page72"/>
    <w:bookmarkEnd w:id="7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6" w:lineRule="exact"/>
        <w:rPr>
          <w:sz w:val="20"/>
          <w:szCs w:val="20"/>
          <w:color w:val="auto"/>
        </w:rPr>
      </w:pPr>
    </w:p>
    <w:p>
      <w:pPr>
        <w:ind w:firstLine="305"/>
        <w:spacing w:after="0" w:line="278" w:lineRule="auto"/>
        <w:rPr>
          <w:sz w:val="20"/>
          <w:szCs w:val="20"/>
          <w:color w:val="auto"/>
        </w:rPr>
      </w:pPr>
      <w:r>
        <w:rPr>
          <w:rFonts w:ascii="Arial" w:cs="Arial" w:eastAsia="Arial" w:hAnsi="Arial"/>
          <w:sz w:val="16"/>
          <w:szCs w:val="16"/>
          <w:color w:val="auto"/>
        </w:rPr>
        <w:t>We have derivative risk relating to our foreign currency forward contracts. We enter into foreign currency forward contracts to mitigate our U.S. dollar and British pound sterling versus Euro exposure, generally with a duration of less than twelve months. We do not use derivative instruments for trading or speculative purposes. As of June 30, 2019 and December 31, 2018, the notional amount of our foreign currency forward contracts was $84.5 million and $1.7 million, respectively.</w:t>
      </w:r>
    </w:p>
    <w:p>
      <w:pPr>
        <w:spacing w:after="0" w:line="164" w:lineRule="exact"/>
        <w:rPr>
          <w:sz w:val="20"/>
          <w:szCs w:val="20"/>
          <w:color w:val="auto"/>
        </w:rPr>
      </w:pPr>
    </w:p>
    <w:p>
      <w:pPr>
        <w:ind w:right="80" w:firstLine="305"/>
        <w:spacing w:after="0" w:line="254" w:lineRule="auto"/>
        <w:rPr>
          <w:sz w:val="20"/>
          <w:szCs w:val="20"/>
          <w:color w:val="auto"/>
        </w:rPr>
      </w:pPr>
      <w:r>
        <w:rPr>
          <w:rFonts w:ascii="Arial" w:cs="Arial" w:eastAsia="Arial" w:hAnsi="Arial"/>
          <w:sz w:val="17"/>
          <w:szCs w:val="17"/>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Risk</w:t>
      </w:r>
    </w:p>
    <w:p>
      <w:pPr>
        <w:spacing w:after="0" w:line="211" w:lineRule="exact"/>
        <w:rPr>
          <w:sz w:val="20"/>
          <w:szCs w:val="20"/>
          <w:color w:val="auto"/>
        </w:rPr>
      </w:pPr>
    </w:p>
    <w:p>
      <w:pPr>
        <w:jc w:val="both"/>
        <w:ind w:right="100" w:firstLine="305"/>
        <w:spacing w:after="0" w:line="261" w:lineRule="auto"/>
        <w:rPr>
          <w:sz w:val="20"/>
          <w:szCs w:val="20"/>
          <w:color w:val="auto"/>
        </w:rPr>
      </w:pPr>
      <w:r>
        <w:rPr>
          <w:rFonts w:ascii="Arial" w:cs="Arial" w:eastAsia="Arial" w:hAnsi="Arial"/>
          <w:sz w:val="17"/>
          <w:szCs w:val="17"/>
          <w:color w:val="auto"/>
        </w:rPr>
        <w:t>We have credit risk relating to our receivables, which are primarily receivables from financial institutions, including investment managers and brokers and dealers. At June 30, 2019 and December 31, 2018, we established an allowance for doubtful accounts of $1.3 million and $1.2 million, respectively, with regard to these receivables.</w:t>
      </w:r>
    </w:p>
    <w:p>
      <w:pPr>
        <w:spacing w:after="0" w:line="176" w:lineRule="exact"/>
        <w:rPr>
          <w:sz w:val="20"/>
          <w:szCs w:val="20"/>
          <w:color w:val="auto"/>
        </w:rPr>
      </w:pPr>
    </w:p>
    <w:p>
      <w:pPr>
        <w:ind w:right="120" w:firstLine="305"/>
        <w:spacing w:after="0" w:line="255" w:lineRule="auto"/>
        <w:rPr>
          <w:sz w:val="20"/>
          <w:szCs w:val="20"/>
          <w:color w:val="auto"/>
        </w:rPr>
      </w:pPr>
      <w:r>
        <w:rPr>
          <w:rFonts w:ascii="Arial" w:cs="Arial" w:eastAsia="Arial" w:hAnsi="Arial"/>
          <w:sz w:val="17"/>
          <w:szCs w:val="17"/>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82" w:lineRule="exact"/>
        <w:rPr>
          <w:sz w:val="20"/>
          <w:szCs w:val="20"/>
          <w:color w:val="auto"/>
        </w:rPr>
      </w:pPr>
    </w:p>
    <w:p>
      <w:pPr>
        <w:ind w:right="80" w:firstLine="305"/>
        <w:spacing w:after="0" w:line="257" w:lineRule="auto"/>
        <w:rPr>
          <w:sz w:val="20"/>
          <w:szCs w:val="20"/>
          <w:color w:val="auto"/>
        </w:rPr>
      </w:pPr>
      <w:r>
        <w:rPr>
          <w:rFonts w:ascii="Arial" w:cs="Arial" w:eastAsia="Arial" w:hAnsi="Arial"/>
          <w:sz w:val="17"/>
          <w:szCs w:val="17"/>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11" w:lineRule="exact"/>
        <w:rPr>
          <w:sz w:val="20"/>
          <w:szCs w:val="20"/>
          <w:color w:val="auto"/>
        </w:rPr>
      </w:pPr>
    </w:p>
    <w:p>
      <w:pPr>
        <w:ind w:firstLine="305"/>
        <w:spacing w:after="0" w:line="204" w:lineRule="exact"/>
        <w:rPr>
          <w:sz w:val="20"/>
          <w:szCs w:val="20"/>
          <w:color w:val="auto"/>
        </w:rPr>
      </w:pPr>
      <w:r>
        <w:rPr>
          <w:rFonts w:ascii="Arial" w:cs="Arial" w:eastAsia="Arial" w:hAnsi="Arial"/>
          <w:sz w:val="16"/>
          <w:szCs w:val="16"/>
          <w:color w:val="auto"/>
        </w:rPr>
        <w:t>Our management has evaluated, under the supervision and with the participation of our Chief Executive Officer and Chief Financial Officer, the effectiveness of our disclosure controls and procedures, as defined in Rule 13(a)</w:t>
      </w:r>
      <w:r>
        <w:rPr>
          <w:rFonts w:ascii="MS PGothic" w:cs="MS PGothic" w:eastAsia="MS PGothic" w:hAnsi="MS PGothic"/>
          <w:sz w:val="16"/>
          <w:szCs w:val="16"/>
          <w:color w:val="auto"/>
        </w:rPr>
        <w:t>‑</w:t>
      </w:r>
      <w:r>
        <w:rPr>
          <w:rFonts w:ascii="Arial" w:cs="Arial" w:eastAsia="Arial" w:hAnsi="Arial"/>
          <w:sz w:val="16"/>
          <w:szCs w:val="16"/>
          <w:color w:val="auto"/>
        </w:rPr>
        <w:t>15(e) of the Exchange Act,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Based on that evaluation, our Chief Executive Officer and Chief Financial Officer have concluded that our disclosure controls and procedures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are effective at a reasonable assurance level in ensuring that information required to be disclosed in our Exchange Act reports is (1) recorded, processed, summarized and reported in a timely manner and (2) accumulated and communicated to our management, including our Chief Executive Officer and Chief Financial Officer, as appropriate to allow timely decisions regarding required disclosure. Our management, including our Chief Executive Officer and Chief Financial Officer,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11" w:lineRule="exact"/>
        <w:rPr>
          <w:sz w:val="20"/>
          <w:szCs w:val="20"/>
          <w:color w:val="auto"/>
        </w:rPr>
      </w:pPr>
    </w:p>
    <w:p>
      <w:pPr>
        <w:ind w:right="680" w:firstLine="305"/>
        <w:spacing w:after="0" w:line="305" w:lineRule="auto"/>
        <w:rPr>
          <w:sz w:val="20"/>
          <w:szCs w:val="20"/>
          <w:color w:val="auto"/>
        </w:rPr>
      </w:pPr>
      <w:r>
        <w:rPr>
          <w:rFonts w:ascii="Arial" w:cs="Arial" w:eastAsia="Arial" w:hAnsi="Arial"/>
          <w:sz w:val="16"/>
          <w:szCs w:val="16"/>
          <w:color w:val="auto"/>
        </w:rPr>
        <w:t>There were no changes to our internal control over financial reporting during the quarter ended June 30, 2019 that have materially affected, or that are reasonably likely to materially affect, our internal control over financial reporting.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72" w:name="page73"/>
    <w:bookmarkEnd w:id="7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15" w:lineRule="exact"/>
        <w:rPr>
          <w:sz w:val="20"/>
          <w:szCs w:val="20"/>
          <w:color w:val="auto"/>
        </w:rPr>
      </w:pPr>
    </w:p>
    <w:p>
      <w:pPr>
        <w:ind w:right="140" w:firstLine="305"/>
        <w:spacing w:after="0" w:line="305" w:lineRule="auto"/>
        <w:rPr>
          <w:sz w:val="20"/>
          <w:szCs w:val="20"/>
          <w:color w:val="auto"/>
        </w:rPr>
      </w:pPr>
      <w:r>
        <w:rPr>
          <w:rFonts w:ascii="Arial" w:cs="Arial" w:eastAsia="Arial" w:hAnsi="Arial"/>
          <w:sz w:val="16"/>
          <w:szCs w:val="16"/>
          <w:color w:val="auto"/>
        </w:rPr>
        <w:t>Except as set forth in our Quarterly Report on Form 10-Q filed on May 20, 2019, there have been no material changes from the legal proceedings previously disclosed under the heading “Business—Legal Proceedings” in the IPO Prospectus.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5" w:lineRule="exact"/>
        <w:rPr>
          <w:sz w:val="20"/>
          <w:szCs w:val="20"/>
          <w:color w:val="auto"/>
        </w:rPr>
      </w:pPr>
    </w:p>
    <w:p>
      <w:pPr>
        <w:ind w:right="80" w:firstLine="305"/>
        <w:spacing w:after="0" w:line="261" w:lineRule="auto"/>
        <w:rPr>
          <w:sz w:val="20"/>
          <w:szCs w:val="20"/>
          <w:color w:val="auto"/>
        </w:rPr>
      </w:pPr>
      <w:r>
        <w:rPr>
          <w:rFonts w:ascii="Arial" w:cs="Arial" w:eastAsia="Arial" w:hAnsi="Arial"/>
          <w:sz w:val="17"/>
          <w:szCs w:val="17"/>
          <w:color w:val="auto"/>
        </w:rPr>
        <w:t>There have been no material changes to our principal risks that we believe are material to our business, results of operations and financial condition, from the risk factors previously disclosed in the IPO Prospectus, which is accessible on the SEC’s website at www.sec.gov.</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Unregistered Sales of Equity Securities</w:t>
      </w:r>
    </w:p>
    <w:p>
      <w:pPr>
        <w:spacing w:after="0" w:line="211" w:lineRule="exact"/>
        <w:rPr>
          <w:sz w:val="20"/>
          <w:szCs w:val="20"/>
          <w:color w:val="auto"/>
        </w:rPr>
      </w:pPr>
    </w:p>
    <w:p>
      <w:pPr>
        <w:ind w:firstLine="305"/>
        <w:spacing w:after="0" w:line="269" w:lineRule="auto"/>
        <w:rPr>
          <w:sz w:val="20"/>
          <w:szCs w:val="20"/>
          <w:color w:val="auto"/>
        </w:rPr>
      </w:pPr>
      <w:r>
        <w:rPr>
          <w:rFonts w:ascii="Arial" w:cs="Arial" w:eastAsia="Arial" w:hAnsi="Arial"/>
          <w:sz w:val="16"/>
          <w:szCs w:val="16"/>
          <w:color w:val="auto"/>
        </w:rPr>
        <w:t>In connection with the Reorganization Transactions, Tradeweb Markets Inc., among other things, issued an aggregate of 96,933,192 shares of Class B common stock to Refinitiv Parent Limited. In addition, in connection with the Reorganization Transactions, Tradeweb Markets Inc. issued 20,000,000 shares of Class C common stock and 105,289,005 shares of Class D common stock to the Continuing LLC Owners. These equityholders also received LLC Interests and an immaterial amount of cash in lieu of the issuance of any fractional interests. Holders of Class B common stock may from time to time exchange all or a portion of their shares of Class B common stock for newly issued shares of Class A common stock on a one-for-one basis. In addition, the LLC Interests held by the Continuing LLC Owners are redeemable for newly issued shares of Class A common stock or Class B common stock on a one-for-one basis. For further information, see “Description of Capital Stock” in the IPO Prospectus. The issuances of the Class B common stock, Class C common stock and Class D common stock described in this paragraph were made in reliance on Section 4(a)(2) of the Securities Act. The Company relied on this exemption from registration based in part on the nature of the transactions and the various representations made by the parties thereto.</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Use of Proceeds</w:t>
      </w:r>
    </w:p>
    <w:p>
      <w:pPr>
        <w:spacing w:after="0" w:line="211" w:lineRule="exact"/>
        <w:rPr>
          <w:sz w:val="20"/>
          <w:szCs w:val="20"/>
          <w:color w:val="auto"/>
        </w:rPr>
      </w:pPr>
    </w:p>
    <w:p>
      <w:pPr>
        <w:ind w:firstLine="305"/>
        <w:spacing w:after="0" w:line="204" w:lineRule="exact"/>
        <w:rPr>
          <w:sz w:val="20"/>
          <w:szCs w:val="20"/>
          <w:color w:val="auto"/>
        </w:rPr>
      </w:pPr>
      <w:r>
        <w:rPr>
          <w:rFonts w:ascii="Arial" w:cs="Arial" w:eastAsia="Arial" w:hAnsi="Arial"/>
          <w:sz w:val="16"/>
          <w:szCs w:val="16"/>
          <w:color w:val="auto"/>
        </w:rPr>
        <w:t>On April 8, 2019, we completed the IPO by issuing 46,000,000 shares of Class A common stock, which included 6,000,000 shares of Class A common stock issued in connection with the underwriters’ exercise in full of their option to purchase additional shares of Class A common stock. The shares of Class A common stock sold in the offering were registered under the Securities Act pursuant to the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1 (File No. 333</w:t>
      </w:r>
      <w:r>
        <w:rPr>
          <w:rFonts w:ascii="MS PGothic" w:cs="MS PGothic" w:eastAsia="MS PGothic" w:hAnsi="MS PGothic"/>
          <w:sz w:val="16"/>
          <w:szCs w:val="16"/>
          <w:color w:val="auto"/>
        </w:rPr>
        <w:t>‑</w:t>
      </w:r>
      <w:r>
        <w:rPr>
          <w:rFonts w:ascii="Arial" w:cs="Arial" w:eastAsia="Arial" w:hAnsi="Arial"/>
          <w:sz w:val="16"/>
          <w:szCs w:val="16"/>
          <w:color w:val="auto"/>
        </w:rPr>
        <w:t>230115), which was declared effective by the SEC on April 3, 2019, and the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1 (File No. 333</w:t>
      </w:r>
      <w:r>
        <w:rPr>
          <w:rFonts w:ascii="MS PGothic" w:cs="MS PGothic" w:eastAsia="MS PGothic" w:hAnsi="MS PGothic"/>
          <w:sz w:val="16"/>
          <w:szCs w:val="16"/>
          <w:color w:val="auto"/>
        </w:rPr>
        <w:t>‑</w:t>
      </w:r>
      <w:r>
        <w:rPr>
          <w:rFonts w:ascii="Arial" w:cs="Arial" w:eastAsia="Arial" w:hAnsi="Arial"/>
          <w:sz w:val="16"/>
          <w:szCs w:val="16"/>
          <w:color w:val="auto"/>
        </w:rPr>
        <w:t>230715), which became effective upon filing with the SEC on April 3, 2019. The shares of Class A common stock are listed on the Nasdaq Global Select Market under the symbol “TW.” The shares of Class A Common Stock were sold at an initial public offering price of $27.00 per share. The offering closed on April 8, 2019, resulting in net proceeds of $1,161.3 million after deducting underwriting discounts and commissions of $80.7 million. We also incurred offering expenses of approximately $15.9 million in connection with the IPO. J.P. Morgan Securities LLC, Citigroup Global Markets Inc., Goldman Sachs &amp; Co. LLC and Morgan Stanley &amp; Co. LLC acted as joint lead book-running managers in the IPO. Merrill Lynch, Pierce, Fenner &amp; Smith Incorporated, Barclays Capital Inc., Credit Suisse Securities (USA) LLC, Deutsche Bank Securities Inc., UBS Securities LLC and Wells Fargo Securities, LLC acted as joint book-running managers for the IPO. Jefferies LLC and Sandler O’Neill &amp; Partners, L.P. acted as co-managers for the IPO.</w:t>
      </w:r>
    </w:p>
    <w:p>
      <w:pPr>
        <w:spacing w:after="0" w:line="196" w:lineRule="exact"/>
        <w:rPr>
          <w:sz w:val="20"/>
          <w:szCs w:val="20"/>
          <w:color w:val="auto"/>
        </w:rPr>
      </w:pPr>
    </w:p>
    <w:p>
      <w:pPr>
        <w:ind w:right="220" w:firstLine="305"/>
        <w:spacing w:after="0" w:line="257" w:lineRule="auto"/>
        <w:rPr>
          <w:sz w:val="20"/>
          <w:szCs w:val="20"/>
          <w:color w:val="auto"/>
        </w:rPr>
      </w:pPr>
      <w:r>
        <w:rPr>
          <w:rFonts w:ascii="Arial" w:cs="Arial" w:eastAsia="Arial" w:hAnsi="Arial"/>
          <w:sz w:val="17"/>
          <w:szCs w:val="17"/>
          <w:color w:val="auto"/>
        </w:rPr>
        <w:t>We used the net proceeds from the IPO to purchase 46,000,000 issued and outstanding LLC Interests from certain of the Bank Stockholders (and cancelled 9,993,731 shares of Class C common stock and 36,006,269 shares of Class D common stock), at a purchase price per interest equal to the IPO price per share of Class A common stock, less the underwriting discounts and commissions payable thereon.</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There has been no material change in the use of proceeds as described in the IPO Prospectus.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5753735" cy="241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73" w:name="page74"/>
    <w:bookmarkEnd w:id="7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342900</wp:posOffset>
            </wp:positionV>
            <wp:extent cx="5753735" cy="241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74" w:name="page75"/>
    <w:bookmarkEnd w:id="7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15" w:lineRule="exact"/>
        <w:rPr>
          <w:sz w:val="20"/>
          <w:szCs w:val="20"/>
          <w:color w:val="auto"/>
        </w:rPr>
      </w:pPr>
    </w:p>
    <w:p>
      <w:pPr>
        <w:ind w:left="600" w:hanging="297"/>
        <w:spacing w:after="0"/>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Exhibits</w:t>
      </w:r>
    </w:p>
    <w:p>
      <w:pPr>
        <w:spacing w:after="0" w:line="211" w:lineRule="exact"/>
        <w:rPr>
          <w:sz w:val="20"/>
          <w:szCs w:val="20"/>
          <w:color w:val="auto"/>
        </w:rPr>
      </w:pPr>
    </w:p>
    <w:p>
      <w:pPr>
        <w:ind w:left="300"/>
        <w:spacing w:after="0" w:line="196" w:lineRule="exact"/>
        <w:rPr>
          <w:sz w:val="20"/>
          <w:szCs w:val="20"/>
          <w:color w:val="auto"/>
        </w:rPr>
      </w:pPr>
      <w:r>
        <w:rPr>
          <w:rFonts w:ascii="Arial" w:cs="Arial" w:eastAsia="Arial" w:hAnsi="Arial"/>
          <w:sz w:val="17"/>
          <w:szCs w:val="17"/>
          <w:color w:val="auto"/>
        </w:rPr>
        <w:t>The following exhibits are filed as a part of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1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0" w:type="dxa"/>
            <w:vAlign w:val="bottom"/>
            <w:gridSpan w:val="25"/>
          </w:tcPr>
          <w:p>
            <w:pPr>
              <w:ind w:left="120"/>
              <w:spacing w:after="0"/>
              <w:rPr>
                <w:sz w:val="20"/>
                <w:szCs w:val="20"/>
                <w:color w:val="auto"/>
              </w:rPr>
            </w:pPr>
            <w:r>
              <w:rPr>
                <w:rFonts w:ascii="Arial" w:cs="Arial" w:eastAsia="Arial" w:hAnsi="Arial"/>
                <w:sz w:val="14"/>
                <w:szCs w:val="14"/>
                <w:b w:val="1"/>
                <w:bCs w:val="1"/>
                <w:color w:val="auto"/>
              </w:rPr>
              <w:t>Description of Exhibit</w:t>
            </w:r>
          </w:p>
        </w:tc>
      </w:tr>
      <w:tr>
        <w:trPr>
          <w:trHeight w:val="158"/>
        </w:trPr>
        <w:tc>
          <w:tcPr>
            <w:tcW w:w="1140" w:type="dxa"/>
            <w:vAlign w:val="bottom"/>
            <w:tcBorders>
              <w:top w:val="single" w:sz="8" w:color="auto"/>
            </w:tcBorders>
          </w:tcPr>
          <w:p>
            <w:pPr>
              <w:spacing w:after="0" w:line="158" w:lineRule="exact"/>
              <w:rPr>
                <w:sz w:val="20"/>
                <w:szCs w:val="20"/>
                <w:color w:val="auto"/>
              </w:rPr>
            </w:pPr>
            <w:r>
              <w:rPr>
                <w:rFonts w:ascii="Arial" w:cs="Arial" w:eastAsia="Arial" w:hAnsi="Arial"/>
                <w:sz w:val="17"/>
                <w:szCs w:val="17"/>
                <w:color w:val="auto"/>
              </w:rPr>
              <w:t>3.1</w:t>
            </w:r>
          </w:p>
        </w:tc>
        <w:tc>
          <w:tcPr>
            <w:tcW w:w="220" w:type="dxa"/>
            <w:vAlign w:val="bottom"/>
          </w:tcPr>
          <w:p>
            <w:pPr>
              <w:spacing w:after="0"/>
              <w:rPr>
                <w:sz w:val="13"/>
                <w:szCs w:val="13"/>
                <w:color w:val="auto"/>
              </w:rPr>
            </w:pPr>
          </w:p>
        </w:tc>
        <w:tc>
          <w:tcPr>
            <w:tcW w:w="7300" w:type="dxa"/>
            <w:vAlign w:val="bottom"/>
            <w:tcBorders>
              <w:top w:val="single" w:sz="8" w:color="auto"/>
              <w:bottom w:val="single" w:sz="8" w:color="0000EE"/>
            </w:tcBorders>
            <w:gridSpan w:val="14"/>
          </w:tcPr>
          <w:p>
            <w:pPr>
              <w:spacing w:after="0" w:line="158" w:lineRule="exact"/>
              <w:rPr>
                <w:rFonts w:ascii="Arial" w:cs="Arial" w:eastAsia="Arial" w:hAnsi="Arial"/>
                <w:sz w:val="17"/>
                <w:szCs w:val="17"/>
                <w:color w:val="0000EE"/>
                <w:w w:val="90"/>
              </w:rPr>
            </w:pPr>
            <w:hyperlink r:id="rId79">
              <w:r>
                <w:rPr>
                  <w:rFonts w:ascii="Arial" w:cs="Arial" w:eastAsia="Arial" w:hAnsi="Arial"/>
                  <w:sz w:val="17"/>
                  <w:szCs w:val="17"/>
                  <w:color w:val="0000EE"/>
                  <w:w w:val="90"/>
                </w:rPr>
                <w:t>Amended and Restated Certificate of Incorporation of Tradeweb Markets Inc. (incorporated by reference to</w:t>
              </w:r>
            </w:hyperlink>
          </w:p>
        </w:tc>
        <w:tc>
          <w:tcPr>
            <w:tcW w:w="400" w:type="dxa"/>
            <w:vAlign w:val="bottom"/>
            <w:tcBorders>
              <w:top w:val="single" w:sz="8" w:color="auto"/>
            </w:tcBorders>
            <w:gridSpan w:val="13"/>
          </w:tcPr>
          <w:p>
            <w:pPr>
              <w:spacing w:after="0"/>
              <w:rPr>
                <w:sz w:val="13"/>
                <w:szCs w:val="13"/>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gridSpan w:val="27"/>
          </w:tcPr>
          <w:p>
            <w:pPr>
              <w:spacing w:after="0" w:line="184" w:lineRule="exact"/>
              <w:rPr>
                <w:rFonts w:ascii="Arial" w:cs="Arial" w:eastAsia="Arial" w:hAnsi="Arial"/>
                <w:sz w:val="17"/>
                <w:szCs w:val="17"/>
                <w:color w:val="0000EE"/>
              </w:rPr>
            </w:pPr>
            <w:hyperlink r:id="rId79">
              <w:r>
                <w:rPr>
                  <w:rFonts w:ascii="Arial" w:cs="Arial" w:eastAsia="Arial" w:hAnsi="Arial"/>
                  <w:sz w:val="17"/>
                  <w:szCs w:val="17"/>
                  <w:color w:val="0000EE"/>
                </w:rPr>
                <w:t>Exhibit 3.1 to the Company’s Current Report on Form 8</w:t>
              </w:r>
              <w:r>
                <w:rPr>
                  <w:rFonts w:ascii="MS PGothic" w:cs="MS PGothic" w:eastAsia="MS PGothic" w:hAnsi="MS PGothic"/>
                  <w:sz w:val="17"/>
                  <w:szCs w:val="17"/>
                  <w:color w:val="0000EE"/>
                </w:rPr>
                <w:t>‑</w:t>
              </w:r>
              <w:r>
                <w:rPr>
                  <w:rFonts w:ascii="Arial" w:cs="Arial" w:eastAsia="Arial" w:hAnsi="Arial"/>
                  <w:sz w:val="17"/>
                  <w:szCs w:val="17"/>
                  <w:color w:val="0000EE"/>
                </w:rPr>
                <w:t>K filed on April 9, 2019 (File No. 001</w:t>
              </w:r>
              <w:r>
                <w:rPr>
                  <w:rFonts w:ascii="MS PGothic" w:cs="MS PGothic" w:eastAsia="MS PGothic" w:hAnsi="MS PGothic"/>
                  <w:sz w:val="17"/>
                  <w:szCs w:val="17"/>
                  <w:color w:val="0000EE"/>
                </w:rPr>
                <w:t>‑</w:t>
              </w:r>
              <w:r>
                <w:rPr>
                  <w:rFonts w:ascii="Arial" w:cs="Arial" w:eastAsia="Arial" w:hAnsi="Arial"/>
                  <w:sz w:val="17"/>
                  <w:szCs w:val="17"/>
                  <w:color w:val="0000EE"/>
                </w:rPr>
                <w:t>38860)).</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7"/>
                <w:szCs w:val="17"/>
                <w:color w:val="auto"/>
              </w:rPr>
              <w:t>3.2</w:t>
            </w:r>
          </w:p>
        </w:tc>
        <w:tc>
          <w:tcPr>
            <w:tcW w:w="220" w:type="dxa"/>
            <w:vAlign w:val="bottom"/>
          </w:tcPr>
          <w:p>
            <w:pPr>
              <w:spacing w:after="0"/>
              <w:rPr>
                <w:sz w:val="24"/>
                <w:szCs w:val="24"/>
                <w:color w:val="auto"/>
              </w:rPr>
            </w:pPr>
          </w:p>
        </w:tc>
        <w:tc>
          <w:tcPr>
            <w:tcW w:w="7160" w:type="dxa"/>
            <w:vAlign w:val="bottom"/>
            <w:tcBorders>
              <w:bottom w:val="single" w:sz="8" w:color="0000EE"/>
            </w:tcBorders>
            <w:gridSpan w:val="10"/>
          </w:tcPr>
          <w:p>
            <w:pPr>
              <w:spacing w:after="0"/>
              <w:rPr>
                <w:rFonts w:ascii="Arial" w:cs="Arial" w:eastAsia="Arial" w:hAnsi="Arial"/>
                <w:sz w:val="17"/>
                <w:szCs w:val="17"/>
                <w:color w:val="0000EE"/>
                <w:w w:val="90"/>
              </w:rPr>
            </w:pPr>
            <w:hyperlink r:id="rId80">
              <w:r>
                <w:rPr>
                  <w:rFonts w:ascii="Arial" w:cs="Arial" w:eastAsia="Arial" w:hAnsi="Arial"/>
                  <w:sz w:val="17"/>
                  <w:szCs w:val="17"/>
                  <w:color w:val="0000EE"/>
                  <w:w w:val="90"/>
                </w:rPr>
                <w:t>Amended and Restated Bylaws of Tradeweb Markets Inc. (incorporated by reference to Exhibit 3.2 to the</w:t>
              </w:r>
            </w:hyperlink>
          </w:p>
        </w:tc>
        <w:tc>
          <w:tcPr>
            <w:tcW w:w="540" w:type="dxa"/>
            <w:vAlign w:val="bottom"/>
            <w:gridSpan w:val="17"/>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gridSpan w:val="27"/>
          </w:tcPr>
          <w:p>
            <w:pPr>
              <w:spacing w:after="0" w:line="184" w:lineRule="exact"/>
              <w:rPr>
                <w:rFonts w:ascii="Arial" w:cs="Arial" w:eastAsia="Arial" w:hAnsi="Arial"/>
                <w:sz w:val="17"/>
                <w:szCs w:val="17"/>
                <w:color w:val="0000EE"/>
              </w:rPr>
            </w:pPr>
            <w:hyperlink r:id="rId80">
              <w:r>
                <w:rPr>
                  <w:rFonts w:ascii="Arial" w:cs="Arial" w:eastAsia="Arial" w:hAnsi="Arial"/>
                  <w:sz w:val="17"/>
                  <w:szCs w:val="17"/>
                  <w:color w:val="0000EE"/>
                </w:rPr>
                <w:t>Company’s Current Report on Form 8</w:t>
              </w:r>
              <w:r>
                <w:rPr>
                  <w:rFonts w:ascii="MS PGothic" w:cs="MS PGothic" w:eastAsia="MS PGothic" w:hAnsi="MS PGothic"/>
                  <w:sz w:val="17"/>
                  <w:szCs w:val="17"/>
                  <w:color w:val="0000EE"/>
                </w:rPr>
                <w:t>‑</w:t>
              </w:r>
              <w:r>
                <w:rPr>
                  <w:rFonts w:ascii="Arial" w:cs="Arial" w:eastAsia="Arial" w:hAnsi="Arial"/>
                  <w:sz w:val="17"/>
                  <w:szCs w:val="17"/>
                  <w:color w:val="0000EE"/>
                </w:rPr>
                <w:t>K filed on April 9, 2019 (File No. 001</w:t>
              </w:r>
              <w:r>
                <w:rPr>
                  <w:rFonts w:ascii="MS PGothic" w:cs="MS PGothic" w:eastAsia="MS PGothic" w:hAnsi="MS PGothic"/>
                  <w:sz w:val="17"/>
                  <w:szCs w:val="17"/>
                  <w:color w:val="0000EE"/>
                </w:rPr>
                <w:t>‑</w:t>
              </w:r>
              <w:r>
                <w:rPr>
                  <w:rFonts w:ascii="Arial" w:cs="Arial" w:eastAsia="Arial" w:hAnsi="Arial"/>
                  <w:sz w:val="17"/>
                  <w:szCs w:val="17"/>
                  <w:color w:val="0000EE"/>
                </w:rPr>
                <w:t>38860)).</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7"/>
                <w:szCs w:val="17"/>
                <w:color w:val="auto"/>
              </w:rPr>
              <w:t>10.1</w:t>
            </w:r>
          </w:p>
        </w:tc>
        <w:tc>
          <w:tcPr>
            <w:tcW w:w="220" w:type="dxa"/>
            <w:vAlign w:val="bottom"/>
          </w:tcPr>
          <w:p>
            <w:pPr>
              <w:spacing w:after="0"/>
              <w:rPr>
                <w:sz w:val="24"/>
                <w:szCs w:val="24"/>
                <w:color w:val="auto"/>
              </w:rPr>
            </w:pPr>
          </w:p>
        </w:tc>
        <w:tc>
          <w:tcPr>
            <w:tcW w:w="7460" w:type="dxa"/>
            <w:vAlign w:val="bottom"/>
            <w:tcBorders>
              <w:bottom w:val="single" w:sz="8" w:color="0000EE"/>
            </w:tcBorders>
            <w:gridSpan w:val="20"/>
          </w:tcPr>
          <w:p>
            <w:pPr>
              <w:spacing w:after="0"/>
              <w:rPr>
                <w:rFonts w:ascii="Arial" w:cs="Arial" w:eastAsia="Arial" w:hAnsi="Arial"/>
                <w:sz w:val="17"/>
                <w:szCs w:val="17"/>
                <w:color w:val="0000EE"/>
                <w:w w:val="91"/>
              </w:rPr>
            </w:pPr>
            <w:hyperlink r:id="rId81">
              <w:r>
                <w:rPr>
                  <w:rFonts w:ascii="Arial" w:cs="Arial" w:eastAsia="Arial" w:hAnsi="Arial"/>
                  <w:sz w:val="17"/>
                  <w:szCs w:val="17"/>
                  <w:color w:val="0000EE"/>
                  <w:w w:val="91"/>
                </w:rPr>
                <w:t>Stockholders Agreement, dated as of April 8, 2019, by and among Tradeweb Markets Inc., Refinitiv US PME</w:t>
              </w:r>
            </w:hyperlink>
          </w:p>
        </w:tc>
        <w:tc>
          <w:tcPr>
            <w:tcW w:w="240" w:type="dxa"/>
            <w:vAlign w:val="bottom"/>
            <w:gridSpan w:val="7"/>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40" w:type="dxa"/>
            <w:vAlign w:val="bottom"/>
            <w:tcBorders>
              <w:bottom w:val="single" w:sz="8" w:color="0000EE"/>
            </w:tcBorders>
            <w:gridSpan w:val="25"/>
          </w:tcPr>
          <w:p>
            <w:pPr>
              <w:spacing w:after="0" w:line="184" w:lineRule="exact"/>
              <w:rPr>
                <w:rFonts w:ascii="Arial" w:cs="Arial" w:eastAsia="Arial" w:hAnsi="Arial"/>
                <w:sz w:val="17"/>
                <w:szCs w:val="17"/>
                <w:color w:val="0000EE"/>
                <w:w w:val="92"/>
              </w:rPr>
            </w:pPr>
            <w:hyperlink r:id="rId81">
              <w:r>
                <w:rPr>
                  <w:rFonts w:ascii="Arial" w:cs="Arial" w:eastAsia="Arial" w:hAnsi="Arial"/>
                  <w:sz w:val="17"/>
                  <w:szCs w:val="17"/>
                  <w:color w:val="0000EE"/>
                  <w:w w:val="92"/>
                </w:rPr>
                <w:t>LLC and Refinitiv Parent Limited (incorporated by reference to Exhibit 10.1 to the Company’s Quarterly Report</w:t>
              </w:r>
            </w:hyperlink>
          </w:p>
        </w:tc>
        <w:tc>
          <w:tcPr>
            <w:tcW w:w="6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20" w:type="dxa"/>
            <w:vAlign w:val="bottom"/>
            <w:tcBorders>
              <w:bottom w:val="single" w:sz="8" w:color="0000EE"/>
            </w:tcBorders>
            <w:gridSpan w:val="3"/>
          </w:tcPr>
          <w:p>
            <w:pPr>
              <w:spacing w:after="0" w:line="184" w:lineRule="exact"/>
              <w:rPr>
                <w:rFonts w:ascii="Arial" w:cs="Arial" w:eastAsia="Arial" w:hAnsi="Arial"/>
                <w:sz w:val="17"/>
                <w:szCs w:val="17"/>
                <w:color w:val="0000EE"/>
                <w:w w:val="92"/>
              </w:rPr>
            </w:pPr>
            <w:hyperlink r:id="rId81">
              <w:r>
                <w:rPr>
                  <w:rFonts w:ascii="Arial" w:cs="Arial" w:eastAsia="Arial" w:hAnsi="Arial"/>
                  <w:sz w:val="17"/>
                  <w:szCs w:val="17"/>
                  <w:color w:val="0000EE"/>
                  <w:w w:val="92"/>
                </w:rPr>
                <w:t>on Form 10-Q filed on May 20, 2019 (File No. 001</w:t>
              </w:r>
              <w:r>
                <w:rPr>
                  <w:rFonts w:ascii="MS PGothic" w:cs="MS PGothic" w:eastAsia="MS PGothic" w:hAnsi="MS PGothic"/>
                  <w:sz w:val="17"/>
                  <w:szCs w:val="17"/>
                  <w:color w:val="0000EE"/>
                  <w:w w:val="92"/>
                </w:rPr>
                <w:t>‑</w:t>
              </w:r>
              <w:r>
                <w:rPr>
                  <w:rFonts w:ascii="Arial" w:cs="Arial" w:eastAsia="Arial" w:hAnsi="Arial"/>
                  <w:sz w:val="17"/>
                  <w:szCs w:val="17"/>
                  <w:color w:val="0000EE"/>
                  <w:w w:val="92"/>
                </w:rPr>
                <w:t>38860)).</w:t>
              </w:r>
            </w:hyperlink>
          </w:p>
        </w:tc>
        <w:tc>
          <w:tcPr>
            <w:tcW w:w="3580" w:type="dxa"/>
            <w:vAlign w:val="bottom"/>
            <w:gridSpan w:val="24"/>
          </w:tcPr>
          <w:p>
            <w:pPr>
              <w:spacing w:after="0"/>
              <w:rPr>
                <w:sz w:val="15"/>
                <w:szCs w:val="15"/>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7"/>
                <w:szCs w:val="17"/>
                <w:color w:val="auto"/>
              </w:rPr>
              <w:t>10.2</w:t>
            </w:r>
          </w:p>
        </w:tc>
        <w:tc>
          <w:tcPr>
            <w:tcW w:w="220" w:type="dxa"/>
            <w:vAlign w:val="bottom"/>
          </w:tcPr>
          <w:p>
            <w:pPr>
              <w:spacing w:after="0"/>
              <w:rPr>
                <w:sz w:val="24"/>
                <w:szCs w:val="24"/>
                <w:color w:val="auto"/>
              </w:rPr>
            </w:pPr>
          </w:p>
        </w:tc>
        <w:tc>
          <w:tcPr>
            <w:tcW w:w="7480" w:type="dxa"/>
            <w:vAlign w:val="bottom"/>
            <w:tcBorders>
              <w:bottom w:val="single" w:sz="8" w:color="0000EE"/>
            </w:tcBorders>
            <w:gridSpan w:val="21"/>
          </w:tcPr>
          <w:p>
            <w:pPr>
              <w:spacing w:after="0"/>
              <w:rPr>
                <w:rFonts w:ascii="Arial" w:cs="Arial" w:eastAsia="Arial" w:hAnsi="Arial"/>
                <w:sz w:val="17"/>
                <w:szCs w:val="17"/>
                <w:color w:val="0000EE"/>
                <w:w w:val="91"/>
              </w:rPr>
            </w:pPr>
            <w:hyperlink r:id="rId82">
              <w:r>
                <w:rPr>
                  <w:rFonts w:ascii="Arial" w:cs="Arial" w:eastAsia="Arial" w:hAnsi="Arial"/>
                  <w:sz w:val="17"/>
                  <w:szCs w:val="17"/>
                  <w:color w:val="0000EE"/>
                  <w:w w:val="91"/>
                </w:rPr>
                <w:t>Registration Rights Agreement, dated as of April 8, 2019, by and among Tradeweb Markets Inc., the Refinitiv</w:t>
              </w:r>
            </w:hyperlink>
          </w:p>
        </w:tc>
        <w:tc>
          <w:tcPr>
            <w:tcW w:w="220" w:type="dxa"/>
            <w:vAlign w:val="bottom"/>
            <w:gridSpan w:val="6"/>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tcBorders>
              <w:bottom w:val="single" w:sz="8" w:color="0000EE"/>
            </w:tcBorders>
            <w:gridSpan w:val="27"/>
          </w:tcPr>
          <w:p>
            <w:pPr>
              <w:spacing w:after="0" w:line="184" w:lineRule="exact"/>
              <w:rPr>
                <w:rFonts w:ascii="Arial" w:cs="Arial" w:eastAsia="Arial" w:hAnsi="Arial"/>
                <w:sz w:val="17"/>
                <w:szCs w:val="17"/>
                <w:color w:val="0000EE"/>
                <w:w w:val="89"/>
              </w:rPr>
            </w:pPr>
            <w:hyperlink r:id="rId82">
              <w:r>
                <w:rPr>
                  <w:rFonts w:ascii="Arial" w:cs="Arial" w:eastAsia="Arial" w:hAnsi="Arial"/>
                  <w:sz w:val="17"/>
                  <w:szCs w:val="17"/>
                  <w:color w:val="0000EE"/>
                  <w:w w:val="89"/>
                </w:rPr>
                <w:t>Holders (as defined therein), the Bank Holders (as defined therein) and the other holders of Registrable Securities</w:t>
              </w:r>
            </w:hyperlink>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gridSpan w:val="27"/>
          </w:tcPr>
          <w:p>
            <w:pPr>
              <w:spacing w:after="0" w:line="184" w:lineRule="exact"/>
              <w:rPr>
                <w:rFonts w:ascii="Arial" w:cs="Arial" w:eastAsia="Arial" w:hAnsi="Arial"/>
                <w:sz w:val="17"/>
                <w:szCs w:val="17"/>
                <w:color w:val="0000EE"/>
                <w:w w:val="92"/>
              </w:rPr>
            </w:pPr>
            <w:hyperlink r:id="rId82">
              <w:r>
                <w:rPr>
                  <w:rFonts w:ascii="Arial" w:cs="Arial" w:eastAsia="Arial" w:hAnsi="Arial"/>
                  <w:sz w:val="17"/>
                  <w:szCs w:val="17"/>
                  <w:color w:val="0000EE"/>
                  <w:w w:val="92"/>
                </w:rPr>
                <w:t>(as defined therein) party thereto from time to time (incorporated by reference to Exhibit 10.2 to the Company’s</w:t>
              </w:r>
            </w:hyperlink>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80" w:type="dxa"/>
            <w:vAlign w:val="bottom"/>
            <w:tcBorders>
              <w:top w:val="single" w:sz="8" w:color="0000EE"/>
            </w:tcBorders>
            <w:gridSpan w:val="23"/>
          </w:tcPr>
          <w:p>
            <w:pPr>
              <w:spacing w:after="0" w:line="184" w:lineRule="exact"/>
              <w:rPr>
                <w:rFonts w:ascii="Arial" w:cs="Arial" w:eastAsia="Arial" w:hAnsi="Arial"/>
                <w:sz w:val="17"/>
                <w:szCs w:val="17"/>
                <w:color w:val="0000EE"/>
              </w:rPr>
            </w:pPr>
            <w:hyperlink r:id="rId82">
              <w:r>
                <w:rPr>
                  <w:rFonts w:ascii="Arial" w:cs="Arial" w:eastAsia="Arial" w:hAnsi="Arial"/>
                  <w:sz w:val="17"/>
                  <w:szCs w:val="17"/>
                  <w:color w:val="0000EE"/>
                </w:rPr>
                <w:t>Quarterly Report on Form 10-Q filed on May 20, 2019 (File No. 001</w:t>
              </w:r>
              <w:r>
                <w:rPr>
                  <w:rFonts w:ascii="MS PGothic" w:cs="MS PGothic" w:eastAsia="MS PGothic" w:hAnsi="MS PGothic"/>
                  <w:sz w:val="17"/>
                  <w:szCs w:val="17"/>
                  <w:color w:val="0000EE"/>
                </w:rPr>
                <w:t>‑</w:t>
              </w:r>
              <w:r>
                <w:rPr>
                  <w:rFonts w:ascii="Arial" w:cs="Arial" w:eastAsia="Arial" w:hAnsi="Arial"/>
                  <w:sz w:val="17"/>
                  <w:szCs w:val="17"/>
                  <w:color w:val="0000EE"/>
                </w:rPr>
                <w:t>38860)).</w:t>
              </w:r>
            </w:hyperlink>
          </w:p>
        </w:tc>
        <w:tc>
          <w:tcPr>
            <w:tcW w:w="120" w:type="dxa"/>
            <w:vAlign w:val="bottom"/>
            <w:gridSpan w:val="4"/>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7"/>
                <w:szCs w:val="17"/>
                <w:color w:val="auto"/>
              </w:rPr>
              <w:t>10.3</w:t>
            </w:r>
          </w:p>
        </w:tc>
        <w:tc>
          <w:tcPr>
            <w:tcW w:w="220" w:type="dxa"/>
            <w:vAlign w:val="bottom"/>
          </w:tcPr>
          <w:p>
            <w:pPr>
              <w:spacing w:after="0"/>
              <w:rPr>
                <w:sz w:val="24"/>
                <w:szCs w:val="24"/>
                <w:color w:val="auto"/>
              </w:rPr>
            </w:pPr>
          </w:p>
        </w:tc>
        <w:tc>
          <w:tcPr>
            <w:tcW w:w="7700" w:type="dxa"/>
            <w:vAlign w:val="bottom"/>
            <w:gridSpan w:val="27"/>
          </w:tcPr>
          <w:p>
            <w:pPr>
              <w:spacing w:after="0"/>
              <w:rPr>
                <w:rFonts w:ascii="Arial" w:cs="Arial" w:eastAsia="Arial" w:hAnsi="Arial"/>
                <w:sz w:val="17"/>
                <w:szCs w:val="17"/>
                <w:color w:val="0000EE"/>
                <w:w w:val="92"/>
              </w:rPr>
            </w:pPr>
            <w:hyperlink r:id="rId83">
              <w:r>
                <w:rPr>
                  <w:rFonts w:ascii="Arial" w:cs="Arial" w:eastAsia="Arial" w:hAnsi="Arial"/>
                  <w:sz w:val="17"/>
                  <w:szCs w:val="17"/>
                  <w:color w:val="0000EE"/>
                  <w:w w:val="92"/>
                </w:rPr>
                <w:t>Fifth Amended and Restated LLC Agreement, dated as of April 4, 2019, by and among Tradeweb Markets LLC</w:t>
              </w:r>
            </w:hyperlink>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320" w:type="dxa"/>
            <w:vAlign w:val="bottom"/>
            <w:tcBorders>
              <w:top w:val="single" w:sz="8" w:color="0000EE"/>
              <w:bottom w:val="single" w:sz="8" w:color="0000EE"/>
            </w:tcBorders>
            <w:gridSpan w:val="15"/>
          </w:tcPr>
          <w:p>
            <w:pPr>
              <w:spacing w:after="0" w:line="184" w:lineRule="exact"/>
              <w:rPr>
                <w:rFonts w:ascii="Arial" w:cs="Arial" w:eastAsia="Arial" w:hAnsi="Arial"/>
                <w:sz w:val="17"/>
                <w:szCs w:val="17"/>
                <w:color w:val="0000EE"/>
                <w:w w:val="90"/>
              </w:rPr>
            </w:pPr>
            <w:hyperlink r:id="rId83">
              <w:r>
                <w:rPr>
                  <w:rFonts w:ascii="Arial" w:cs="Arial" w:eastAsia="Arial" w:hAnsi="Arial"/>
                  <w:sz w:val="17"/>
                  <w:szCs w:val="17"/>
                  <w:color w:val="0000EE"/>
                  <w:w w:val="90"/>
                </w:rPr>
                <w:t>and its Members (as defined therein) (incorporated by reference to Exhibit 10.3 to the Company’s Quarterly</w:t>
              </w:r>
            </w:hyperlink>
          </w:p>
        </w:tc>
        <w:tc>
          <w:tcPr>
            <w:tcW w:w="260" w:type="dxa"/>
            <w:vAlign w:val="bottom"/>
            <w:tcBorders>
              <w:top w:val="single" w:sz="8" w:color="0000EE"/>
            </w:tcBorders>
            <w:gridSpan w:val="8"/>
          </w:tcPr>
          <w:p>
            <w:pPr>
              <w:spacing w:after="0"/>
              <w:rPr>
                <w:sz w:val="15"/>
                <w:szCs w:val="15"/>
                <w:color w:val="auto"/>
              </w:rPr>
            </w:pPr>
          </w:p>
        </w:tc>
        <w:tc>
          <w:tcPr>
            <w:tcW w:w="120" w:type="dxa"/>
            <w:vAlign w:val="bottom"/>
            <w:gridSpan w:val="4"/>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20" w:type="dxa"/>
            <w:vAlign w:val="bottom"/>
            <w:tcBorders>
              <w:bottom w:val="single" w:sz="8" w:color="0000EE"/>
            </w:tcBorders>
            <w:gridSpan w:val="4"/>
          </w:tcPr>
          <w:p>
            <w:pPr>
              <w:spacing w:after="0" w:line="184" w:lineRule="exact"/>
              <w:rPr>
                <w:rFonts w:ascii="Arial" w:cs="Arial" w:eastAsia="Arial" w:hAnsi="Arial"/>
                <w:sz w:val="17"/>
                <w:szCs w:val="17"/>
                <w:color w:val="0000EE"/>
                <w:w w:val="92"/>
              </w:rPr>
            </w:pPr>
            <w:hyperlink r:id="rId83">
              <w:r>
                <w:rPr>
                  <w:rFonts w:ascii="Arial" w:cs="Arial" w:eastAsia="Arial" w:hAnsi="Arial"/>
                  <w:sz w:val="17"/>
                  <w:szCs w:val="17"/>
                  <w:color w:val="0000EE"/>
                  <w:w w:val="92"/>
                </w:rPr>
                <w:t>Report on Form 10-Q filed on May 20, 2019 (File No. 001</w:t>
              </w:r>
              <w:r>
                <w:rPr>
                  <w:rFonts w:ascii="MS PGothic" w:cs="MS PGothic" w:eastAsia="MS PGothic" w:hAnsi="MS PGothic"/>
                  <w:sz w:val="17"/>
                  <w:szCs w:val="17"/>
                  <w:color w:val="0000EE"/>
                  <w:w w:val="92"/>
                </w:rPr>
                <w:t>‑</w:t>
              </w:r>
              <w:r>
                <w:rPr>
                  <w:rFonts w:ascii="Arial" w:cs="Arial" w:eastAsia="Arial" w:hAnsi="Arial"/>
                  <w:sz w:val="17"/>
                  <w:szCs w:val="17"/>
                  <w:color w:val="0000EE"/>
                  <w:w w:val="92"/>
                </w:rPr>
                <w:t>38860)).</w:t>
              </w:r>
            </w:hyperlink>
          </w:p>
        </w:tc>
        <w:tc>
          <w:tcPr>
            <w:tcW w:w="3080" w:type="dxa"/>
            <w:vAlign w:val="bottom"/>
            <w:gridSpan w:val="23"/>
          </w:tcPr>
          <w:p>
            <w:pPr>
              <w:spacing w:after="0"/>
              <w:rPr>
                <w:sz w:val="15"/>
                <w:szCs w:val="15"/>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7"/>
                <w:szCs w:val="17"/>
                <w:color w:val="auto"/>
              </w:rPr>
              <w:t>10.4</w:t>
            </w:r>
          </w:p>
        </w:tc>
        <w:tc>
          <w:tcPr>
            <w:tcW w:w="220" w:type="dxa"/>
            <w:vAlign w:val="bottom"/>
          </w:tcPr>
          <w:p>
            <w:pPr>
              <w:spacing w:after="0"/>
              <w:rPr>
                <w:sz w:val="24"/>
                <w:szCs w:val="24"/>
                <w:color w:val="auto"/>
              </w:rPr>
            </w:pPr>
          </w:p>
        </w:tc>
        <w:tc>
          <w:tcPr>
            <w:tcW w:w="7700" w:type="dxa"/>
            <w:vAlign w:val="bottom"/>
            <w:gridSpan w:val="27"/>
          </w:tcPr>
          <w:p>
            <w:pPr>
              <w:spacing w:after="0"/>
              <w:rPr>
                <w:rFonts w:ascii="Arial" w:cs="Arial" w:eastAsia="Arial" w:hAnsi="Arial"/>
                <w:sz w:val="17"/>
                <w:szCs w:val="17"/>
                <w:color w:val="0000EE"/>
                <w:w w:val="91"/>
              </w:rPr>
            </w:pPr>
            <w:hyperlink r:id="rId84">
              <w:r>
                <w:rPr>
                  <w:rFonts w:ascii="Arial" w:cs="Arial" w:eastAsia="Arial" w:hAnsi="Arial"/>
                  <w:sz w:val="17"/>
                  <w:szCs w:val="17"/>
                  <w:color w:val="0000EE"/>
                  <w:w w:val="91"/>
                </w:rPr>
                <w:t>Tax Receivable Agreement, dated as of April 8, 2019, by and among Tradeweb Markets Inc., Tradeweb Markets</w:t>
              </w:r>
            </w:hyperlink>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20" w:type="dxa"/>
            <w:vAlign w:val="bottom"/>
            <w:tcBorders>
              <w:top w:val="single" w:sz="8" w:color="0000EE"/>
            </w:tcBorders>
            <w:gridSpan w:val="24"/>
          </w:tcPr>
          <w:p>
            <w:pPr>
              <w:spacing w:after="0" w:line="184" w:lineRule="exact"/>
              <w:rPr>
                <w:rFonts w:ascii="Arial" w:cs="Arial" w:eastAsia="Arial" w:hAnsi="Arial"/>
                <w:sz w:val="17"/>
                <w:szCs w:val="17"/>
                <w:color w:val="0000EE"/>
                <w:w w:val="92"/>
              </w:rPr>
            </w:pPr>
            <w:hyperlink r:id="rId84">
              <w:r>
                <w:rPr>
                  <w:rFonts w:ascii="Arial" w:cs="Arial" w:eastAsia="Arial" w:hAnsi="Arial"/>
                  <w:sz w:val="17"/>
                  <w:szCs w:val="17"/>
                  <w:color w:val="0000EE"/>
                  <w:w w:val="92"/>
                </w:rPr>
                <w:t>LLC and the members of Tradeweb Markets LLC from time to time party thereto (incorporated by reference to</w:t>
              </w:r>
            </w:hyperlink>
          </w:p>
        </w:tc>
        <w:tc>
          <w:tcPr>
            <w:tcW w:w="80" w:type="dxa"/>
            <w:vAlign w:val="bottom"/>
            <w:gridSpan w:val="3"/>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20" w:type="dxa"/>
            <w:vAlign w:val="bottom"/>
            <w:tcBorders>
              <w:top w:val="single" w:sz="8" w:color="0000EE"/>
            </w:tcBorders>
            <w:gridSpan w:val="22"/>
          </w:tcPr>
          <w:p>
            <w:pPr>
              <w:spacing w:after="0" w:line="184" w:lineRule="exact"/>
              <w:rPr>
                <w:rFonts w:ascii="Arial" w:cs="Arial" w:eastAsia="Arial" w:hAnsi="Arial"/>
                <w:sz w:val="17"/>
                <w:szCs w:val="17"/>
                <w:color w:val="0000EE"/>
                <w:w w:val="93"/>
              </w:rPr>
            </w:pPr>
            <w:hyperlink r:id="rId84">
              <w:r>
                <w:rPr>
                  <w:rFonts w:ascii="Arial" w:cs="Arial" w:eastAsia="Arial" w:hAnsi="Arial"/>
                  <w:sz w:val="17"/>
                  <w:szCs w:val="17"/>
                  <w:color w:val="0000EE"/>
                  <w:w w:val="93"/>
                </w:rPr>
                <w:t>Exhibit 10.4 to the Company’s Quarterly Report on Form 10-Q filed on May 20, 2019 (File No. 001</w:t>
              </w:r>
              <w:r>
                <w:rPr>
                  <w:rFonts w:ascii="MS PGothic" w:cs="MS PGothic" w:eastAsia="MS PGothic" w:hAnsi="MS PGothic"/>
                  <w:sz w:val="17"/>
                  <w:szCs w:val="17"/>
                  <w:color w:val="0000EE"/>
                  <w:w w:val="93"/>
                </w:rPr>
                <w:t>‑</w:t>
              </w:r>
              <w:r>
                <w:rPr>
                  <w:rFonts w:ascii="Arial" w:cs="Arial" w:eastAsia="Arial" w:hAnsi="Arial"/>
                  <w:sz w:val="17"/>
                  <w:szCs w:val="17"/>
                  <w:color w:val="0000EE"/>
                  <w:w w:val="93"/>
                </w:rPr>
                <w:t>38860)).</w:t>
              </w:r>
            </w:hyperlink>
          </w:p>
        </w:tc>
        <w:tc>
          <w:tcPr>
            <w:tcW w:w="180" w:type="dxa"/>
            <w:vAlign w:val="bottom"/>
            <w:gridSpan w:val="5"/>
          </w:tcPr>
          <w:p>
            <w:pPr>
              <w:spacing w:after="0"/>
              <w:rPr>
                <w:sz w:val="15"/>
                <w:szCs w:val="15"/>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7"/>
                <w:szCs w:val="17"/>
                <w:color w:val="auto"/>
              </w:rPr>
              <w:t>10.5</w:t>
            </w:r>
          </w:p>
        </w:tc>
        <w:tc>
          <w:tcPr>
            <w:tcW w:w="220" w:type="dxa"/>
            <w:vAlign w:val="bottom"/>
          </w:tcPr>
          <w:p>
            <w:pPr>
              <w:spacing w:after="0"/>
              <w:rPr>
                <w:sz w:val="24"/>
                <w:szCs w:val="24"/>
                <w:color w:val="auto"/>
              </w:rPr>
            </w:pPr>
          </w:p>
        </w:tc>
        <w:tc>
          <w:tcPr>
            <w:tcW w:w="7280" w:type="dxa"/>
            <w:vAlign w:val="bottom"/>
            <w:tcBorders>
              <w:top w:val="single" w:sz="8" w:color="0000EE"/>
              <w:bottom w:val="single" w:sz="8" w:color="0000EE"/>
            </w:tcBorders>
            <w:gridSpan w:val="13"/>
          </w:tcPr>
          <w:p>
            <w:pPr>
              <w:spacing w:after="0"/>
              <w:rPr>
                <w:rFonts w:ascii="Arial" w:cs="Arial" w:eastAsia="Arial" w:hAnsi="Arial"/>
                <w:sz w:val="17"/>
                <w:szCs w:val="17"/>
                <w:color w:val="0000EE"/>
                <w:w w:val="90"/>
              </w:rPr>
            </w:pPr>
            <w:hyperlink r:id="rId85">
              <w:r>
                <w:rPr>
                  <w:rFonts w:ascii="Arial" w:cs="Arial" w:eastAsia="Arial" w:hAnsi="Arial"/>
                  <w:sz w:val="17"/>
                  <w:szCs w:val="17"/>
                  <w:color w:val="0000EE"/>
                  <w:w w:val="90"/>
                </w:rPr>
                <w:t>Restrictive Covenant Agreement, dated as of April 8, 2019, by and among the Refinitiv Entities (as defined</w:t>
              </w:r>
            </w:hyperlink>
          </w:p>
        </w:tc>
        <w:tc>
          <w:tcPr>
            <w:tcW w:w="140" w:type="dxa"/>
            <w:vAlign w:val="bottom"/>
            <w:tcBorders>
              <w:top w:val="single" w:sz="8" w:color="0000EE"/>
            </w:tcBorders>
            <w:gridSpan w:val="5"/>
          </w:tcPr>
          <w:p>
            <w:pPr>
              <w:spacing w:after="0"/>
              <w:rPr>
                <w:sz w:val="24"/>
                <w:szCs w:val="24"/>
                <w:color w:val="auto"/>
              </w:rPr>
            </w:pPr>
          </w:p>
        </w:tc>
        <w:tc>
          <w:tcPr>
            <w:tcW w:w="280" w:type="dxa"/>
            <w:vAlign w:val="bottom"/>
            <w:gridSpan w:val="9"/>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60" w:type="dxa"/>
            <w:vAlign w:val="bottom"/>
            <w:tcBorders>
              <w:bottom w:val="single" w:sz="8" w:color="0000EE"/>
            </w:tcBorders>
            <w:gridSpan w:val="20"/>
          </w:tcPr>
          <w:p>
            <w:pPr>
              <w:spacing w:after="0" w:line="184" w:lineRule="exact"/>
              <w:rPr>
                <w:rFonts w:ascii="Arial" w:cs="Arial" w:eastAsia="Arial" w:hAnsi="Arial"/>
                <w:sz w:val="17"/>
                <w:szCs w:val="17"/>
                <w:color w:val="0000EE"/>
                <w:w w:val="90"/>
              </w:rPr>
            </w:pPr>
            <w:hyperlink r:id="rId85">
              <w:r>
                <w:rPr>
                  <w:rFonts w:ascii="Arial" w:cs="Arial" w:eastAsia="Arial" w:hAnsi="Arial"/>
                  <w:sz w:val="17"/>
                  <w:szCs w:val="17"/>
                  <w:color w:val="0000EE"/>
                  <w:w w:val="90"/>
                </w:rPr>
                <w:t>therein), Tradeweb Markets LLC and Tradeweb Markets Inc. (incorporated by reference to Exhibit 10.5 to the</w:t>
              </w:r>
            </w:hyperlink>
          </w:p>
        </w:tc>
        <w:tc>
          <w:tcPr>
            <w:tcW w:w="240" w:type="dxa"/>
            <w:vAlign w:val="bottom"/>
            <w:gridSpan w:val="7"/>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120" w:type="dxa"/>
            <w:vAlign w:val="bottom"/>
            <w:tcBorders>
              <w:bottom w:val="single" w:sz="8" w:color="0000EE"/>
            </w:tcBorders>
            <w:gridSpan w:val="7"/>
          </w:tcPr>
          <w:p>
            <w:pPr>
              <w:spacing w:after="0" w:line="184" w:lineRule="exact"/>
              <w:rPr>
                <w:rFonts w:ascii="Arial" w:cs="Arial" w:eastAsia="Arial" w:hAnsi="Arial"/>
                <w:sz w:val="17"/>
                <w:szCs w:val="17"/>
                <w:color w:val="0000EE"/>
                <w:w w:val="91"/>
              </w:rPr>
            </w:pPr>
            <w:hyperlink r:id="rId85">
              <w:r>
                <w:rPr>
                  <w:rFonts w:ascii="Arial" w:cs="Arial" w:eastAsia="Arial" w:hAnsi="Arial"/>
                  <w:sz w:val="17"/>
                  <w:szCs w:val="17"/>
                  <w:color w:val="0000EE"/>
                  <w:w w:val="91"/>
                </w:rPr>
                <w:t>Company’s Quarterly Report on Form 10-Q filed on May 20, 2019 (File No. 001</w:t>
              </w:r>
              <w:r>
                <w:rPr>
                  <w:rFonts w:ascii="MS PGothic" w:cs="MS PGothic" w:eastAsia="MS PGothic" w:hAnsi="MS PGothic"/>
                  <w:sz w:val="17"/>
                  <w:szCs w:val="17"/>
                  <w:color w:val="0000EE"/>
                  <w:w w:val="91"/>
                </w:rPr>
                <w:t>‑</w:t>
              </w:r>
              <w:r>
                <w:rPr>
                  <w:rFonts w:ascii="Arial" w:cs="Arial" w:eastAsia="Arial" w:hAnsi="Arial"/>
                  <w:sz w:val="17"/>
                  <w:szCs w:val="17"/>
                  <w:color w:val="0000EE"/>
                  <w:w w:val="91"/>
                </w:rPr>
                <w:t>38860)).</w:t>
              </w:r>
            </w:hyperlink>
          </w:p>
        </w:tc>
        <w:tc>
          <w:tcPr>
            <w:tcW w:w="1580" w:type="dxa"/>
            <w:vAlign w:val="bottom"/>
            <w:gridSpan w:val="20"/>
          </w:tcPr>
          <w:p>
            <w:pPr>
              <w:spacing w:after="0"/>
              <w:rPr>
                <w:sz w:val="15"/>
                <w:szCs w:val="15"/>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7"/>
                <w:szCs w:val="17"/>
                <w:color w:val="auto"/>
              </w:rPr>
              <w:t>10.6</w:t>
            </w:r>
          </w:p>
        </w:tc>
        <w:tc>
          <w:tcPr>
            <w:tcW w:w="220" w:type="dxa"/>
            <w:vAlign w:val="bottom"/>
          </w:tcPr>
          <w:p>
            <w:pPr>
              <w:spacing w:after="0"/>
              <w:rPr>
                <w:sz w:val="24"/>
                <w:szCs w:val="24"/>
                <w:color w:val="auto"/>
              </w:rPr>
            </w:pPr>
          </w:p>
        </w:tc>
        <w:tc>
          <w:tcPr>
            <w:tcW w:w="7420" w:type="dxa"/>
            <w:vAlign w:val="bottom"/>
            <w:tcBorders>
              <w:bottom w:val="single" w:sz="8" w:color="0000EE"/>
            </w:tcBorders>
            <w:gridSpan w:val="18"/>
          </w:tcPr>
          <w:p>
            <w:pPr>
              <w:spacing w:after="0"/>
              <w:rPr>
                <w:rFonts w:ascii="Arial" w:cs="Arial" w:eastAsia="Arial" w:hAnsi="Arial"/>
                <w:sz w:val="17"/>
                <w:szCs w:val="17"/>
                <w:color w:val="0000EE"/>
                <w:w w:val="90"/>
              </w:rPr>
            </w:pPr>
            <w:hyperlink r:id="rId86">
              <w:r>
                <w:rPr>
                  <w:rFonts w:ascii="Arial" w:cs="Arial" w:eastAsia="Arial" w:hAnsi="Arial"/>
                  <w:sz w:val="17"/>
                  <w:szCs w:val="17"/>
                  <w:color w:val="0000EE"/>
                  <w:w w:val="90"/>
                </w:rPr>
                <w:t>Credit Agreement, dated as of April 8, 2019, by and among Tradeweb Markets LLC, as borrower, the lenders</w:t>
              </w:r>
            </w:hyperlink>
          </w:p>
        </w:tc>
        <w:tc>
          <w:tcPr>
            <w:tcW w:w="280" w:type="dxa"/>
            <w:vAlign w:val="bottom"/>
            <w:gridSpan w:val="9"/>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40" w:type="dxa"/>
            <w:vAlign w:val="bottom"/>
            <w:tcBorders>
              <w:bottom w:val="single" w:sz="8" w:color="0000EE"/>
            </w:tcBorders>
            <w:gridSpan w:val="19"/>
          </w:tcPr>
          <w:p>
            <w:pPr>
              <w:spacing w:after="0" w:line="184" w:lineRule="exact"/>
              <w:rPr>
                <w:rFonts w:ascii="Arial" w:cs="Arial" w:eastAsia="Arial" w:hAnsi="Arial"/>
                <w:sz w:val="17"/>
                <w:szCs w:val="17"/>
                <w:color w:val="0000EE"/>
                <w:w w:val="90"/>
              </w:rPr>
            </w:pPr>
            <w:hyperlink r:id="rId86">
              <w:r>
                <w:rPr>
                  <w:rFonts w:ascii="Arial" w:cs="Arial" w:eastAsia="Arial" w:hAnsi="Arial"/>
                  <w:sz w:val="17"/>
                  <w:szCs w:val="17"/>
                  <w:color w:val="0000EE"/>
                  <w:w w:val="90"/>
                </w:rPr>
                <w:t>party thereto and Citibank, N.A., as administrative agent, collateral agent, issuing bank and swing line lender,</w:t>
              </w:r>
            </w:hyperlink>
          </w:p>
        </w:tc>
        <w:tc>
          <w:tcPr>
            <w:tcW w:w="260" w:type="dxa"/>
            <w:vAlign w:val="bottom"/>
            <w:gridSpan w:val="8"/>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gridSpan w:val="27"/>
          </w:tcPr>
          <w:p>
            <w:pPr>
              <w:spacing w:after="0" w:line="184" w:lineRule="exact"/>
              <w:rPr>
                <w:rFonts w:ascii="Arial" w:cs="Arial" w:eastAsia="Arial" w:hAnsi="Arial"/>
                <w:sz w:val="17"/>
                <w:szCs w:val="17"/>
                <w:color w:val="0000EE"/>
                <w:w w:val="91"/>
              </w:rPr>
            </w:pPr>
            <w:hyperlink r:id="rId86">
              <w:r>
                <w:rPr>
                  <w:rFonts w:ascii="Arial" w:cs="Arial" w:eastAsia="Arial" w:hAnsi="Arial"/>
                  <w:sz w:val="17"/>
                  <w:szCs w:val="17"/>
                  <w:color w:val="0000EE"/>
                  <w:w w:val="91"/>
                </w:rPr>
                <w:t>Citigroup Global Markets Inc., JPMorgan Chase Bank, N.A., Morgan Stanley Senior Funding, Inc. and Goldman</w:t>
              </w:r>
            </w:hyperlink>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0" w:type="dxa"/>
            <w:vAlign w:val="bottom"/>
            <w:tcBorders>
              <w:top w:val="single" w:sz="8" w:color="0000EE"/>
              <w:bottom w:val="single" w:sz="8" w:color="0000EE"/>
            </w:tcBorders>
            <w:gridSpan w:val="17"/>
          </w:tcPr>
          <w:p>
            <w:pPr>
              <w:spacing w:after="0" w:line="184" w:lineRule="exact"/>
              <w:rPr>
                <w:rFonts w:ascii="Arial" w:cs="Arial" w:eastAsia="Arial" w:hAnsi="Arial"/>
                <w:sz w:val="17"/>
                <w:szCs w:val="17"/>
                <w:color w:val="0000EE"/>
                <w:w w:val="89"/>
              </w:rPr>
            </w:pPr>
            <w:hyperlink r:id="rId86">
              <w:r>
                <w:rPr>
                  <w:rFonts w:ascii="Arial" w:cs="Arial" w:eastAsia="Arial" w:hAnsi="Arial"/>
                  <w:sz w:val="17"/>
                  <w:szCs w:val="17"/>
                  <w:color w:val="0000EE"/>
                  <w:w w:val="89"/>
                </w:rPr>
                <w:t>Sachs Bank USA, as joint lead arrangers and joint bookrunners, JPMorgan Chase Bank, N.A., as syndication</w:t>
              </w:r>
            </w:hyperlink>
          </w:p>
        </w:tc>
        <w:tc>
          <w:tcPr>
            <w:tcW w:w="260" w:type="dxa"/>
            <w:vAlign w:val="bottom"/>
            <w:tcBorders>
              <w:top w:val="single" w:sz="8" w:color="0000EE"/>
            </w:tcBorders>
            <w:gridSpan w:val="9"/>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gridSpan w:val="27"/>
          </w:tcPr>
          <w:p>
            <w:pPr>
              <w:spacing w:after="0" w:line="184" w:lineRule="exact"/>
              <w:rPr>
                <w:rFonts w:ascii="Arial" w:cs="Arial" w:eastAsia="Arial" w:hAnsi="Arial"/>
                <w:sz w:val="17"/>
                <w:szCs w:val="17"/>
                <w:color w:val="0000EE"/>
                <w:w w:val="95"/>
              </w:rPr>
            </w:pPr>
            <w:hyperlink r:id="rId86">
              <w:r>
                <w:rPr>
                  <w:rFonts w:ascii="Arial" w:cs="Arial" w:eastAsia="Arial" w:hAnsi="Arial"/>
                  <w:sz w:val="17"/>
                  <w:szCs w:val="17"/>
                  <w:color w:val="0000EE"/>
                  <w:w w:val="95"/>
                </w:rPr>
                <w:t>agent, and Morgan Stanley Senior Funding, Inc. and Goldman Sachs Bank USA, as documentation agents</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020" w:type="dxa"/>
            <w:vAlign w:val="bottom"/>
            <w:gridSpan w:val="5"/>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gridSpan w:val="27"/>
          </w:tcPr>
          <w:p>
            <w:pPr>
              <w:spacing w:after="0" w:line="184" w:lineRule="exact"/>
              <w:rPr>
                <w:rFonts w:ascii="Arial" w:cs="Arial" w:eastAsia="Arial" w:hAnsi="Arial"/>
                <w:sz w:val="17"/>
                <w:szCs w:val="17"/>
                <w:color w:val="0000EE"/>
                <w:w w:val="94"/>
              </w:rPr>
            </w:pPr>
            <w:hyperlink r:id="rId86">
              <w:r>
                <w:rPr>
                  <w:rFonts w:ascii="Arial" w:cs="Arial" w:eastAsia="Arial" w:hAnsi="Arial"/>
                  <w:sz w:val="17"/>
                  <w:szCs w:val="17"/>
                  <w:color w:val="0000EE"/>
                  <w:w w:val="94"/>
                </w:rPr>
                <w:t>(incorporated by reference to Exhibit 10.6 to the Company’s Quarterly Report on Form 10-Q filed on May 20,</w:t>
              </w:r>
            </w:hyperlink>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60" w:type="dxa"/>
            <w:vAlign w:val="bottom"/>
            <w:tcBorders>
              <w:top w:val="single" w:sz="8" w:color="0000EE"/>
            </w:tcBorders>
            <w:gridSpan w:val="20"/>
          </w:tcPr>
          <w:p>
            <w:pPr>
              <w:spacing w:after="0" w:line="184" w:lineRule="exact"/>
              <w:rPr>
                <w:rFonts w:ascii="Arial" w:cs="Arial" w:eastAsia="Arial" w:hAnsi="Arial"/>
                <w:sz w:val="17"/>
                <w:szCs w:val="17"/>
                <w:color w:val="0000EE"/>
              </w:rPr>
            </w:pPr>
            <w:hyperlink r:id="rId86">
              <w:r>
                <w:rPr>
                  <w:rFonts w:ascii="Arial" w:cs="Arial" w:eastAsia="Arial" w:hAnsi="Arial"/>
                  <w:sz w:val="17"/>
                  <w:szCs w:val="17"/>
                  <w:color w:val="0000EE"/>
                </w:rPr>
                <w:t>2019 (File No. 001</w:t>
              </w:r>
              <w:r>
                <w:rPr>
                  <w:rFonts w:ascii="MS PGothic" w:cs="MS PGothic" w:eastAsia="MS PGothic" w:hAnsi="MS PGothic"/>
                  <w:sz w:val="17"/>
                  <w:szCs w:val="17"/>
                  <w:color w:val="0000EE"/>
                </w:rPr>
                <w:t>‑</w:t>
              </w:r>
              <w:r>
                <w:rPr>
                  <w:rFonts w:ascii="Arial" w:cs="Arial" w:eastAsia="Arial" w:hAnsi="Arial"/>
                  <w:sz w:val="17"/>
                  <w:szCs w:val="17"/>
                  <w:color w:val="0000EE"/>
                </w:rPr>
                <w:t>38860)).</w:t>
              </w:r>
            </w:hyperlink>
          </w:p>
        </w:tc>
        <w:tc>
          <w:tcPr>
            <w:tcW w:w="240" w:type="dxa"/>
            <w:vAlign w:val="bottom"/>
            <w:gridSpan w:val="7"/>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7"/>
                <w:szCs w:val="17"/>
                <w:color w:val="auto"/>
              </w:rPr>
              <w:t>10.7</w:t>
            </w:r>
          </w:p>
        </w:tc>
        <w:tc>
          <w:tcPr>
            <w:tcW w:w="220" w:type="dxa"/>
            <w:vAlign w:val="bottom"/>
          </w:tcPr>
          <w:p>
            <w:pPr>
              <w:spacing w:after="0"/>
              <w:rPr>
                <w:sz w:val="24"/>
                <w:szCs w:val="24"/>
                <w:color w:val="auto"/>
              </w:rPr>
            </w:pPr>
          </w:p>
        </w:tc>
        <w:tc>
          <w:tcPr>
            <w:tcW w:w="7280" w:type="dxa"/>
            <w:vAlign w:val="bottom"/>
            <w:tcBorders>
              <w:bottom w:val="single" w:sz="8" w:color="0000EE"/>
            </w:tcBorders>
            <w:gridSpan w:val="13"/>
          </w:tcPr>
          <w:p>
            <w:pPr>
              <w:spacing w:after="0"/>
              <w:rPr>
                <w:rFonts w:ascii="Arial" w:cs="Arial" w:eastAsia="Arial" w:hAnsi="Arial"/>
                <w:sz w:val="17"/>
                <w:szCs w:val="17"/>
                <w:color w:val="0000EE"/>
                <w:w w:val="90"/>
              </w:rPr>
            </w:pPr>
            <w:hyperlink r:id="rId87">
              <w:r>
                <w:rPr>
                  <w:rFonts w:ascii="Arial" w:cs="Arial" w:eastAsia="Arial" w:hAnsi="Arial"/>
                  <w:sz w:val="17"/>
                  <w:szCs w:val="17"/>
                  <w:color w:val="0000EE"/>
                  <w:w w:val="90"/>
                </w:rPr>
                <w:t>Security Agreement, dated as of April 8, 2019, among the grantors identified therein and Citibank, N.A., as</w:t>
              </w:r>
            </w:hyperlink>
          </w:p>
        </w:tc>
        <w:tc>
          <w:tcPr>
            <w:tcW w:w="420" w:type="dxa"/>
            <w:vAlign w:val="bottom"/>
            <w:gridSpan w:val="14"/>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380" w:type="dxa"/>
            <w:vAlign w:val="bottom"/>
            <w:tcBorders>
              <w:bottom w:val="single" w:sz="8" w:color="0000EE"/>
            </w:tcBorders>
            <w:gridSpan w:val="16"/>
          </w:tcPr>
          <w:p>
            <w:pPr>
              <w:spacing w:after="0" w:line="184" w:lineRule="exact"/>
              <w:rPr>
                <w:rFonts w:ascii="Arial" w:cs="Arial" w:eastAsia="Arial" w:hAnsi="Arial"/>
                <w:sz w:val="17"/>
                <w:szCs w:val="17"/>
                <w:color w:val="0000EE"/>
                <w:w w:val="90"/>
              </w:rPr>
            </w:pPr>
            <w:hyperlink r:id="rId87">
              <w:r>
                <w:rPr>
                  <w:rFonts w:ascii="Arial" w:cs="Arial" w:eastAsia="Arial" w:hAnsi="Arial"/>
                  <w:sz w:val="17"/>
                  <w:szCs w:val="17"/>
                  <w:color w:val="0000EE"/>
                  <w:w w:val="90"/>
                </w:rPr>
                <w:t>collateral agent (incorporated by reference to Exhibit 10.7 to the Company’s Quarterly Report on Form 10-Q</w:t>
              </w:r>
            </w:hyperlink>
          </w:p>
        </w:tc>
        <w:tc>
          <w:tcPr>
            <w:tcW w:w="320" w:type="dxa"/>
            <w:vAlign w:val="bottom"/>
            <w:gridSpan w:val="11"/>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Borders>
              <w:bottom w:val="single" w:sz="8" w:color="0000EE"/>
            </w:tcBorders>
            <w:gridSpan w:val="2"/>
          </w:tcPr>
          <w:p>
            <w:pPr>
              <w:spacing w:after="0" w:line="184" w:lineRule="exact"/>
              <w:rPr>
                <w:rFonts w:ascii="Arial" w:cs="Arial" w:eastAsia="Arial" w:hAnsi="Arial"/>
                <w:sz w:val="17"/>
                <w:szCs w:val="17"/>
                <w:color w:val="0000EE"/>
                <w:w w:val="92"/>
              </w:rPr>
            </w:pPr>
            <w:hyperlink r:id="rId87">
              <w:r>
                <w:rPr>
                  <w:rFonts w:ascii="Arial" w:cs="Arial" w:eastAsia="Arial" w:hAnsi="Arial"/>
                  <w:sz w:val="17"/>
                  <w:szCs w:val="17"/>
                  <w:color w:val="0000EE"/>
                  <w:w w:val="92"/>
                </w:rPr>
                <w:t>filed on May 20, 2019 (File No. 001</w:t>
              </w:r>
              <w:r>
                <w:rPr>
                  <w:rFonts w:ascii="MS PGothic" w:cs="MS PGothic" w:eastAsia="MS PGothic" w:hAnsi="MS PGothic"/>
                  <w:sz w:val="17"/>
                  <w:szCs w:val="17"/>
                  <w:color w:val="0000EE"/>
                  <w:w w:val="92"/>
                </w:rPr>
                <w:t>‑</w:t>
              </w:r>
              <w:r>
                <w:rPr>
                  <w:rFonts w:ascii="Arial" w:cs="Arial" w:eastAsia="Arial" w:hAnsi="Arial"/>
                  <w:sz w:val="17"/>
                  <w:szCs w:val="17"/>
                  <w:color w:val="0000EE"/>
                  <w:w w:val="92"/>
                </w:rPr>
                <w:t>38860)).</w:t>
              </w:r>
            </w:hyperlink>
          </w:p>
        </w:tc>
        <w:tc>
          <w:tcPr>
            <w:tcW w:w="4600" w:type="dxa"/>
            <w:vAlign w:val="bottom"/>
            <w:gridSpan w:val="25"/>
          </w:tcPr>
          <w:p>
            <w:pPr>
              <w:spacing w:after="0"/>
              <w:rPr>
                <w:sz w:val="15"/>
                <w:szCs w:val="15"/>
                <w:color w:val="auto"/>
              </w:rPr>
            </w:pPr>
          </w:p>
        </w:tc>
      </w:tr>
      <w:tr>
        <w:trPr>
          <w:trHeight w:val="323"/>
        </w:trPr>
        <w:tc>
          <w:tcPr>
            <w:tcW w:w="1360" w:type="dxa"/>
            <w:vAlign w:val="bottom"/>
            <w:gridSpan w:val="2"/>
          </w:tcPr>
          <w:p>
            <w:pPr>
              <w:spacing w:after="0"/>
              <w:rPr>
                <w:sz w:val="20"/>
                <w:szCs w:val="20"/>
                <w:color w:val="auto"/>
              </w:rPr>
            </w:pPr>
            <w:r>
              <w:rPr>
                <w:rFonts w:ascii="Arial" w:cs="Arial" w:eastAsia="Arial" w:hAnsi="Arial"/>
                <w:sz w:val="17"/>
                <w:szCs w:val="17"/>
                <w:color w:val="auto"/>
              </w:rPr>
              <w:t>10.8†</w:t>
            </w:r>
          </w:p>
        </w:tc>
        <w:tc>
          <w:tcPr>
            <w:tcW w:w="7700" w:type="dxa"/>
            <w:vAlign w:val="bottom"/>
            <w:gridSpan w:val="27"/>
          </w:tcPr>
          <w:p>
            <w:pPr>
              <w:spacing w:after="0"/>
              <w:rPr>
                <w:rFonts w:ascii="Arial" w:cs="Arial" w:eastAsia="Arial" w:hAnsi="Arial"/>
                <w:sz w:val="17"/>
                <w:szCs w:val="17"/>
                <w:color w:val="0000EE"/>
              </w:rPr>
            </w:pPr>
            <w:hyperlink r:id="rId88">
              <w:r>
                <w:rPr>
                  <w:rFonts w:ascii="Arial" w:cs="Arial" w:eastAsia="Arial" w:hAnsi="Arial"/>
                  <w:sz w:val="17"/>
                  <w:szCs w:val="17"/>
                  <w:color w:val="0000EE"/>
                </w:rPr>
                <w:t>Amended and Restated Tradeweb Markets Inc. 2018 Share Option Plan (incorporated by reference to</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120" w:type="dxa"/>
            <w:vAlign w:val="bottom"/>
            <w:gridSpan w:val="7"/>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500" w:type="dxa"/>
            <w:vAlign w:val="bottom"/>
            <w:gridSpan w:val="15"/>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gridSpan w:val="27"/>
          </w:tcPr>
          <w:p>
            <w:pPr>
              <w:spacing w:after="0" w:line="184" w:lineRule="exact"/>
              <w:rPr>
                <w:rFonts w:ascii="Arial" w:cs="Arial" w:eastAsia="Arial" w:hAnsi="Arial"/>
                <w:sz w:val="17"/>
                <w:szCs w:val="17"/>
                <w:color w:val="0000EE"/>
                <w:w w:val="95"/>
              </w:rPr>
            </w:pPr>
            <w:hyperlink r:id="rId88">
              <w:r>
                <w:rPr>
                  <w:rFonts w:ascii="Arial" w:cs="Arial" w:eastAsia="Arial" w:hAnsi="Arial"/>
                  <w:sz w:val="17"/>
                  <w:szCs w:val="17"/>
                  <w:color w:val="0000EE"/>
                  <w:w w:val="95"/>
                </w:rPr>
                <w:t>Exhibit 10.8 to the Company’s Quarterly Report on Form 10-Q filed on May 20, 2019 (File No. 001</w:t>
              </w:r>
              <w:r>
                <w:rPr>
                  <w:rFonts w:ascii="MS PGothic" w:cs="MS PGothic" w:eastAsia="MS PGothic" w:hAnsi="MS PGothic"/>
                  <w:sz w:val="17"/>
                  <w:szCs w:val="17"/>
                  <w:color w:val="0000EE"/>
                  <w:w w:val="95"/>
                </w:rPr>
                <w:t>‑</w:t>
              </w:r>
              <w:r>
                <w:rPr>
                  <w:rFonts w:ascii="Arial" w:cs="Arial" w:eastAsia="Arial" w:hAnsi="Arial"/>
                  <w:sz w:val="17"/>
                  <w:szCs w:val="17"/>
                  <w:color w:val="0000EE"/>
                  <w:w w:val="95"/>
                </w:rPr>
                <w:t>38860)).</w:t>
              </w:r>
            </w:hyperlink>
          </w:p>
        </w:tc>
      </w:tr>
      <w:tr>
        <w:trPr>
          <w:trHeight w:val="323"/>
        </w:trPr>
        <w:tc>
          <w:tcPr>
            <w:tcW w:w="1360" w:type="dxa"/>
            <w:vAlign w:val="bottom"/>
            <w:gridSpan w:val="2"/>
          </w:tcPr>
          <w:p>
            <w:pPr>
              <w:spacing w:after="0"/>
              <w:rPr>
                <w:sz w:val="20"/>
                <w:szCs w:val="20"/>
                <w:color w:val="auto"/>
              </w:rPr>
            </w:pPr>
            <w:r>
              <w:rPr>
                <w:rFonts w:ascii="Arial" w:cs="Arial" w:eastAsia="Arial" w:hAnsi="Arial"/>
                <w:sz w:val="17"/>
                <w:szCs w:val="17"/>
                <w:color w:val="auto"/>
              </w:rPr>
              <w:t>10.9†</w:t>
            </w:r>
          </w:p>
        </w:tc>
        <w:tc>
          <w:tcPr>
            <w:tcW w:w="7200" w:type="dxa"/>
            <w:vAlign w:val="bottom"/>
            <w:tcBorders>
              <w:top w:val="single" w:sz="8" w:color="0000EE"/>
              <w:bottom w:val="single" w:sz="8" w:color="0000EE"/>
            </w:tcBorders>
            <w:gridSpan w:val="12"/>
          </w:tcPr>
          <w:p>
            <w:pPr>
              <w:spacing w:after="0"/>
              <w:rPr>
                <w:rFonts w:ascii="Arial" w:cs="Arial" w:eastAsia="Arial" w:hAnsi="Arial"/>
                <w:sz w:val="17"/>
                <w:szCs w:val="17"/>
                <w:color w:val="0000EE"/>
                <w:w w:val="90"/>
              </w:rPr>
            </w:pPr>
            <w:hyperlink r:id="rId89">
              <w:r>
                <w:rPr>
                  <w:rFonts w:ascii="Arial" w:cs="Arial" w:eastAsia="Arial" w:hAnsi="Arial"/>
                  <w:sz w:val="17"/>
                  <w:szCs w:val="17"/>
                  <w:color w:val="0000EE"/>
                  <w:w w:val="90"/>
                </w:rPr>
                <w:t>Amended &amp; Restated Tradeweb Markets Inc. PRSU Plan (incorporated by reference to Exhibit 10.9 to the</w:t>
              </w:r>
            </w:hyperlink>
          </w:p>
        </w:tc>
        <w:tc>
          <w:tcPr>
            <w:tcW w:w="220" w:type="dxa"/>
            <w:vAlign w:val="bottom"/>
            <w:tcBorders>
              <w:top w:val="single" w:sz="8" w:color="0000EE"/>
            </w:tcBorders>
            <w:gridSpan w:val="6"/>
          </w:tcPr>
          <w:p>
            <w:pPr>
              <w:spacing w:after="0"/>
              <w:rPr>
                <w:sz w:val="24"/>
                <w:szCs w:val="24"/>
                <w:color w:val="auto"/>
              </w:rPr>
            </w:pPr>
          </w:p>
        </w:tc>
        <w:tc>
          <w:tcPr>
            <w:tcW w:w="280" w:type="dxa"/>
            <w:vAlign w:val="bottom"/>
            <w:gridSpan w:val="9"/>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gridSpan w:val="27"/>
          </w:tcPr>
          <w:p>
            <w:pPr>
              <w:spacing w:after="0" w:line="184" w:lineRule="exact"/>
              <w:rPr>
                <w:rFonts w:ascii="Arial" w:cs="Arial" w:eastAsia="Arial" w:hAnsi="Arial"/>
                <w:sz w:val="17"/>
                <w:szCs w:val="17"/>
                <w:color w:val="0000EE"/>
              </w:rPr>
            </w:pPr>
            <w:hyperlink r:id="rId89">
              <w:r>
                <w:rPr>
                  <w:rFonts w:ascii="Arial" w:cs="Arial" w:eastAsia="Arial" w:hAnsi="Arial"/>
                  <w:sz w:val="17"/>
                  <w:szCs w:val="17"/>
                  <w:color w:val="0000EE"/>
                </w:rPr>
                <w:t>Company’s Quarterly Report on Form 10-Q filed on May 20, 2019 (File No. 001</w:t>
              </w:r>
              <w:r>
                <w:rPr>
                  <w:rFonts w:ascii="MS PGothic" w:cs="MS PGothic" w:eastAsia="MS PGothic" w:hAnsi="MS PGothic"/>
                  <w:sz w:val="17"/>
                  <w:szCs w:val="17"/>
                  <w:color w:val="0000EE"/>
                </w:rPr>
                <w:t>‑</w:t>
              </w:r>
              <w:r>
                <w:rPr>
                  <w:rFonts w:ascii="Arial" w:cs="Arial" w:eastAsia="Arial" w:hAnsi="Arial"/>
                  <w:sz w:val="17"/>
                  <w:szCs w:val="17"/>
                  <w:color w:val="0000EE"/>
                </w:rPr>
                <w:t>38860)).</w:t>
              </w:r>
            </w:hyperlink>
          </w:p>
        </w:tc>
      </w:tr>
      <w:tr>
        <w:trPr>
          <w:trHeight w:val="627"/>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tcBorders>
              <w:top w:val="single" w:sz="8" w:color="0000EE"/>
            </w:tcBorders>
            <w:gridSpan w:val="3"/>
          </w:tcPr>
          <w:p>
            <w:pPr>
              <w:ind w:left="3080"/>
              <w:spacing w:after="0"/>
              <w:rPr>
                <w:sz w:val="20"/>
                <w:szCs w:val="20"/>
                <w:color w:val="auto"/>
              </w:rPr>
            </w:pPr>
            <w:r>
              <w:rPr>
                <w:rFonts w:ascii="Arial" w:cs="Arial" w:eastAsia="Arial" w:hAnsi="Arial"/>
                <w:sz w:val="17"/>
                <w:szCs w:val="17"/>
                <w:color w:val="auto"/>
              </w:rPr>
              <w:t>75</w:t>
            </w:r>
          </w:p>
        </w:tc>
        <w:tc>
          <w:tcPr>
            <w:tcW w:w="5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27"/>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7" w:right="1419" w:bottom="1440" w:gutter="0" w:footer="0" w:header="0"/>
        </w:sectPr>
      </w:pPr>
    </w:p>
    <w:bookmarkStart w:id="75" w:name="page76"/>
    <w:bookmarkEnd w:id="75"/>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0"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Number</w:t>
            </w:r>
          </w:p>
        </w:tc>
        <w:tc>
          <w:tcPr>
            <w:tcW w:w="22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60" w:type="dxa"/>
            <w:vAlign w:val="bottom"/>
            <w:tcBorders>
              <w:bottom w:val="single" w:sz="8" w:color="auto"/>
            </w:tcBorders>
            <w:gridSpan w:val="10"/>
          </w:tcPr>
          <w:p>
            <w:pPr>
              <w:ind w:left="780"/>
              <w:spacing w:after="0"/>
              <w:rPr>
                <w:sz w:val="20"/>
                <w:szCs w:val="20"/>
                <w:color w:val="auto"/>
              </w:rPr>
            </w:pPr>
            <w:r>
              <w:rPr>
                <w:rFonts w:ascii="Arial" w:cs="Arial" w:eastAsia="Arial" w:hAnsi="Arial"/>
                <w:sz w:val="14"/>
                <w:szCs w:val="14"/>
                <w:b w:val="1"/>
                <w:bCs w:val="1"/>
                <w:color w:val="auto"/>
              </w:rPr>
              <w:t>Description of Exhibit</w:t>
            </w:r>
          </w:p>
        </w:tc>
      </w:tr>
      <w:tr>
        <w:trPr>
          <w:trHeight w:val="298"/>
        </w:trPr>
        <w:tc>
          <w:tcPr>
            <w:tcW w:w="1360" w:type="dxa"/>
            <w:vAlign w:val="bottom"/>
            <w:gridSpan w:val="2"/>
          </w:tcPr>
          <w:p>
            <w:pPr>
              <w:spacing w:after="0"/>
              <w:rPr>
                <w:sz w:val="20"/>
                <w:szCs w:val="20"/>
                <w:color w:val="auto"/>
              </w:rPr>
            </w:pPr>
            <w:r>
              <w:rPr>
                <w:rFonts w:ascii="Arial" w:cs="Arial" w:eastAsia="Arial" w:hAnsi="Arial"/>
                <w:sz w:val="17"/>
                <w:szCs w:val="17"/>
                <w:color w:val="auto"/>
              </w:rPr>
              <w:t>10.10†</w:t>
            </w:r>
          </w:p>
        </w:tc>
        <w:tc>
          <w:tcPr>
            <w:tcW w:w="7700" w:type="dxa"/>
            <w:vAlign w:val="bottom"/>
            <w:gridSpan w:val="12"/>
          </w:tcPr>
          <w:p>
            <w:pPr>
              <w:spacing w:after="0"/>
              <w:rPr>
                <w:rFonts w:ascii="Arial" w:cs="Arial" w:eastAsia="Arial" w:hAnsi="Arial"/>
                <w:sz w:val="17"/>
                <w:szCs w:val="17"/>
                <w:color w:val="0000EE"/>
                <w:w w:val="93"/>
              </w:rPr>
            </w:pPr>
            <w:hyperlink r:id="rId90">
              <w:r>
                <w:rPr>
                  <w:rFonts w:ascii="Arial" w:cs="Arial" w:eastAsia="Arial" w:hAnsi="Arial"/>
                  <w:sz w:val="17"/>
                  <w:szCs w:val="17"/>
                  <w:color w:val="0000EE"/>
                  <w:w w:val="93"/>
                </w:rPr>
                <w:t>Tradeweb Markets Inc. 2019 Omnibus Equity Incentive Plan (incorporated by reference to Exhibit 10.10 to the</w:t>
              </w:r>
            </w:hyperlink>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120" w:type="dxa"/>
            <w:vAlign w:val="bottom"/>
            <w:tcBorders>
              <w:top w:val="single" w:sz="8" w:color="0000EE"/>
              <w:bottom w:val="single" w:sz="8" w:color="0000EE"/>
            </w:tcBorders>
            <w:gridSpan w:val="4"/>
          </w:tcPr>
          <w:p>
            <w:pPr>
              <w:spacing w:after="0" w:line="184" w:lineRule="exact"/>
              <w:rPr>
                <w:rFonts w:ascii="Arial" w:cs="Arial" w:eastAsia="Arial" w:hAnsi="Arial"/>
                <w:sz w:val="17"/>
                <w:szCs w:val="17"/>
                <w:color w:val="0000EE"/>
                <w:w w:val="91"/>
              </w:rPr>
            </w:pPr>
            <w:hyperlink r:id="rId90">
              <w:r>
                <w:rPr>
                  <w:rFonts w:ascii="Arial" w:cs="Arial" w:eastAsia="Arial" w:hAnsi="Arial"/>
                  <w:sz w:val="17"/>
                  <w:szCs w:val="17"/>
                  <w:color w:val="0000EE"/>
                  <w:w w:val="91"/>
                </w:rPr>
                <w:t>Company’s Quarterly Report on Form 10-Q filed on May 20, 2019 (File No. 001</w:t>
              </w:r>
              <w:r>
                <w:rPr>
                  <w:rFonts w:ascii="MS PGothic" w:cs="MS PGothic" w:eastAsia="MS PGothic" w:hAnsi="MS PGothic"/>
                  <w:sz w:val="17"/>
                  <w:szCs w:val="17"/>
                  <w:color w:val="0000EE"/>
                  <w:w w:val="91"/>
                </w:rPr>
                <w:t>‑</w:t>
              </w:r>
              <w:r>
                <w:rPr>
                  <w:rFonts w:ascii="Arial" w:cs="Arial" w:eastAsia="Arial" w:hAnsi="Arial"/>
                  <w:sz w:val="17"/>
                  <w:szCs w:val="17"/>
                  <w:color w:val="0000EE"/>
                  <w:w w:val="91"/>
                </w:rPr>
                <w:t>38860)).</w:t>
              </w:r>
            </w:hyperlink>
          </w:p>
        </w:tc>
        <w:tc>
          <w:tcPr>
            <w:tcW w:w="1400" w:type="dxa"/>
            <w:vAlign w:val="bottom"/>
            <w:tcBorders>
              <w:top w:val="single" w:sz="8" w:color="0000EE"/>
            </w:tcBorders>
            <w:gridSpan w:val="3"/>
          </w:tcPr>
          <w:p>
            <w:pPr>
              <w:spacing w:after="0"/>
              <w:rPr>
                <w:sz w:val="15"/>
                <w:szCs w:val="15"/>
                <w:color w:val="auto"/>
              </w:rPr>
            </w:pPr>
          </w:p>
        </w:tc>
        <w:tc>
          <w:tcPr>
            <w:tcW w:w="180" w:type="dxa"/>
            <w:vAlign w:val="bottom"/>
            <w:gridSpan w:val="5"/>
          </w:tcPr>
          <w:p>
            <w:pPr>
              <w:spacing w:after="0"/>
              <w:rPr>
                <w:sz w:val="15"/>
                <w:szCs w:val="15"/>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7"/>
                <w:szCs w:val="17"/>
                <w:color w:val="auto"/>
              </w:rPr>
              <w:t>10.11</w:t>
            </w:r>
          </w:p>
        </w:tc>
        <w:tc>
          <w:tcPr>
            <w:tcW w:w="220" w:type="dxa"/>
            <w:vAlign w:val="bottom"/>
          </w:tcPr>
          <w:p>
            <w:pPr>
              <w:spacing w:after="0"/>
              <w:rPr>
                <w:sz w:val="24"/>
                <w:szCs w:val="24"/>
                <w:color w:val="auto"/>
              </w:rPr>
            </w:pPr>
          </w:p>
        </w:tc>
        <w:tc>
          <w:tcPr>
            <w:tcW w:w="7700" w:type="dxa"/>
            <w:vAlign w:val="bottom"/>
            <w:gridSpan w:val="12"/>
          </w:tcPr>
          <w:p>
            <w:pPr>
              <w:spacing w:after="0"/>
              <w:rPr>
                <w:rFonts w:ascii="Arial" w:cs="Arial" w:eastAsia="Arial" w:hAnsi="Arial"/>
                <w:sz w:val="17"/>
                <w:szCs w:val="17"/>
                <w:color w:val="0000EE"/>
                <w:w w:val="97"/>
              </w:rPr>
            </w:pPr>
            <w:hyperlink r:id="rId91">
              <w:r>
                <w:rPr>
                  <w:rFonts w:ascii="Arial" w:cs="Arial" w:eastAsia="Arial" w:hAnsi="Arial"/>
                  <w:sz w:val="17"/>
                  <w:szCs w:val="17"/>
                  <w:color w:val="0000EE"/>
                  <w:w w:val="97"/>
                </w:rPr>
                <w:t>Form of Common Unit Purchase Agreement (incorporated by reference to Exhibit 10.6 to the Company’s</w:t>
              </w:r>
            </w:hyperlink>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20" w:type="dxa"/>
            <w:vAlign w:val="bottom"/>
            <w:tcBorders>
              <w:top w:val="single" w:sz="8" w:color="0000EE"/>
              <w:bottom w:val="single" w:sz="8" w:color="0000EE"/>
            </w:tcBorders>
            <w:gridSpan w:val="3"/>
          </w:tcPr>
          <w:p>
            <w:pPr>
              <w:spacing w:after="0" w:line="184" w:lineRule="exact"/>
              <w:rPr>
                <w:rFonts w:ascii="Arial" w:cs="Arial" w:eastAsia="Arial" w:hAnsi="Arial"/>
                <w:sz w:val="17"/>
                <w:szCs w:val="17"/>
                <w:color w:val="0000EE"/>
                <w:w w:val="90"/>
              </w:rPr>
            </w:pPr>
            <w:hyperlink r:id="rId91">
              <w:r>
                <w:rPr>
                  <w:rFonts w:ascii="Arial" w:cs="Arial" w:eastAsia="Arial" w:hAnsi="Arial"/>
                  <w:sz w:val="17"/>
                  <w:szCs w:val="17"/>
                  <w:color w:val="0000EE"/>
                  <w:w w:val="90"/>
                </w:rPr>
                <w:t>Registration Statement on Form S-1 (File No. 333-230115)).</w:t>
              </w:r>
            </w:hyperlink>
          </w:p>
        </w:tc>
        <w:tc>
          <w:tcPr>
            <w:tcW w:w="3020" w:type="dxa"/>
            <w:vAlign w:val="bottom"/>
            <w:tcBorders>
              <w:top w:val="single" w:sz="8" w:color="0000EE"/>
            </w:tcBorders>
            <w:gridSpan w:val="3"/>
          </w:tcPr>
          <w:p>
            <w:pPr>
              <w:spacing w:after="0"/>
              <w:rPr>
                <w:sz w:val="15"/>
                <w:szCs w:val="15"/>
                <w:color w:val="auto"/>
              </w:rPr>
            </w:pPr>
          </w:p>
        </w:tc>
        <w:tc>
          <w:tcPr>
            <w:tcW w:w="560" w:type="dxa"/>
            <w:vAlign w:val="bottom"/>
            <w:gridSpan w:val="6"/>
          </w:tcPr>
          <w:p>
            <w:pPr>
              <w:spacing w:after="0"/>
              <w:rPr>
                <w:sz w:val="15"/>
                <w:szCs w:val="15"/>
                <w:color w:val="auto"/>
              </w:rPr>
            </w:pPr>
          </w:p>
        </w:tc>
      </w:tr>
      <w:tr>
        <w:trPr>
          <w:trHeight w:val="387"/>
        </w:trPr>
        <w:tc>
          <w:tcPr>
            <w:tcW w:w="1140" w:type="dxa"/>
            <w:vAlign w:val="bottom"/>
          </w:tcPr>
          <w:p>
            <w:pPr>
              <w:spacing w:after="0"/>
              <w:rPr>
                <w:sz w:val="20"/>
                <w:szCs w:val="20"/>
                <w:color w:val="auto"/>
              </w:rPr>
            </w:pPr>
            <w:r>
              <w:rPr>
                <w:rFonts w:ascii="Arial" w:cs="Arial" w:eastAsia="Arial" w:hAnsi="Arial"/>
                <w:sz w:val="17"/>
                <w:szCs w:val="17"/>
                <w:color w:val="auto"/>
              </w:rPr>
              <w:t>31.1*</w:t>
            </w:r>
          </w:p>
        </w:tc>
        <w:tc>
          <w:tcPr>
            <w:tcW w:w="220" w:type="dxa"/>
            <w:vAlign w:val="bottom"/>
          </w:tcPr>
          <w:p>
            <w:pPr>
              <w:spacing w:after="0"/>
              <w:rPr>
                <w:sz w:val="24"/>
                <w:szCs w:val="24"/>
                <w:color w:val="auto"/>
              </w:rPr>
            </w:pPr>
          </w:p>
        </w:tc>
        <w:tc>
          <w:tcPr>
            <w:tcW w:w="7620" w:type="dxa"/>
            <w:vAlign w:val="bottom"/>
            <w:tcBorders>
              <w:bottom w:val="single" w:sz="8" w:color="0000EE"/>
            </w:tcBorders>
            <w:gridSpan w:val="11"/>
          </w:tcPr>
          <w:p>
            <w:pPr>
              <w:spacing w:after="0" w:line="196" w:lineRule="exact"/>
              <w:rPr>
                <w:rFonts w:ascii="Arial" w:cs="Arial" w:eastAsia="Arial" w:hAnsi="Arial"/>
                <w:sz w:val="17"/>
                <w:szCs w:val="17"/>
                <w:color w:val="0000EE"/>
                <w:w w:val="91"/>
              </w:rPr>
            </w:pPr>
            <w:hyperlink w:anchor="page78">
              <w:r>
                <w:rPr>
                  <w:rFonts w:ascii="Arial" w:cs="Arial" w:eastAsia="Arial" w:hAnsi="Arial"/>
                  <w:sz w:val="17"/>
                  <w:szCs w:val="17"/>
                  <w:color w:val="0000EE"/>
                  <w:w w:val="91"/>
                </w:rPr>
                <w:t>Certification of Chief Executive Officer pursuant to Rule 13a</w:t>
              </w:r>
              <w:r>
                <w:rPr>
                  <w:rFonts w:ascii="MS PGothic" w:cs="MS PGothic" w:eastAsia="MS PGothic" w:hAnsi="MS PGothic"/>
                  <w:sz w:val="17"/>
                  <w:szCs w:val="17"/>
                  <w:color w:val="0000EE"/>
                  <w:w w:val="91"/>
                </w:rPr>
                <w:t>‑</w:t>
              </w:r>
              <w:r>
                <w:rPr>
                  <w:rFonts w:ascii="Arial" w:cs="Arial" w:eastAsia="Arial" w:hAnsi="Arial"/>
                  <w:sz w:val="17"/>
                  <w:szCs w:val="17"/>
                  <w:color w:val="0000EE"/>
                  <w:w w:val="91"/>
                </w:rPr>
                <w:t>14(a) or 15d</w:t>
              </w:r>
              <w:r>
                <w:rPr>
                  <w:rFonts w:ascii="MS PGothic" w:cs="MS PGothic" w:eastAsia="MS PGothic" w:hAnsi="MS PGothic"/>
                  <w:sz w:val="17"/>
                  <w:szCs w:val="17"/>
                  <w:color w:val="0000EE"/>
                  <w:w w:val="91"/>
                </w:rPr>
                <w:t>‑</w:t>
              </w:r>
              <w:r>
                <w:rPr>
                  <w:rFonts w:ascii="Arial" w:cs="Arial" w:eastAsia="Arial" w:hAnsi="Arial"/>
                  <w:sz w:val="17"/>
                  <w:szCs w:val="17"/>
                  <w:color w:val="0000EE"/>
                  <w:w w:val="91"/>
                </w:rPr>
                <w:t>14(a) of the Securities Exchange Act</w:t>
              </w:r>
            </w:hyperlink>
          </w:p>
        </w:tc>
        <w:tc>
          <w:tcPr>
            <w:tcW w:w="8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gridSpan w:val="12"/>
          </w:tcPr>
          <w:p>
            <w:pPr>
              <w:spacing w:after="0" w:line="184" w:lineRule="exact"/>
              <w:rPr>
                <w:rFonts w:ascii="Arial" w:cs="Arial" w:eastAsia="Arial" w:hAnsi="Arial"/>
                <w:sz w:val="17"/>
                <w:szCs w:val="17"/>
                <w:color w:val="0000EE"/>
              </w:rPr>
            </w:pPr>
            <w:hyperlink w:anchor="page78">
              <w:r>
                <w:rPr>
                  <w:rFonts w:ascii="Arial" w:cs="Arial" w:eastAsia="Arial" w:hAnsi="Arial"/>
                  <w:sz w:val="17"/>
                  <w:szCs w:val="17"/>
                  <w:color w:val="0000EE"/>
                </w:rPr>
                <w:t>of 1934, as amended, as adopted pursuant to Section 302 of the Sarbanes-Oxley Act of 2002.</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7"/>
                <w:szCs w:val="17"/>
                <w:color w:val="auto"/>
              </w:rPr>
              <w:t>31.2*</w:t>
            </w:r>
          </w:p>
        </w:tc>
        <w:tc>
          <w:tcPr>
            <w:tcW w:w="220" w:type="dxa"/>
            <w:vAlign w:val="bottom"/>
          </w:tcPr>
          <w:p>
            <w:pPr>
              <w:spacing w:after="0"/>
              <w:rPr>
                <w:sz w:val="24"/>
                <w:szCs w:val="24"/>
                <w:color w:val="auto"/>
              </w:rPr>
            </w:pPr>
          </w:p>
        </w:tc>
        <w:tc>
          <w:tcPr>
            <w:tcW w:w="7580" w:type="dxa"/>
            <w:vAlign w:val="bottom"/>
            <w:tcBorders>
              <w:bottom w:val="single" w:sz="8" w:color="0000EE"/>
            </w:tcBorders>
            <w:gridSpan w:val="9"/>
          </w:tcPr>
          <w:p>
            <w:pPr>
              <w:spacing w:after="0" w:line="196" w:lineRule="exact"/>
              <w:rPr>
                <w:rFonts w:ascii="Arial" w:cs="Arial" w:eastAsia="Arial" w:hAnsi="Arial"/>
                <w:sz w:val="17"/>
                <w:szCs w:val="17"/>
                <w:color w:val="0000EE"/>
                <w:w w:val="91"/>
              </w:rPr>
            </w:pPr>
            <w:hyperlink w:anchor="page79">
              <w:r>
                <w:rPr>
                  <w:rFonts w:ascii="Arial" w:cs="Arial" w:eastAsia="Arial" w:hAnsi="Arial"/>
                  <w:sz w:val="17"/>
                  <w:szCs w:val="17"/>
                  <w:color w:val="0000EE"/>
                  <w:w w:val="91"/>
                </w:rPr>
                <w:t>Certification of Chief Financial Officer pursuant to Rule 13a</w:t>
              </w:r>
              <w:r>
                <w:rPr>
                  <w:rFonts w:ascii="MS PGothic" w:cs="MS PGothic" w:eastAsia="MS PGothic" w:hAnsi="MS PGothic"/>
                  <w:sz w:val="17"/>
                  <w:szCs w:val="17"/>
                  <w:color w:val="0000EE"/>
                  <w:w w:val="91"/>
                </w:rPr>
                <w:t>‑</w:t>
              </w:r>
              <w:r>
                <w:rPr>
                  <w:rFonts w:ascii="Arial" w:cs="Arial" w:eastAsia="Arial" w:hAnsi="Arial"/>
                  <w:sz w:val="17"/>
                  <w:szCs w:val="17"/>
                  <w:color w:val="0000EE"/>
                  <w:w w:val="91"/>
                </w:rPr>
                <w:t>14(a) or 15d</w:t>
              </w:r>
              <w:r>
                <w:rPr>
                  <w:rFonts w:ascii="MS PGothic" w:cs="MS PGothic" w:eastAsia="MS PGothic" w:hAnsi="MS PGothic"/>
                  <w:sz w:val="17"/>
                  <w:szCs w:val="17"/>
                  <w:color w:val="0000EE"/>
                  <w:w w:val="91"/>
                </w:rPr>
                <w:t>‑</w:t>
              </w:r>
              <w:r>
                <w:rPr>
                  <w:rFonts w:ascii="Arial" w:cs="Arial" w:eastAsia="Arial" w:hAnsi="Arial"/>
                  <w:sz w:val="17"/>
                  <w:szCs w:val="17"/>
                  <w:color w:val="0000EE"/>
                  <w:w w:val="91"/>
                </w:rPr>
                <w:t>14(a) of the Securities Exchange Act</w:t>
              </w:r>
            </w:hyperlink>
          </w:p>
        </w:tc>
        <w:tc>
          <w:tcPr>
            <w:tcW w:w="120" w:type="dxa"/>
            <w:vAlign w:val="bottom"/>
            <w:gridSpan w:val="3"/>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gridSpan w:val="12"/>
          </w:tcPr>
          <w:p>
            <w:pPr>
              <w:spacing w:after="0" w:line="184" w:lineRule="exact"/>
              <w:rPr>
                <w:rFonts w:ascii="Arial" w:cs="Arial" w:eastAsia="Arial" w:hAnsi="Arial"/>
                <w:sz w:val="17"/>
                <w:szCs w:val="17"/>
                <w:color w:val="0000EE"/>
              </w:rPr>
            </w:pPr>
            <w:hyperlink w:anchor="page79">
              <w:r>
                <w:rPr>
                  <w:rFonts w:ascii="Arial" w:cs="Arial" w:eastAsia="Arial" w:hAnsi="Arial"/>
                  <w:sz w:val="17"/>
                  <w:szCs w:val="17"/>
                  <w:color w:val="0000EE"/>
                </w:rPr>
                <w:t>of 1934, as amended, as adopted pursuant to Section 302 of the Sarbanes-Oxley Act of 2002.</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7"/>
                <w:szCs w:val="17"/>
                <w:color w:val="auto"/>
              </w:rPr>
              <w:t>32.1*</w:t>
            </w:r>
          </w:p>
        </w:tc>
        <w:tc>
          <w:tcPr>
            <w:tcW w:w="220" w:type="dxa"/>
            <w:vAlign w:val="bottom"/>
          </w:tcPr>
          <w:p>
            <w:pPr>
              <w:spacing w:after="0"/>
              <w:rPr>
                <w:sz w:val="24"/>
                <w:szCs w:val="24"/>
                <w:color w:val="auto"/>
              </w:rPr>
            </w:pPr>
          </w:p>
        </w:tc>
        <w:tc>
          <w:tcPr>
            <w:tcW w:w="7700" w:type="dxa"/>
            <w:vAlign w:val="bottom"/>
            <w:gridSpan w:val="12"/>
          </w:tcPr>
          <w:p>
            <w:pPr>
              <w:spacing w:after="0"/>
              <w:rPr>
                <w:rFonts w:ascii="Arial" w:cs="Arial" w:eastAsia="Arial" w:hAnsi="Arial"/>
                <w:sz w:val="17"/>
                <w:szCs w:val="17"/>
                <w:color w:val="0000EE"/>
                <w:w w:val="91"/>
              </w:rPr>
            </w:pPr>
            <w:hyperlink w:anchor="page80">
              <w:r>
                <w:rPr>
                  <w:rFonts w:ascii="Arial" w:cs="Arial" w:eastAsia="Arial" w:hAnsi="Arial"/>
                  <w:sz w:val="17"/>
                  <w:szCs w:val="17"/>
                  <w:color w:val="0000EE"/>
                  <w:w w:val="91"/>
                </w:rPr>
                <w:t>Certification of Chief Executive Officer pursuant to 18 U.S.C. Section 1350, as adopted pursuant to Section 906</w:t>
              </w:r>
            </w:hyperlink>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tcBorders>
              <w:top w:val="single" w:sz="8" w:color="0000EE"/>
              <w:bottom w:val="single" w:sz="8" w:color="0000EE"/>
            </w:tcBorders>
            <w:gridSpan w:val="2"/>
          </w:tcPr>
          <w:p>
            <w:pPr>
              <w:spacing w:after="0" w:line="184" w:lineRule="exact"/>
              <w:rPr>
                <w:rFonts w:ascii="Arial" w:cs="Arial" w:eastAsia="Arial" w:hAnsi="Arial"/>
                <w:sz w:val="17"/>
                <w:szCs w:val="17"/>
                <w:color w:val="0000EE"/>
                <w:w w:val="91"/>
              </w:rPr>
            </w:pPr>
            <w:hyperlink w:anchor="page80">
              <w:r>
                <w:rPr>
                  <w:rFonts w:ascii="Arial" w:cs="Arial" w:eastAsia="Arial" w:hAnsi="Arial"/>
                  <w:sz w:val="17"/>
                  <w:szCs w:val="17"/>
                  <w:color w:val="0000EE"/>
                  <w:w w:val="91"/>
                </w:rPr>
                <w:t>of the Sarbanes-Oxley Act of 2002.</w:t>
              </w:r>
            </w:hyperlink>
          </w:p>
        </w:tc>
        <w:tc>
          <w:tcPr>
            <w:tcW w:w="5160" w:type="dxa"/>
            <w:vAlign w:val="bottom"/>
            <w:tcBorders>
              <w:top w:val="single" w:sz="8" w:color="0000EE"/>
            </w:tcBorders>
            <w:gridSpan w:val="8"/>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7"/>
                <w:szCs w:val="17"/>
                <w:color w:val="auto"/>
              </w:rPr>
              <w:t>32.2*</w:t>
            </w:r>
          </w:p>
        </w:tc>
        <w:tc>
          <w:tcPr>
            <w:tcW w:w="220" w:type="dxa"/>
            <w:vAlign w:val="bottom"/>
          </w:tcPr>
          <w:p>
            <w:pPr>
              <w:spacing w:after="0"/>
              <w:rPr>
                <w:sz w:val="24"/>
                <w:szCs w:val="24"/>
                <w:color w:val="auto"/>
              </w:rPr>
            </w:pPr>
          </w:p>
        </w:tc>
        <w:tc>
          <w:tcPr>
            <w:tcW w:w="7560" w:type="dxa"/>
            <w:vAlign w:val="bottom"/>
            <w:tcBorders>
              <w:bottom w:val="single" w:sz="8" w:color="0000EE"/>
            </w:tcBorders>
            <w:gridSpan w:val="8"/>
          </w:tcPr>
          <w:p>
            <w:pPr>
              <w:spacing w:after="0"/>
              <w:rPr>
                <w:rFonts w:ascii="Arial" w:cs="Arial" w:eastAsia="Arial" w:hAnsi="Arial"/>
                <w:sz w:val="17"/>
                <w:szCs w:val="17"/>
                <w:color w:val="0000EE"/>
                <w:w w:val="90"/>
              </w:rPr>
            </w:pPr>
            <w:hyperlink w:anchor="page81">
              <w:r>
                <w:rPr>
                  <w:rFonts w:ascii="Arial" w:cs="Arial" w:eastAsia="Arial" w:hAnsi="Arial"/>
                  <w:sz w:val="17"/>
                  <w:szCs w:val="17"/>
                  <w:color w:val="0000EE"/>
                  <w:w w:val="90"/>
                </w:rPr>
                <w:t>Certification of Chief Financial Officer pursuant to 18 U.S.C. Section 1350, as adopted pursuant to Section 906</w:t>
              </w:r>
            </w:hyperlink>
          </w:p>
        </w:tc>
        <w:tc>
          <w:tcPr>
            <w:tcW w:w="140" w:type="dxa"/>
            <w:vAlign w:val="bottom"/>
            <w:gridSpan w:val="4"/>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20" w:type="dxa"/>
            <w:vAlign w:val="bottom"/>
            <w:tcBorders>
              <w:bottom w:val="single" w:sz="8" w:color="0000EE"/>
            </w:tcBorders>
          </w:tcPr>
          <w:p>
            <w:pPr>
              <w:spacing w:after="0" w:line="184" w:lineRule="exact"/>
              <w:rPr>
                <w:rFonts w:ascii="Arial" w:cs="Arial" w:eastAsia="Arial" w:hAnsi="Arial"/>
                <w:sz w:val="17"/>
                <w:szCs w:val="17"/>
                <w:color w:val="0000EE"/>
                <w:w w:val="90"/>
              </w:rPr>
            </w:pPr>
            <w:hyperlink w:anchor="page81">
              <w:r>
                <w:rPr>
                  <w:rFonts w:ascii="Arial" w:cs="Arial" w:eastAsia="Arial" w:hAnsi="Arial"/>
                  <w:sz w:val="17"/>
                  <w:szCs w:val="17"/>
                  <w:color w:val="0000EE"/>
                  <w:w w:val="90"/>
                </w:rPr>
                <w:t>of the Sarbanes-Oxley Act of 2002.</w:t>
              </w:r>
            </w:hyperlink>
          </w:p>
        </w:tc>
        <w:tc>
          <w:tcPr>
            <w:tcW w:w="5280" w:type="dxa"/>
            <w:vAlign w:val="bottom"/>
            <w:gridSpan w:val="11"/>
          </w:tcPr>
          <w:p>
            <w:pPr>
              <w:spacing w:after="0"/>
              <w:rPr>
                <w:sz w:val="15"/>
                <w:szCs w:val="15"/>
                <w:color w:val="auto"/>
              </w:rPr>
            </w:pPr>
          </w:p>
        </w:tc>
      </w:tr>
      <w:tr>
        <w:trPr>
          <w:trHeight w:val="360"/>
        </w:trPr>
        <w:tc>
          <w:tcPr>
            <w:tcW w:w="1360" w:type="dxa"/>
            <w:vAlign w:val="bottom"/>
            <w:gridSpan w:val="2"/>
          </w:tcPr>
          <w:p>
            <w:pPr>
              <w:spacing w:after="0"/>
              <w:rPr>
                <w:sz w:val="20"/>
                <w:szCs w:val="20"/>
                <w:color w:val="auto"/>
              </w:rPr>
            </w:pPr>
            <w:r>
              <w:rPr>
                <w:rFonts w:ascii="Arial" w:cs="Arial" w:eastAsia="Arial" w:hAnsi="Arial"/>
                <w:sz w:val="17"/>
                <w:szCs w:val="17"/>
                <w:color w:val="auto"/>
              </w:rPr>
              <w:t>101.INS*</w:t>
            </w:r>
          </w:p>
        </w:tc>
        <w:tc>
          <w:tcPr>
            <w:tcW w:w="7700" w:type="dxa"/>
            <w:vAlign w:val="bottom"/>
            <w:gridSpan w:val="12"/>
          </w:tcPr>
          <w:p>
            <w:pPr>
              <w:spacing w:after="0"/>
              <w:rPr>
                <w:sz w:val="20"/>
                <w:szCs w:val="20"/>
                <w:color w:val="auto"/>
              </w:rPr>
            </w:pPr>
            <w:r>
              <w:rPr>
                <w:rFonts w:ascii="Arial" w:cs="Arial" w:eastAsia="Arial" w:hAnsi="Arial"/>
                <w:sz w:val="17"/>
                <w:szCs w:val="17"/>
                <w:color w:val="auto"/>
              </w:rPr>
              <w:t>XBRL Instance Document.</w:t>
            </w:r>
          </w:p>
        </w:tc>
      </w:tr>
      <w:tr>
        <w:trPr>
          <w:trHeight w:val="343"/>
        </w:trPr>
        <w:tc>
          <w:tcPr>
            <w:tcW w:w="1360" w:type="dxa"/>
            <w:vAlign w:val="bottom"/>
            <w:gridSpan w:val="2"/>
          </w:tcPr>
          <w:p>
            <w:pPr>
              <w:spacing w:after="0"/>
              <w:rPr>
                <w:sz w:val="20"/>
                <w:szCs w:val="20"/>
                <w:color w:val="auto"/>
              </w:rPr>
            </w:pPr>
            <w:r>
              <w:rPr>
                <w:rFonts w:ascii="Arial" w:cs="Arial" w:eastAsia="Arial" w:hAnsi="Arial"/>
                <w:sz w:val="17"/>
                <w:szCs w:val="17"/>
                <w:color w:val="auto"/>
              </w:rPr>
              <w:t>101.SCH*</w:t>
            </w:r>
          </w:p>
        </w:tc>
        <w:tc>
          <w:tcPr>
            <w:tcW w:w="7700" w:type="dxa"/>
            <w:vAlign w:val="bottom"/>
            <w:gridSpan w:val="12"/>
          </w:tcPr>
          <w:p>
            <w:pPr>
              <w:spacing w:after="0"/>
              <w:rPr>
                <w:sz w:val="20"/>
                <w:szCs w:val="20"/>
                <w:color w:val="auto"/>
              </w:rPr>
            </w:pPr>
            <w:r>
              <w:rPr>
                <w:rFonts w:ascii="Arial" w:cs="Arial" w:eastAsia="Arial" w:hAnsi="Arial"/>
                <w:sz w:val="17"/>
                <w:szCs w:val="17"/>
                <w:color w:val="auto"/>
              </w:rPr>
              <w:t>XBRL Taxonomy Extension Schema Document.</w:t>
            </w:r>
          </w:p>
        </w:tc>
      </w:tr>
      <w:tr>
        <w:trPr>
          <w:trHeight w:val="343"/>
        </w:trPr>
        <w:tc>
          <w:tcPr>
            <w:tcW w:w="1360" w:type="dxa"/>
            <w:vAlign w:val="bottom"/>
            <w:gridSpan w:val="2"/>
          </w:tcPr>
          <w:p>
            <w:pPr>
              <w:spacing w:after="0"/>
              <w:rPr>
                <w:sz w:val="20"/>
                <w:szCs w:val="20"/>
                <w:color w:val="auto"/>
              </w:rPr>
            </w:pPr>
            <w:r>
              <w:rPr>
                <w:rFonts w:ascii="Arial" w:cs="Arial" w:eastAsia="Arial" w:hAnsi="Arial"/>
                <w:sz w:val="17"/>
                <w:szCs w:val="17"/>
                <w:color w:val="auto"/>
              </w:rPr>
              <w:t>101.CAL*</w:t>
            </w:r>
          </w:p>
        </w:tc>
        <w:tc>
          <w:tcPr>
            <w:tcW w:w="7700" w:type="dxa"/>
            <w:vAlign w:val="bottom"/>
            <w:gridSpan w:val="12"/>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343"/>
        </w:trPr>
        <w:tc>
          <w:tcPr>
            <w:tcW w:w="1360" w:type="dxa"/>
            <w:vAlign w:val="bottom"/>
            <w:gridSpan w:val="2"/>
          </w:tcPr>
          <w:p>
            <w:pPr>
              <w:spacing w:after="0"/>
              <w:rPr>
                <w:sz w:val="20"/>
                <w:szCs w:val="20"/>
                <w:color w:val="auto"/>
              </w:rPr>
            </w:pPr>
            <w:r>
              <w:rPr>
                <w:rFonts w:ascii="Arial" w:cs="Arial" w:eastAsia="Arial" w:hAnsi="Arial"/>
                <w:sz w:val="17"/>
                <w:szCs w:val="17"/>
                <w:color w:val="auto"/>
              </w:rPr>
              <w:t>101.DEF*</w:t>
            </w:r>
          </w:p>
        </w:tc>
        <w:tc>
          <w:tcPr>
            <w:tcW w:w="7700" w:type="dxa"/>
            <w:vAlign w:val="bottom"/>
            <w:gridSpan w:val="12"/>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343"/>
        </w:trPr>
        <w:tc>
          <w:tcPr>
            <w:tcW w:w="1360" w:type="dxa"/>
            <w:vAlign w:val="bottom"/>
            <w:gridSpan w:val="2"/>
          </w:tcPr>
          <w:p>
            <w:pPr>
              <w:spacing w:after="0"/>
              <w:rPr>
                <w:sz w:val="20"/>
                <w:szCs w:val="20"/>
                <w:color w:val="auto"/>
              </w:rPr>
            </w:pPr>
            <w:r>
              <w:rPr>
                <w:rFonts w:ascii="Arial" w:cs="Arial" w:eastAsia="Arial" w:hAnsi="Arial"/>
                <w:sz w:val="17"/>
                <w:szCs w:val="17"/>
                <w:color w:val="auto"/>
              </w:rPr>
              <w:t>101.LAB*</w:t>
            </w:r>
          </w:p>
        </w:tc>
        <w:tc>
          <w:tcPr>
            <w:tcW w:w="7700" w:type="dxa"/>
            <w:vAlign w:val="bottom"/>
            <w:gridSpan w:val="12"/>
          </w:tcPr>
          <w:p>
            <w:pPr>
              <w:spacing w:after="0"/>
              <w:rPr>
                <w:sz w:val="20"/>
                <w:szCs w:val="20"/>
                <w:color w:val="auto"/>
              </w:rPr>
            </w:pPr>
            <w:r>
              <w:rPr>
                <w:rFonts w:ascii="Arial" w:cs="Arial" w:eastAsia="Arial" w:hAnsi="Arial"/>
                <w:sz w:val="17"/>
                <w:szCs w:val="17"/>
                <w:color w:val="auto"/>
              </w:rPr>
              <w:t>XBRL Taxonomy Extension Label Linkbase Document.</w:t>
            </w:r>
          </w:p>
        </w:tc>
      </w:tr>
      <w:tr>
        <w:trPr>
          <w:trHeight w:val="343"/>
        </w:trPr>
        <w:tc>
          <w:tcPr>
            <w:tcW w:w="1360" w:type="dxa"/>
            <w:vAlign w:val="bottom"/>
            <w:gridSpan w:val="2"/>
          </w:tcPr>
          <w:p>
            <w:pPr>
              <w:spacing w:after="0"/>
              <w:rPr>
                <w:sz w:val="20"/>
                <w:szCs w:val="20"/>
                <w:color w:val="auto"/>
              </w:rPr>
            </w:pPr>
            <w:r>
              <w:rPr>
                <w:rFonts w:ascii="Arial" w:cs="Arial" w:eastAsia="Arial" w:hAnsi="Arial"/>
                <w:sz w:val="17"/>
                <w:szCs w:val="17"/>
                <w:color w:val="auto"/>
              </w:rPr>
              <w:t>101.PRE*</w:t>
            </w:r>
          </w:p>
        </w:tc>
        <w:tc>
          <w:tcPr>
            <w:tcW w:w="7700" w:type="dxa"/>
            <w:vAlign w:val="bottom"/>
            <w:gridSpan w:val="12"/>
          </w:tcPr>
          <w:p>
            <w:pPr>
              <w:spacing w:after="0"/>
              <w:rPr>
                <w:sz w:val="20"/>
                <w:szCs w:val="20"/>
                <w:color w:val="auto"/>
              </w:rPr>
            </w:pPr>
            <w:r>
              <w:rPr>
                <w:rFonts w:ascii="Arial" w:cs="Arial" w:eastAsia="Arial" w:hAnsi="Arial"/>
                <w:sz w:val="17"/>
                <w:szCs w:val="17"/>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14363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1436370" cy="8255"/>
                    </a:xfrm>
                    <a:prstGeom prst="rect">
                      <a:avLst/>
                    </a:prstGeom>
                    <a:noFill/>
                  </pic:spPr>
                </pic:pic>
              </a:graphicData>
            </a:graphic>
          </wp:anchor>
        </w:drawing>
      </w:r>
    </w:p>
    <w:p>
      <w:pPr>
        <w:spacing w:after="0" w:line="184" w:lineRule="exact"/>
        <w:rPr>
          <w:sz w:val="20"/>
          <w:szCs w:val="20"/>
          <w:color w:val="auto"/>
        </w:rPr>
      </w:pPr>
    </w:p>
    <w:p>
      <w:pPr>
        <w:ind w:left="282" w:hanging="282"/>
        <w:spacing w:after="0"/>
        <w:tabs>
          <w:tab w:leader="none" w:pos="282" w:val="left"/>
        </w:tabs>
        <w:numPr>
          <w:ilvl w:val="0"/>
          <w:numId w:val="45"/>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11" w:lineRule="exact"/>
        <w:rPr>
          <w:sz w:val="20"/>
          <w:szCs w:val="20"/>
          <w:color w:val="auto"/>
        </w:rPr>
      </w:pPr>
    </w:p>
    <w:p>
      <w:pPr>
        <w:ind w:left="4442" w:right="3920" w:hanging="4442"/>
        <w:spacing w:after="0" w:line="907" w:lineRule="auto"/>
        <w:tabs>
          <w:tab w:leader="none" w:pos="279"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Indicates a management contract or compensatory plan or arrangement.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5753735" cy="241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5753735" cy="24130"/>
                    </a:xfrm>
                    <a:prstGeom prst="rect">
                      <a:avLst/>
                    </a:prstGeom>
                    <a:noFill/>
                  </pic:spPr>
                </pic:pic>
              </a:graphicData>
            </a:graphic>
          </wp:anchor>
        </w:drawing>
      </w:r>
    </w:p>
    <w:p>
      <w:pPr>
        <w:sectPr>
          <w:pgSz w:w="11900" w:h="16838" w:orient="portrait"/>
          <w:cols w:equalWidth="0" w:num="1">
            <w:col w:w="9062"/>
          </w:cols>
          <w:pgMar w:left="1418" w:top="127" w:right="1419" w:bottom="1440" w:gutter="0" w:footer="0" w:header="0"/>
        </w:sectPr>
      </w:pPr>
    </w:p>
    <w:bookmarkStart w:id="76" w:name="page77"/>
    <w:bookmarkEnd w:id="7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15" w:lineRule="exact"/>
        <w:rPr>
          <w:sz w:val="20"/>
          <w:szCs w:val="20"/>
          <w:color w:val="auto"/>
        </w:rPr>
      </w:pPr>
    </w:p>
    <w:p>
      <w:pPr>
        <w:ind w:right="20" w:firstLine="305"/>
        <w:spacing w:after="0" w:line="27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7"/>
                <w:szCs w:val="17"/>
                <w:b w:val="1"/>
                <w:bCs w:val="1"/>
                <w:color w:val="auto"/>
              </w:rPr>
              <w:t>TRADEWEB MARKETS INC.</w:t>
            </w:r>
          </w:p>
        </w:tc>
      </w:tr>
      <w:tr>
        <w:trPr>
          <w:trHeight w:val="610"/>
        </w:trPr>
        <w:tc>
          <w:tcPr>
            <w:tcW w:w="2780" w:type="dxa"/>
            <w:vAlign w:val="bottom"/>
          </w:tcPr>
          <w:p>
            <w:pPr>
              <w:spacing w:after="0"/>
              <w:rPr>
                <w:sz w:val="20"/>
                <w:szCs w:val="20"/>
                <w:color w:val="auto"/>
              </w:rPr>
            </w:pPr>
            <w:r>
              <w:rPr>
                <w:rFonts w:ascii="Arial" w:cs="Arial" w:eastAsia="Arial" w:hAnsi="Arial"/>
                <w:sz w:val="17"/>
                <w:szCs w:val="17"/>
                <w:color w:val="auto"/>
              </w:rPr>
              <w:t>August 12, 2019</w:t>
            </w:r>
          </w:p>
        </w:tc>
        <w:tc>
          <w:tcPr>
            <w:tcW w:w="1760" w:type="dxa"/>
            <w:vAlign w:val="bottom"/>
          </w:tcPr>
          <w:p>
            <w:pPr>
              <w:spacing w:after="0"/>
              <w:rPr>
                <w:sz w:val="24"/>
                <w:szCs w:val="24"/>
                <w:color w:val="auto"/>
              </w:rPr>
            </w:pP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Lee Olesky</w:t>
            </w:r>
          </w:p>
        </w:tc>
      </w:tr>
      <w:tr>
        <w:trPr>
          <w:trHeight w:val="184"/>
        </w:trPr>
        <w:tc>
          <w:tcPr>
            <w:tcW w:w="2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20" w:type="dxa"/>
            <w:vAlign w:val="bottom"/>
          </w:tcPr>
          <w:p>
            <w:pPr>
              <w:spacing w:after="0" w:line="184" w:lineRule="exact"/>
              <w:rPr>
                <w:sz w:val="20"/>
                <w:szCs w:val="20"/>
                <w:color w:val="auto"/>
              </w:rPr>
            </w:pPr>
            <w:r>
              <w:rPr>
                <w:rFonts w:ascii="Arial" w:cs="Arial" w:eastAsia="Arial" w:hAnsi="Arial"/>
                <w:sz w:val="17"/>
                <w:szCs w:val="17"/>
                <w:color w:val="auto"/>
              </w:rPr>
              <w:t>By:</w:t>
            </w:r>
          </w:p>
        </w:tc>
        <w:tc>
          <w:tcPr>
            <w:tcW w:w="4200" w:type="dxa"/>
            <w:vAlign w:val="bottom"/>
          </w:tcPr>
          <w:p>
            <w:pPr>
              <w:ind w:left="60"/>
              <w:spacing w:after="0" w:line="184" w:lineRule="exact"/>
              <w:rPr>
                <w:sz w:val="20"/>
                <w:szCs w:val="20"/>
                <w:color w:val="auto"/>
              </w:rPr>
            </w:pPr>
            <w:r>
              <w:rPr>
                <w:rFonts w:ascii="Arial" w:cs="Arial" w:eastAsia="Arial" w:hAnsi="Arial"/>
                <w:sz w:val="17"/>
                <w:szCs w:val="17"/>
                <w:color w:val="auto"/>
              </w:rPr>
              <w:t>Lee Olesky</w:t>
            </w:r>
          </w:p>
        </w:tc>
      </w:tr>
      <w:tr>
        <w:trPr>
          <w:trHeight w:val="215"/>
        </w:trPr>
        <w:tc>
          <w:tcPr>
            <w:tcW w:w="2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0" w:type="dxa"/>
            <w:vAlign w:val="bottom"/>
          </w:tcPr>
          <w:p>
            <w:pPr>
              <w:ind w:left="60"/>
              <w:spacing w:after="0"/>
              <w:rPr>
                <w:sz w:val="20"/>
                <w:szCs w:val="20"/>
                <w:color w:val="auto"/>
              </w:rPr>
            </w:pPr>
            <w:r>
              <w:rPr>
                <w:rFonts w:ascii="Arial" w:cs="Arial" w:eastAsia="Arial" w:hAnsi="Arial"/>
                <w:sz w:val="17"/>
                <w:szCs w:val="17"/>
                <w:color w:val="auto"/>
              </w:rPr>
              <w:t>Chief Executive Officer (Principal Executive Officer)</w:t>
            </w:r>
          </w:p>
        </w:tc>
      </w:tr>
      <w:tr>
        <w:trPr>
          <w:trHeight w:val="610"/>
        </w:trPr>
        <w:tc>
          <w:tcPr>
            <w:tcW w:w="2780" w:type="dxa"/>
            <w:vAlign w:val="bottom"/>
          </w:tcPr>
          <w:p>
            <w:pPr>
              <w:spacing w:after="0"/>
              <w:rPr>
                <w:sz w:val="20"/>
                <w:szCs w:val="20"/>
                <w:color w:val="auto"/>
              </w:rPr>
            </w:pPr>
            <w:r>
              <w:rPr>
                <w:rFonts w:ascii="Arial" w:cs="Arial" w:eastAsia="Arial" w:hAnsi="Arial"/>
                <w:sz w:val="17"/>
                <w:szCs w:val="17"/>
                <w:color w:val="auto"/>
              </w:rPr>
              <w:t>August 12, 2019</w:t>
            </w:r>
          </w:p>
        </w:tc>
        <w:tc>
          <w:tcPr>
            <w:tcW w:w="1760" w:type="dxa"/>
            <w:vAlign w:val="bottom"/>
          </w:tcPr>
          <w:p>
            <w:pPr>
              <w:spacing w:after="0"/>
              <w:rPr>
                <w:sz w:val="24"/>
                <w:szCs w:val="24"/>
                <w:color w:val="auto"/>
              </w:rPr>
            </w:pP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Robert Warshaw</w:t>
            </w:r>
          </w:p>
        </w:tc>
      </w:tr>
      <w:tr>
        <w:trPr>
          <w:trHeight w:val="184"/>
        </w:trPr>
        <w:tc>
          <w:tcPr>
            <w:tcW w:w="2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20" w:type="dxa"/>
            <w:vAlign w:val="bottom"/>
          </w:tcPr>
          <w:p>
            <w:pPr>
              <w:spacing w:after="0" w:line="184" w:lineRule="exact"/>
              <w:rPr>
                <w:sz w:val="20"/>
                <w:szCs w:val="20"/>
                <w:color w:val="auto"/>
              </w:rPr>
            </w:pPr>
            <w:r>
              <w:rPr>
                <w:rFonts w:ascii="Arial" w:cs="Arial" w:eastAsia="Arial" w:hAnsi="Arial"/>
                <w:sz w:val="17"/>
                <w:szCs w:val="17"/>
                <w:color w:val="auto"/>
              </w:rPr>
              <w:t>By:</w:t>
            </w:r>
          </w:p>
        </w:tc>
        <w:tc>
          <w:tcPr>
            <w:tcW w:w="4200" w:type="dxa"/>
            <w:vAlign w:val="bottom"/>
          </w:tcPr>
          <w:p>
            <w:pPr>
              <w:ind w:left="60"/>
              <w:spacing w:after="0" w:line="184" w:lineRule="exact"/>
              <w:rPr>
                <w:sz w:val="20"/>
                <w:szCs w:val="20"/>
                <w:color w:val="auto"/>
              </w:rPr>
            </w:pPr>
            <w:r>
              <w:rPr>
                <w:rFonts w:ascii="Arial" w:cs="Arial" w:eastAsia="Arial" w:hAnsi="Arial"/>
                <w:sz w:val="17"/>
                <w:szCs w:val="17"/>
                <w:color w:val="auto"/>
              </w:rPr>
              <w:t>Robert Warshaw</w:t>
            </w:r>
          </w:p>
        </w:tc>
      </w:tr>
      <w:tr>
        <w:trPr>
          <w:trHeight w:val="215"/>
        </w:trPr>
        <w:tc>
          <w:tcPr>
            <w:tcW w:w="2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0" w:type="dxa"/>
            <w:vAlign w:val="bottom"/>
          </w:tcPr>
          <w:p>
            <w:pPr>
              <w:ind w:left="60"/>
              <w:spacing w:after="0"/>
              <w:rPr>
                <w:sz w:val="20"/>
                <w:szCs w:val="20"/>
                <w:color w:val="auto"/>
              </w:rPr>
            </w:pPr>
            <w:r>
              <w:rPr>
                <w:rFonts w:ascii="Arial" w:cs="Arial" w:eastAsia="Arial" w:hAnsi="Arial"/>
                <w:sz w:val="17"/>
                <w:szCs w:val="17"/>
                <w:color w:val="auto"/>
              </w:rPr>
              <w:t>Chief Financial Officer (Principal Financial Officer)</w:t>
            </w:r>
          </w:p>
        </w:tc>
      </w:tr>
      <w:tr>
        <w:trPr>
          <w:trHeight w:val="813"/>
        </w:trPr>
        <w:tc>
          <w:tcPr>
            <w:tcW w:w="2780" w:type="dxa"/>
            <w:vAlign w:val="bottom"/>
          </w:tcPr>
          <w:p>
            <w:pPr>
              <w:spacing w:after="0"/>
              <w:rPr>
                <w:sz w:val="24"/>
                <w:szCs w:val="24"/>
                <w:color w:val="auto"/>
              </w:rPr>
            </w:pPr>
          </w:p>
        </w:tc>
        <w:tc>
          <w:tcPr>
            <w:tcW w:w="2080" w:type="dxa"/>
            <w:vAlign w:val="bottom"/>
            <w:gridSpan w:val="2"/>
          </w:tcPr>
          <w:p>
            <w:pPr>
              <w:jc w:val="right"/>
              <w:ind w:right="155"/>
              <w:spacing w:after="0"/>
              <w:rPr>
                <w:sz w:val="20"/>
                <w:szCs w:val="20"/>
                <w:color w:val="auto"/>
              </w:rPr>
            </w:pPr>
            <w:r>
              <w:rPr>
                <w:rFonts w:ascii="Arial" w:cs="Arial" w:eastAsia="Arial" w:hAnsi="Arial"/>
                <w:sz w:val="17"/>
                <w:szCs w:val="17"/>
                <w:color w:val="auto"/>
              </w:rPr>
              <w:t>77</w:t>
            </w:r>
          </w:p>
        </w:tc>
        <w:tc>
          <w:tcPr>
            <w:tcW w:w="4200" w:type="dxa"/>
            <w:vAlign w:val="bottom"/>
          </w:tcPr>
          <w:p>
            <w:pPr>
              <w:spacing w:after="0"/>
              <w:rPr>
                <w:sz w:val="24"/>
                <w:szCs w:val="24"/>
                <w:color w:val="auto"/>
              </w:rPr>
            </w:pPr>
          </w:p>
        </w:tc>
      </w:tr>
      <w:tr>
        <w:trPr>
          <w:trHeight w:val="527"/>
        </w:trPr>
        <w:tc>
          <w:tcPr>
            <w:tcW w:w="27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7" w:right="1419" w:bottom="1440" w:gutter="0" w:footer="0" w:header="0"/>
        </w:sectPr>
      </w:pPr>
    </w:p>
    <w:bookmarkStart w:id="77" w:name="page78"/>
    <w:bookmarkEnd w:id="77"/>
    <w:p>
      <w:pPr>
        <w:jc w:val="right"/>
        <w:spacing w:after="0"/>
        <w:rPr>
          <w:sz w:val="20"/>
          <w:szCs w:val="20"/>
          <w:color w:val="auto"/>
        </w:rPr>
      </w:pPr>
      <w:r>
        <w:rPr>
          <w:rFonts w:ascii="Arial" w:cs="Arial" w:eastAsia="Arial" w:hAnsi="Arial"/>
          <w:sz w:val="17"/>
          <w:szCs w:val="17"/>
          <w:b w:val="1"/>
          <w:bCs w:val="1"/>
          <w:color w:val="auto"/>
        </w:rPr>
        <w:t>EXHIBIT 31.1</w:t>
      </w:r>
    </w:p>
    <w:p>
      <w:pPr>
        <w:spacing w:after="0" w:line="364"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CERTIFICATION OF THE PRINCIPAL EXECUTIVE OFFICER PURSUANT TO</w:t>
      </w:r>
    </w:p>
    <w:p>
      <w:pPr>
        <w:spacing w:after="0" w:line="160"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7"/>
          <w:szCs w:val="17"/>
          <w:color w:val="auto"/>
        </w:rPr>
        <w:t>I, Lee Olesky, certify that:</w:t>
      </w:r>
    </w:p>
    <w:p>
      <w:pPr>
        <w:spacing w:after="0" w:line="160" w:lineRule="exact"/>
        <w:rPr>
          <w:sz w:val="20"/>
          <w:szCs w:val="20"/>
          <w:color w:val="auto"/>
        </w:rPr>
      </w:pPr>
    </w:p>
    <w:p>
      <w:pPr>
        <w:ind w:left="322" w:hanging="322"/>
        <w:spacing w:after="0"/>
        <w:tabs>
          <w:tab w:leader="none" w:pos="322" w:val="left"/>
        </w:tabs>
        <w:numPr>
          <w:ilvl w:val="0"/>
          <w:numId w:val="4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fiscal quarter ended June 30, 2019 of Tradeweb Markets Inc.;</w:t>
      </w:r>
    </w:p>
    <w:p>
      <w:pPr>
        <w:spacing w:after="0" w:line="171" w:lineRule="exact"/>
        <w:rPr>
          <w:rFonts w:ascii="Arial" w:cs="Arial" w:eastAsia="Arial" w:hAnsi="Arial"/>
          <w:sz w:val="16"/>
          <w:szCs w:val="16"/>
          <w:color w:val="auto"/>
        </w:rPr>
      </w:pPr>
    </w:p>
    <w:p>
      <w:pPr>
        <w:ind w:left="302" w:right="260" w:hanging="302"/>
        <w:spacing w:after="0" w:line="261" w:lineRule="auto"/>
        <w:tabs>
          <w:tab w:leader="none" w:pos="319"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7"/>
          <w:szCs w:val="17"/>
          <w:color w:val="auto"/>
        </w:rPr>
      </w:pPr>
    </w:p>
    <w:p>
      <w:pPr>
        <w:ind w:left="302" w:right="300" w:hanging="302"/>
        <w:spacing w:after="0" w:line="261" w:lineRule="auto"/>
        <w:tabs>
          <w:tab w:leader="none" w:pos="319"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Arial" w:cs="Arial" w:eastAsia="Arial" w:hAnsi="Arial"/>
          <w:sz w:val="17"/>
          <w:szCs w:val="17"/>
          <w:color w:val="auto"/>
        </w:rPr>
      </w:pPr>
    </w:p>
    <w:p>
      <w:pPr>
        <w:ind w:left="302" w:right="60" w:hanging="302"/>
        <w:spacing w:after="0" w:line="273" w:lineRule="auto"/>
        <w:tabs>
          <w:tab w:leader="none" w:pos="319"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38" w:lineRule="exact"/>
        <w:rPr>
          <w:rFonts w:ascii="Arial" w:cs="Arial" w:eastAsia="Arial" w:hAnsi="Arial"/>
          <w:sz w:val="17"/>
          <w:szCs w:val="17"/>
          <w:color w:val="auto"/>
        </w:rPr>
      </w:pPr>
    </w:p>
    <w:p>
      <w:pPr>
        <w:ind w:left="622" w:right="40" w:hanging="306"/>
        <w:spacing w:after="0" w:line="312" w:lineRule="auto"/>
        <w:tabs>
          <w:tab w:leader="none" w:pos="630" w:val="left"/>
        </w:tabs>
        <w:numPr>
          <w:ilvl w:val="1"/>
          <w:numId w:val="4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Arial" w:cs="Arial" w:eastAsia="Arial" w:hAnsi="Arial"/>
          <w:sz w:val="15"/>
          <w:szCs w:val="15"/>
          <w:color w:val="auto"/>
        </w:rPr>
      </w:pPr>
    </w:p>
    <w:p>
      <w:pPr>
        <w:ind w:left="642" w:hanging="326"/>
        <w:spacing w:after="0"/>
        <w:tabs>
          <w:tab w:leader="none" w:pos="642" w:val="left"/>
        </w:tabs>
        <w:numPr>
          <w:ilvl w:val="1"/>
          <w:numId w:val="47"/>
        </w:numPr>
        <w:rPr>
          <w:rFonts w:ascii="Arial" w:cs="Arial" w:eastAsia="Arial" w:hAnsi="Arial"/>
          <w:sz w:val="17"/>
          <w:szCs w:val="17"/>
          <w:color w:val="auto"/>
        </w:rPr>
      </w:pPr>
      <w:r>
        <w:rPr>
          <w:rFonts w:ascii="Arial" w:cs="Arial" w:eastAsia="Arial" w:hAnsi="Arial"/>
          <w:sz w:val="17"/>
          <w:szCs w:val="17"/>
          <w:color w:val="auto"/>
        </w:rPr>
        <w:t>[Omitted pursuant to Exchange Act Rules 13a-14(a) and 15d-15(a)];</w:t>
      </w:r>
    </w:p>
    <w:p>
      <w:pPr>
        <w:spacing w:after="0" w:line="84" w:lineRule="exact"/>
        <w:rPr>
          <w:rFonts w:ascii="Arial" w:cs="Arial" w:eastAsia="Arial" w:hAnsi="Arial"/>
          <w:sz w:val="17"/>
          <w:szCs w:val="17"/>
          <w:color w:val="auto"/>
        </w:rPr>
      </w:pPr>
    </w:p>
    <w:p>
      <w:pPr>
        <w:ind w:left="622" w:right="320" w:hanging="306"/>
        <w:spacing w:after="0" w:line="261" w:lineRule="auto"/>
        <w:tabs>
          <w:tab w:leader="none" w:pos="630"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7"/>
          <w:szCs w:val="17"/>
          <w:color w:val="auto"/>
        </w:rPr>
      </w:pPr>
    </w:p>
    <w:p>
      <w:pPr>
        <w:ind w:left="622" w:right="20" w:hanging="306"/>
        <w:spacing w:after="0" w:line="270" w:lineRule="auto"/>
        <w:tabs>
          <w:tab w:leader="none" w:pos="639" w:val="left"/>
        </w:tabs>
        <w:numPr>
          <w:ilvl w:val="1"/>
          <w:numId w:val="4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w:t>
      </w:r>
    </w:p>
    <w:p>
      <w:pPr>
        <w:ind w:left="622"/>
        <w:spacing w:after="0"/>
        <w:rPr>
          <w:rFonts w:ascii="Arial" w:cs="Arial" w:eastAsia="Arial" w:hAnsi="Arial"/>
          <w:sz w:val="16"/>
          <w:szCs w:val="16"/>
          <w:color w:val="auto"/>
        </w:rPr>
      </w:pPr>
      <w:r>
        <w:rPr>
          <w:rFonts w:ascii="Arial" w:cs="Arial" w:eastAsia="Arial" w:hAnsi="Arial"/>
          <w:sz w:val="17"/>
          <w:szCs w:val="17"/>
          <w:color w:val="auto"/>
        </w:rPr>
        <w:t>reporting; and</w:t>
      </w:r>
    </w:p>
    <w:p>
      <w:pPr>
        <w:spacing w:after="0" w:line="148" w:lineRule="exact"/>
        <w:rPr>
          <w:rFonts w:ascii="Arial" w:cs="Arial" w:eastAsia="Arial" w:hAnsi="Arial"/>
          <w:sz w:val="16"/>
          <w:szCs w:val="16"/>
          <w:color w:val="auto"/>
        </w:rPr>
      </w:pPr>
    </w:p>
    <w:p>
      <w:pPr>
        <w:ind w:left="302" w:right="560" w:hanging="302"/>
        <w:spacing w:after="0" w:line="261" w:lineRule="auto"/>
        <w:tabs>
          <w:tab w:leader="none" w:pos="319"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7"/>
          <w:szCs w:val="17"/>
          <w:color w:val="auto"/>
        </w:rPr>
      </w:pPr>
    </w:p>
    <w:p>
      <w:pPr>
        <w:ind w:left="622" w:right="240" w:hanging="306"/>
        <w:spacing w:after="0" w:line="254" w:lineRule="auto"/>
        <w:tabs>
          <w:tab w:leader="none" w:pos="63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22" w:right="580" w:hanging="306"/>
        <w:spacing w:after="0" w:line="259" w:lineRule="auto"/>
        <w:tabs>
          <w:tab w:leader="none" w:pos="639" w:val="left"/>
        </w:tabs>
        <w:numPr>
          <w:ilvl w:val="1"/>
          <w:numId w:val="4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2" w:type="dxa"/>
        <w:tblCellMar>
          <w:top w:w="0" w:type="dxa"/>
          <w:left w:w="0" w:type="dxa"/>
          <w:bottom w:w="0" w:type="dxa"/>
          <w:right w:w="0" w:type="dxa"/>
        </w:tblCellMar>
      </w:tblPr>
      <w:tr>
        <w:trPr>
          <w:trHeight w:val="215"/>
        </w:trPr>
        <w:tc>
          <w:tcPr>
            <w:tcW w:w="4540" w:type="dxa"/>
            <w:vAlign w:val="bottom"/>
          </w:tcPr>
          <w:p>
            <w:pPr>
              <w:spacing w:after="0"/>
              <w:rPr>
                <w:sz w:val="20"/>
                <w:szCs w:val="20"/>
                <w:color w:val="auto"/>
              </w:rPr>
            </w:pPr>
            <w:r>
              <w:rPr>
                <w:rFonts w:ascii="Arial" w:cs="Arial" w:eastAsia="Arial" w:hAnsi="Arial"/>
                <w:sz w:val="17"/>
                <w:szCs w:val="17"/>
                <w:color w:val="auto"/>
              </w:rPr>
              <w:t>August 12, 2019</w:t>
            </w:r>
          </w:p>
        </w:tc>
        <w:tc>
          <w:tcPr>
            <w:tcW w:w="45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Lee Olesky</w:t>
            </w:r>
          </w:p>
        </w:tc>
      </w:tr>
      <w:tr>
        <w:trPr>
          <w:trHeight w:val="184"/>
        </w:trPr>
        <w:tc>
          <w:tcPr>
            <w:tcW w:w="4540" w:type="dxa"/>
            <w:vAlign w:val="bottom"/>
          </w:tcPr>
          <w:p>
            <w:pPr>
              <w:spacing w:after="0"/>
              <w:rPr>
                <w:sz w:val="16"/>
                <w:szCs w:val="16"/>
                <w:color w:val="auto"/>
              </w:rPr>
            </w:pPr>
          </w:p>
        </w:tc>
        <w:tc>
          <w:tcPr>
            <w:tcW w:w="4520" w:type="dxa"/>
            <w:vAlign w:val="bottom"/>
          </w:tcPr>
          <w:p>
            <w:pPr>
              <w:spacing w:after="0" w:line="184" w:lineRule="exact"/>
              <w:rPr>
                <w:sz w:val="20"/>
                <w:szCs w:val="20"/>
                <w:color w:val="auto"/>
              </w:rPr>
            </w:pPr>
            <w:r>
              <w:rPr>
                <w:rFonts w:ascii="Arial" w:cs="Arial" w:eastAsia="Arial" w:hAnsi="Arial"/>
                <w:sz w:val="17"/>
                <w:szCs w:val="17"/>
                <w:color w:val="auto"/>
              </w:rPr>
              <w:t>Lee Olesky</w:t>
            </w:r>
          </w:p>
        </w:tc>
      </w:tr>
      <w:tr>
        <w:trPr>
          <w:trHeight w:val="215"/>
        </w:trPr>
        <w:tc>
          <w:tcPr>
            <w:tcW w:w="45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7"/>
                <w:szCs w:val="17"/>
                <w:color w:val="auto"/>
              </w:rPr>
              <w:t>Chief Executive Officer</w:t>
            </w:r>
          </w:p>
        </w:tc>
      </w:tr>
      <w:tr>
        <w:trPr>
          <w:trHeight w:val="731"/>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82"/>
          </w:cols>
          <w:pgMar w:left="1418" w:top="123" w:right="1399" w:bottom="1440" w:gutter="0" w:footer="0" w:header="0"/>
        </w:sectPr>
      </w:pPr>
    </w:p>
    <w:bookmarkStart w:id="78" w:name="page79"/>
    <w:bookmarkEnd w:id="78"/>
    <w:p>
      <w:pPr>
        <w:jc w:val="right"/>
        <w:spacing w:after="0"/>
        <w:rPr>
          <w:sz w:val="20"/>
          <w:szCs w:val="20"/>
          <w:color w:val="auto"/>
        </w:rPr>
      </w:pPr>
      <w:r>
        <w:rPr>
          <w:rFonts w:ascii="Arial" w:cs="Arial" w:eastAsia="Arial" w:hAnsi="Arial"/>
          <w:sz w:val="17"/>
          <w:szCs w:val="17"/>
          <w:b w:val="1"/>
          <w:bCs w:val="1"/>
          <w:color w:val="auto"/>
        </w:rPr>
        <w:t>EXHIBIT 31.2</w:t>
      </w:r>
    </w:p>
    <w:p>
      <w:pPr>
        <w:spacing w:after="0" w:line="364"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CERTIFICATION OF THE PRINCIPAL FINANCIAL OFFICER PURSUANT TO</w:t>
      </w:r>
    </w:p>
    <w:p>
      <w:pPr>
        <w:spacing w:after="0" w:line="160"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7"/>
          <w:szCs w:val="17"/>
          <w:color w:val="auto"/>
        </w:rPr>
        <w:t>I, Robert Warshaw, certify that:</w:t>
      </w:r>
    </w:p>
    <w:p>
      <w:pPr>
        <w:spacing w:after="0" w:line="160" w:lineRule="exact"/>
        <w:rPr>
          <w:sz w:val="20"/>
          <w:szCs w:val="20"/>
          <w:color w:val="auto"/>
        </w:rPr>
      </w:pPr>
    </w:p>
    <w:p>
      <w:pPr>
        <w:ind w:left="322" w:hanging="322"/>
        <w:spacing w:after="0"/>
        <w:tabs>
          <w:tab w:leader="none" w:pos="322" w:val="left"/>
        </w:tabs>
        <w:numPr>
          <w:ilvl w:val="0"/>
          <w:numId w:val="4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fiscal quarter ended June 30, 2019 of Tradeweb Markets Inc.;</w:t>
      </w:r>
    </w:p>
    <w:p>
      <w:pPr>
        <w:spacing w:after="0" w:line="171" w:lineRule="exact"/>
        <w:rPr>
          <w:rFonts w:ascii="Arial" w:cs="Arial" w:eastAsia="Arial" w:hAnsi="Arial"/>
          <w:sz w:val="16"/>
          <w:szCs w:val="16"/>
          <w:color w:val="auto"/>
        </w:rPr>
      </w:pPr>
    </w:p>
    <w:p>
      <w:pPr>
        <w:ind w:left="302" w:right="260" w:hanging="302"/>
        <w:spacing w:after="0" w:line="261" w:lineRule="auto"/>
        <w:tabs>
          <w:tab w:leader="none" w:pos="319"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7"/>
          <w:szCs w:val="17"/>
          <w:color w:val="auto"/>
        </w:rPr>
      </w:pPr>
    </w:p>
    <w:p>
      <w:pPr>
        <w:ind w:left="302" w:right="300" w:hanging="302"/>
        <w:spacing w:after="0" w:line="261" w:lineRule="auto"/>
        <w:tabs>
          <w:tab w:leader="none" w:pos="319"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Arial" w:cs="Arial" w:eastAsia="Arial" w:hAnsi="Arial"/>
          <w:sz w:val="17"/>
          <w:szCs w:val="17"/>
          <w:color w:val="auto"/>
        </w:rPr>
      </w:pPr>
    </w:p>
    <w:p>
      <w:pPr>
        <w:ind w:left="302" w:right="60" w:hanging="302"/>
        <w:spacing w:after="0" w:line="273" w:lineRule="auto"/>
        <w:tabs>
          <w:tab w:leader="none" w:pos="319"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38" w:lineRule="exact"/>
        <w:rPr>
          <w:rFonts w:ascii="Arial" w:cs="Arial" w:eastAsia="Arial" w:hAnsi="Arial"/>
          <w:sz w:val="17"/>
          <w:szCs w:val="17"/>
          <w:color w:val="auto"/>
        </w:rPr>
      </w:pPr>
    </w:p>
    <w:p>
      <w:pPr>
        <w:ind w:left="622" w:right="40" w:hanging="306"/>
        <w:spacing w:after="0" w:line="312" w:lineRule="auto"/>
        <w:tabs>
          <w:tab w:leader="none" w:pos="630" w:val="left"/>
        </w:tabs>
        <w:numPr>
          <w:ilvl w:val="1"/>
          <w:numId w:val="4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Arial" w:cs="Arial" w:eastAsia="Arial" w:hAnsi="Arial"/>
          <w:sz w:val="15"/>
          <w:szCs w:val="15"/>
          <w:color w:val="auto"/>
        </w:rPr>
      </w:pPr>
    </w:p>
    <w:p>
      <w:pPr>
        <w:ind w:left="642" w:hanging="326"/>
        <w:spacing w:after="0"/>
        <w:tabs>
          <w:tab w:leader="none" w:pos="642" w:val="left"/>
        </w:tabs>
        <w:numPr>
          <w:ilvl w:val="1"/>
          <w:numId w:val="48"/>
        </w:numPr>
        <w:rPr>
          <w:rFonts w:ascii="Arial" w:cs="Arial" w:eastAsia="Arial" w:hAnsi="Arial"/>
          <w:sz w:val="17"/>
          <w:szCs w:val="17"/>
          <w:color w:val="auto"/>
        </w:rPr>
      </w:pPr>
      <w:r>
        <w:rPr>
          <w:rFonts w:ascii="Arial" w:cs="Arial" w:eastAsia="Arial" w:hAnsi="Arial"/>
          <w:sz w:val="17"/>
          <w:szCs w:val="17"/>
          <w:color w:val="auto"/>
        </w:rPr>
        <w:t>[Omitted pursuant to Exchange Act Rules 13a-14(a) and 15d-15(a)];</w:t>
      </w:r>
    </w:p>
    <w:p>
      <w:pPr>
        <w:spacing w:after="0" w:line="84" w:lineRule="exact"/>
        <w:rPr>
          <w:rFonts w:ascii="Arial" w:cs="Arial" w:eastAsia="Arial" w:hAnsi="Arial"/>
          <w:sz w:val="17"/>
          <w:szCs w:val="17"/>
          <w:color w:val="auto"/>
        </w:rPr>
      </w:pPr>
    </w:p>
    <w:p>
      <w:pPr>
        <w:ind w:left="622" w:right="320" w:hanging="306"/>
        <w:spacing w:after="0" w:line="261" w:lineRule="auto"/>
        <w:tabs>
          <w:tab w:leader="none" w:pos="630"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7"/>
          <w:szCs w:val="17"/>
          <w:color w:val="auto"/>
        </w:rPr>
      </w:pPr>
    </w:p>
    <w:p>
      <w:pPr>
        <w:ind w:left="622" w:right="20" w:hanging="306"/>
        <w:spacing w:after="0" w:line="312" w:lineRule="auto"/>
        <w:tabs>
          <w:tab w:leader="none" w:pos="639" w:val="left"/>
        </w:tabs>
        <w:numPr>
          <w:ilvl w:val="1"/>
          <w:numId w:val="48"/>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5"/>
          <w:szCs w:val="15"/>
          <w:color w:val="auto"/>
        </w:rPr>
      </w:pPr>
    </w:p>
    <w:p>
      <w:pPr>
        <w:ind w:left="302" w:right="560" w:hanging="302"/>
        <w:spacing w:after="0" w:line="261" w:lineRule="auto"/>
        <w:tabs>
          <w:tab w:leader="none" w:pos="319"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7"/>
          <w:szCs w:val="17"/>
          <w:color w:val="auto"/>
        </w:rPr>
      </w:pPr>
    </w:p>
    <w:p>
      <w:pPr>
        <w:ind w:left="622" w:right="240" w:hanging="306"/>
        <w:spacing w:after="0" w:line="254" w:lineRule="auto"/>
        <w:tabs>
          <w:tab w:leader="none" w:pos="63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02" w:right="600" w:hanging="297"/>
        <w:spacing w:after="0" w:line="259" w:lineRule="auto"/>
        <w:tabs>
          <w:tab w:leader="none" w:pos="619" w:val="left"/>
        </w:tabs>
        <w:numPr>
          <w:ilvl w:val="1"/>
          <w:numId w:val="4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2" w:type="dxa"/>
        <w:tblCellMar>
          <w:top w:w="0" w:type="dxa"/>
          <w:left w:w="0" w:type="dxa"/>
          <w:bottom w:w="0" w:type="dxa"/>
          <w:right w:w="0" w:type="dxa"/>
        </w:tblCellMar>
      </w:tblPr>
      <w:tr>
        <w:trPr>
          <w:trHeight w:val="215"/>
        </w:trPr>
        <w:tc>
          <w:tcPr>
            <w:tcW w:w="4540" w:type="dxa"/>
            <w:vAlign w:val="bottom"/>
          </w:tcPr>
          <w:p>
            <w:pPr>
              <w:spacing w:after="0"/>
              <w:rPr>
                <w:sz w:val="20"/>
                <w:szCs w:val="20"/>
                <w:color w:val="auto"/>
              </w:rPr>
            </w:pPr>
            <w:r>
              <w:rPr>
                <w:rFonts w:ascii="Arial" w:cs="Arial" w:eastAsia="Arial" w:hAnsi="Arial"/>
                <w:sz w:val="17"/>
                <w:szCs w:val="17"/>
                <w:color w:val="auto"/>
              </w:rPr>
              <w:t>August 12, 2019</w:t>
            </w:r>
          </w:p>
        </w:tc>
        <w:tc>
          <w:tcPr>
            <w:tcW w:w="45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Robert Warshaw</w:t>
            </w:r>
          </w:p>
        </w:tc>
      </w:tr>
      <w:tr>
        <w:trPr>
          <w:trHeight w:val="184"/>
        </w:trPr>
        <w:tc>
          <w:tcPr>
            <w:tcW w:w="4540" w:type="dxa"/>
            <w:vAlign w:val="bottom"/>
          </w:tcPr>
          <w:p>
            <w:pPr>
              <w:spacing w:after="0"/>
              <w:rPr>
                <w:sz w:val="16"/>
                <w:szCs w:val="16"/>
                <w:color w:val="auto"/>
              </w:rPr>
            </w:pPr>
          </w:p>
        </w:tc>
        <w:tc>
          <w:tcPr>
            <w:tcW w:w="4520" w:type="dxa"/>
            <w:vAlign w:val="bottom"/>
          </w:tcPr>
          <w:p>
            <w:pPr>
              <w:spacing w:after="0" w:line="184" w:lineRule="exact"/>
              <w:rPr>
                <w:sz w:val="20"/>
                <w:szCs w:val="20"/>
                <w:color w:val="auto"/>
              </w:rPr>
            </w:pPr>
            <w:r>
              <w:rPr>
                <w:rFonts w:ascii="Arial" w:cs="Arial" w:eastAsia="Arial" w:hAnsi="Arial"/>
                <w:sz w:val="17"/>
                <w:szCs w:val="17"/>
                <w:color w:val="auto"/>
              </w:rPr>
              <w:t>Robert Warshaw</w:t>
            </w:r>
          </w:p>
        </w:tc>
      </w:tr>
      <w:tr>
        <w:trPr>
          <w:trHeight w:val="215"/>
        </w:trPr>
        <w:tc>
          <w:tcPr>
            <w:tcW w:w="45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7"/>
                <w:szCs w:val="17"/>
                <w:color w:val="auto"/>
              </w:rPr>
              <w:t>Chief Financial Officer</w:t>
            </w:r>
          </w:p>
        </w:tc>
      </w:tr>
      <w:tr>
        <w:trPr>
          <w:trHeight w:val="731"/>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82"/>
          </w:cols>
          <w:pgMar w:left="1418" w:top="123" w:right="1399" w:bottom="1440" w:gutter="0" w:footer="0" w:header="0"/>
        </w:sectPr>
      </w:pPr>
    </w:p>
    <w:bookmarkStart w:id="79" w:name="page80"/>
    <w:bookmarkEnd w:id="79"/>
    <w:p>
      <w:pPr>
        <w:jc w:val="right"/>
        <w:spacing w:after="0"/>
        <w:rPr>
          <w:sz w:val="20"/>
          <w:szCs w:val="20"/>
          <w:color w:val="auto"/>
        </w:rPr>
      </w:pPr>
      <w:r>
        <w:rPr>
          <w:rFonts w:ascii="Arial" w:cs="Arial" w:eastAsia="Arial" w:hAnsi="Arial"/>
          <w:sz w:val="17"/>
          <w:szCs w:val="17"/>
          <w:b w:val="1"/>
          <w:bCs w:val="1"/>
          <w:color w:val="auto"/>
        </w:rPr>
        <w:t>EXHIBIT 32.1</w:t>
      </w:r>
    </w:p>
    <w:p>
      <w:pPr>
        <w:spacing w:after="0" w:line="364"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CERTIFICATION PURSUANT TO</w:t>
      </w:r>
    </w:p>
    <w:p>
      <w:pPr>
        <w:spacing w:after="0" w:line="160"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18 U.S.C. SECTION 1350</w:t>
      </w:r>
    </w:p>
    <w:p>
      <w:pPr>
        <w:spacing w:after="0" w:line="160"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AS ADOPTED PURSUANT TO</w:t>
      </w:r>
    </w:p>
    <w:p>
      <w:pPr>
        <w:spacing w:after="0" w:line="160"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64"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In connection with the Quarterly Report on Form 10-Q of Tradeweb Markets Inc. (the “Company”) for the fiscal quarter ended June 30, 2019, as filed with the Securities and Exchange Commission on the date hereof (the “Report”), Lee Olesky, Chief Executive Officer of the Company, hereby certifies, pursuant to 18 U.S.C. Section 1350, as adopted pursuant to Section 906 of the Sarbanes-Oxley Act of 2002, that, to his knowledge:</w:t>
      </w:r>
    </w:p>
    <w:p>
      <w:pPr>
        <w:spacing w:after="0" w:line="52" w:lineRule="exact"/>
        <w:rPr>
          <w:sz w:val="20"/>
          <w:szCs w:val="20"/>
          <w:color w:val="auto"/>
        </w:rPr>
      </w:pPr>
    </w:p>
    <w:p>
      <w:pPr>
        <w:ind w:left="640" w:right="80" w:hanging="299"/>
        <w:spacing w:after="0" w:line="273" w:lineRule="auto"/>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38" w:lineRule="exact"/>
        <w:rPr>
          <w:rFonts w:ascii="Arial" w:cs="Arial" w:eastAsia="Arial" w:hAnsi="Arial"/>
          <w:sz w:val="17"/>
          <w:szCs w:val="17"/>
          <w:color w:val="auto"/>
        </w:rPr>
      </w:pPr>
    </w:p>
    <w:p>
      <w:pPr>
        <w:ind w:left="640" w:right="520" w:hanging="299"/>
        <w:spacing w:after="0" w:line="273" w:lineRule="auto"/>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spacing w:after="0"/>
              <w:rPr>
                <w:sz w:val="20"/>
                <w:szCs w:val="20"/>
                <w:color w:val="auto"/>
              </w:rPr>
            </w:pPr>
            <w:r>
              <w:rPr>
                <w:rFonts w:ascii="Arial" w:cs="Arial" w:eastAsia="Arial" w:hAnsi="Arial"/>
                <w:sz w:val="17"/>
                <w:szCs w:val="17"/>
                <w:color w:val="auto"/>
              </w:rPr>
              <w:t>August 12, 2019</w:t>
            </w:r>
          </w:p>
        </w:tc>
        <w:tc>
          <w:tcPr>
            <w:tcW w:w="45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Lee Olesky</w:t>
            </w:r>
          </w:p>
        </w:tc>
      </w:tr>
      <w:tr>
        <w:trPr>
          <w:trHeight w:val="184"/>
        </w:trPr>
        <w:tc>
          <w:tcPr>
            <w:tcW w:w="4540" w:type="dxa"/>
            <w:vAlign w:val="bottom"/>
          </w:tcPr>
          <w:p>
            <w:pPr>
              <w:spacing w:after="0"/>
              <w:rPr>
                <w:sz w:val="16"/>
                <w:szCs w:val="16"/>
                <w:color w:val="auto"/>
              </w:rPr>
            </w:pPr>
          </w:p>
        </w:tc>
        <w:tc>
          <w:tcPr>
            <w:tcW w:w="4520" w:type="dxa"/>
            <w:vAlign w:val="bottom"/>
          </w:tcPr>
          <w:p>
            <w:pPr>
              <w:spacing w:after="0" w:line="184" w:lineRule="exact"/>
              <w:rPr>
                <w:sz w:val="20"/>
                <w:szCs w:val="20"/>
                <w:color w:val="auto"/>
              </w:rPr>
            </w:pPr>
            <w:r>
              <w:rPr>
                <w:rFonts w:ascii="Arial" w:cs="Arial" w:eastAsia="Arial" w:hAnsi="Arial"/>
                <w:sz w:val="17"/>
                <w:szCs w:val="17"/>
                <w:color w:val="auto"/>
              </w:rPr>
              <w:t>Lee Olesky</w:t>
            </w:r>
          </w:p>
        </w:tc>
      </w:tr>
      <w:tr>
        <w:trPr>
          <w:trHeight w:val="215"/>
        </w:trPr>
        <w:tc>
          <w:tcPr>
            <w:tcW w:w="45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7"/>
                <w:szCs w:val="17"/>
                <w:color w:val="auto"/>
              </w:rPr>
              <w:t>Chief Executive Officer</w:t>
            </w:r>
          </w:p>
        </w:tc>
      </w:tr>
      <w:tr>
        <w:trPr>
          <w:trHeight w:val="731"/>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80"/>
          </w:cols>
          <w:pgMar w:left="1420" w:top="123" w:right="1399" w:bottom="1440" w:gutter="0" w:footer="0" w:header="0"/>
        </w:sectPr>
      </w:pPr>
    </w:p>
    <w:bookmarkStart w:id="80" w:name="page81"/>
    <w:bookmarkEnd w:id="80"/>
    <w:p>
      <w:pPr>
        <w:jc w:val="right"/>
        <w:spacing w:after="0"/>
        <w:rPr>
          <w:sz w:val="20"/>
          <w:szCs w:val="20"/>
          <w:color w:val="auto"/>
        </w:rPr>
      </w:pPr>
      <w:r>
        <w:rPr>
          <w:rFonts w:ascii="Arial" w:cs="Arial" w:eastAsia="Arial" w:hAnsi="Arial"/>
          <w:sz w:val="17"/>
          <w:szCs w:val="17"/>
          <w:b w:val="1"/>
          <w:bCs w:val="1"/>
          <w:color w:val="auto"/>
        </w:rPr>
        <w:t>Exhibit 32.2</w:t>
      </w:r>
    </w:p>
    <w:p>
      <w:pPr>
        <w:spacing w:after="0" w:line="364"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CERTIFICATION PURSUANT TO</w:t>
      </w:r>
    </w:p>
    <w:p>
      <w:pPr>
        <w:spacing w:after="0" w:line="160"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18 U.S.C. SECTION 1350</w:t>
      </w:r>
    </w:p>
    <w:p>
      <w:pPr>
        <w:spacing w:after="0" w:line="160"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AS ADOPTED PURSUANT TO</w:t>
      </w:r>
    </w:p>
    <w:p>
      <w:pPr>
        <w:spacing w:after="0" w:line="160"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64"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In connection with the Quarterly Report on Form 10-Q of Tradeweb Markets Inc. (the “Company”) for the fiscal quarter ended June 30, 2019, as filed with the Securities and Exchange Commission on the date hereof (the “Report”), Robert Warshaw, Chief Financial Officer of the Company, hereby certifies, pursuant to 18 U.S.C. Section 1350, as adopted pursuant to Section 906 of the Sarbanes-Oxley Act of 2002, that, to his knowledge:</w:t>
      </w:r>
    </w:p>
    <w:p>
      <w:pPr>
        <w:spacing w:after="0" w:line="52" w:lineRule="exact"/>
        <w:rPr>
          <w:sz w:val="20"/>
          <w:szCs w:val="20"/>
          <w:color w:val="auto"/>
        </w:rPr>
      </w:pPr>
    </w:p>
    <w:p>
      <w:pPr>
        <w:ind w:left="640" w:right="80" w:hanging="299"/>
        <w:spacing w:after="0" w:line="273" w:lineRule="auto"/>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38" w:lineRule="exact"/>
        <w:rPr>
          <w:rFonts w:ascii="Arial" w:cs="Arial" w:eastAsia="Arial" w:hAnsi="Arial"/>
          <w:sz w:val="17"/>
          <w:szCs w:val="17"/>
          <w:color w:val="auto"/>
        </w:rPr>
      </w:pPr>
    </w:p>
    <w:p>
      <w:pPr>
        <w:ind w:left="640" w:right="520" w:hanging="299"/>
        <w:spacing w:after="0" w:line="273" w:lineRule="auto"/>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spacing w:after="0"/>
              <w:rPr>
                <w:sz w:val="20"/>
                <w:szCs w:val="20"/>
                <w:color w:val="auto"/>
              </w:rPr>
            </w:pPr>
            <w:r>
              <w:rPr>
                <w:rFonts w:ascii="Arial" w:cs="Arial" w:eastAsia="Arial" w:hAnsi="Arial"/>
                <w:sz w:val="17"/>
                <w:szCs w:val="17"/>
                <w:color w:val="auto"/>
              </w:rPr>
              <w:t>August 12, 2019</w:t>
            </w:r>
          </w:p>
        </w:tc>
        <w:tc>
          <w:tcPr>
            <w:tcW w:w="45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Robert Warshaw</w:t>
            </w:r>
          </w:p>
        </w:tc>
      </w:tr>
      <w:tr>
        <w:trPr>
          <w:trHeight w:val="184"/>
        </w:trPr>
        <w:tc>
          <w:tcPr>
            <w:tcW w:w="4540" w:type="dxa"/>
            <w:vAlign w:val="bottom"/>
          </w:tcPr>
          <w:p>
            <w:pPr>
              <w:spacing w:after="0"/>
              <w:rPr>
                <w:sz w:val="16"/>
                <w:szCs w:val="16"/>
                <w:color w:val="auto"/>
              </w:rPr>
            </w:pPr>
          </w:p>
        </w:tc>
        <w:tc>
          <w:tcPr>
            <w:tcW w:w="4520" w:type="dxa"/>
            <w:vAlign w:val="bottom"/>
          </w:tcPr>
          <w:p>
            <w:pPr>
              <w:spacing w:after="0" w:line="184" w:lineRule="exact"/>
              <w:rPr>
                <w:sz w:val="20"/>
                <w:szCs w:val="20"/>
                <w:color w:val="auto"/>
              </w:rPr>
            </w:pPr>
            <w:r>
              <w:rPr>
                <w:rFonts w:ascii="Arial" w:cs="Arial" w:eastAsia="Arial" w:hAnsi="Arial"/>
                <w:sz w:val="17"/>
                <w:szCs w:val="17"/>
                <w:color w:val="auto"/>
              </w:rPr>
              <w:t>Robert Warshaw</w:t>
            </w:r>
          </w:p>
        </w:tc>
      </w:tr>
      <w:tr>
        <w:trPr>
          <w:trHeight w:val="215"/>
        </w:trPr>
        <w:tc>
          <w:tcPr>
            <w:tcW w:w="45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7"/>
                <w:szCs w:val="17"/>
                <w:color w:val="auto"/>
              </w:rPr>
              <w:t>Chief Financial Officer</w:t>
            </w:r>
          </w:p>
        </w:tc>
      </w:tr>
      <w:tr>
        <w:trPr>
          <w:trHeight w:val="731"/>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80"/>
          </w:cols>
          <w:pgMar w:left="1420" w:top="123" w:right="1399" w:bottom="1440" w:gutter="0" w:footer="0" w:header="0"/>
        </w:sectPr>
      </w:pPr>
    </w:p>
    <w:bookmarkStart w:id="81" w:name="page82"/>
    <w:bookmarkEnd w:id="81"/>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decimal"/>
      <w:start w:val="1"/>
    </w:lvl>
    <w:lvl w:ilvl="1">
      <w:lvlJc w:val="left"/>
      <w:lvlText w:val="%2)"/>
      <w:numFmt w:val="lowerLetter"/>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lowerRoman"/>
      <w:start w:val="2"/>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decimal"/>
      <w:start w:val="2"/>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decimal"/>
      <w:start w:val="3"/>
    </w:lvl>
  </w:abstractNum>
  <w:abstractNum w:abstractNumId="12">
    <w:nsid w:val="737B8DDC"/>
    <w:multiLevelType w:val="hybridMultilevel"/>
    <w:lvl w:ilvl="0">
      <w:lvlJc w:val="left"/>
      <w:lvlText w:val="%1."/>
      <w:numFmt w:val="decimal"/>
      <w:start w:val="4"/>
    </w:lvl>
  </w:abstractNum>
  <w:abstractNum w:abstractNumId="13">
    <w:nsid w:val="6CEAF087"/>
    <w:multiLevelType w:val="hybridMultilevel"/>
    <w:lvl w:ilvl="0">
      <w:lvlJc w:val="left"/>
      <w:lvlText w:val="%1."/>
      <w:numFmt w:val="decimal"/>
      <w:start w:val="5"/>
    </w:lvl>
  </w:abstractNum>
  <w:abstractNum w:abstractNumId="14">
    <w:nsid w:val="22221A70"/>
    <w:multiLevelType w:val="hybridMultilevel"/>
    <w:lvl w:ilvl="0">
      <w:lvlJc w:val="left"/>
      <w:lvlText w:val="%1."/>
      <w:numFmt w:val="decimal"/>
      <w:start w:val="6"/>
    </w:lvl>
  </w:abstractNum>
  <w:abstractNum w:abstractNumId="15">
    <w:nsid w:val="4516DDE9"/>
    <w:multiLevelType w:val="hybridMultilevel"/>
    <w:lvl w:ilvl="0">
      <w:lvlJc w:val="left"/>
      <w:lvlText w:val="%1."/>
      <w:numFmt w:val="decimal"/>
      <w:start w:val="7"/>
    </w:lvl>
  </w:abstractNum>
  <w:abstractNum w:abstractNumId="16">
    <w:nsid w:val="3006C83E"/>
    <w:multiLevelType w:val="hybridMultilevel"/>
    <w:lvl w:ilvl="0">
      <w:lvlJc w:val="left"/>
      <w:lvlText w:val="%1."/>
      <w:numFmt w:val="decimal"/>
      <w:start w:val="8"/>
    </w:lvl>
  </w:abstractNum>
  <w:abstractNum w:abstractNumId="17">
    <w:nsid w:val="614FD4A1"/>
    <w:multiLevelType w:val="hybridMultilevel"/>
    <w:lvl w:ilvl="0">
      <w:lvlJc w:val="left"/>
      <w:lvlText w:val="%1."/>
      <w:numFmt w:val="decimal"/>
      <w:start w:val="9"/>
    </w:lvl>
  </w:abstractNum>
  <w:abstractNum w:abstractNumId="18">
    <w:nsid w:val="419AC241"/>
    <w:multiLevelType w:val="hybridMultilevel"/>
    <w:lvl w:ilvl="0">
      <w:lvlJc w:val="left"/>
      <w:lvlText w:val="(%1)"/>
      <w:numFmt w:val="lowerRoman"/>
      <w:start w:val="2"/>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1."/>
      <w:numFmt w:val="decimal"/>
      <w:start w:val="10"/>
    </w:lvl>
  </w:abstractNum>
  <w:abstractNum w:abstractNumId="21">
    <w:nsid w:val="5072367"/>
    <w:multiLevelType w:val="hybridMultilevel"/>
    <w:lvl w:ilvl="0">
      <w:lvlJc w:val="left"/>
      <w:lvlText w:val="%1."/>
      <w:numFmt w:val="decimal"/>
      <w:start w:val="11"/>
    </w:lvl>
  </w:abstractNum>
  <w:abstractNum w:abstractNumId="22">
    <w:nsid w:val="3804823E"/>
    <w:multiLevelType w:val="hybridMultilevel"/>
    <w:lvl w:ilvl="0">
      <w:lvlJc w:val="left"/>
      <w:lvlText w:val="%1."/>
      <w:numFmt w:val="decimal"/>
      <w:start w:val="12"/>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13"/>
    </w:lvl>
  </w:abstractNum>
  <w:abstractNum w:abstractNumId="25">
    <w:nsid w:val="5C482A97"/>
    <w:multiLevelType w:val="hybridMultilevel"/>
    <w:lvl w:ilvl="0">
      <w:lvlJc w:val="left"/>
      <w:lvlText w:val="%1."/>
      <w:numFmt w:val="decimal"/>
      <w:start w:val="14"/>
    </w:lvl>
  </w:abstractNum>
  <w:abstractNum w:abstractNumId="26">
    <w:nsid w:val="2463B9EA"/>
    <w:multiLevelType w:val="hybridMultilevel"/>
    <w:lvl w:ilvl="0">
      <w:lvlJc w:val="left"/>
      <w:lvlText w:val="%1."/>
      <w:numFmt w:val="decimal"/>
      <w:start w:val="15"/>
    </w:lvl>
  </w:abstractNum>
  <w:abstractNum w:abstractNumId="27">
    <w:nsid w:val="5E884ADC"/>
    <w:multiLevelType w:val="hybridMultilevel"/>
    <w:lvl w:ilvl="0">
      <w:lvlJc w:val="left"/>
      <w:lvlText w:val="%1."/>
      <w:numFmt w:val="decimal"/>
      <w:start w:val="16"/>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1."/>
      <w:numFmt w:val="decimal"/>
      <w:start w:val="17"/>
    </w:lvl>
  </w:abstractNum>
  <w:abstractNum w:abstractNumId="30">
    <w:nsid w:val="580BD78F"/>
    <w:multiLevelType w:val="hybridMultilevel"/>
    <w:lvl w:ilvl="0">
      <w:lvlJc w:val="left"/>
      <w:lvlText w:val="%1."/>
      <w:numFmt w:val="decimal"/>
      <w:start w:val="18"/>
    </w:lvl>
  </w:abstractNum>
  <w:abstractNum w:abstractNumId="31">
    <w:nsid w:val="153EA438"/>
    <w:multiLevelType w:val="hybridMultilevel"/>
    <w:lvl w:ilvl="0">
      <w:lvlJc w:val="left"/>
      <w:lvlText w:val="%1."/>
      <w:numFmt w:val="decimal"/>
      <w:start w:val="19"/>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1"/>
    </w:lvl>
    <w:lvl w:ilvl="1">
      <w:lvlJc w:val="left"/>
      <w:lvlText w:val="%2)"/>
      <w:numFmt w:val="lowerLetter"/>
      <w:start w:val="1"/>
    </w:lvl>
  </w:abstractNum>
  <w:abstractNum w:abstractNumId="39">
    <w:nsid w:val="57E4CCAF"/>
    <w:multiLevelType w:val="hybridMultilevel"/>
    <w:lvl w:ilvl="0">
      <w:lvlJc w:val="left"/>
      <w:lvlText w:val="(%1)"/>
      <w:numFmt w:val="decimal"/>
      <w:start w:val="2"/>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79" Type="http://schemas.openxmlformats.org/officeDocument/2006/relationships/hyperlink" Target="http://www.sec.gov/Archives/edgar/data/1758730/000114420419018920/tv518458_ex3-1.htm" TargetMode="External"/><Relationship Id="rId80" Type="http://schemas.openxmlformats.org/officeDocument/2006/relationships/hyperlink" Target="http://www.sec.gov/Archives/edgar/data/1758730/000114420419018920/tv518458_ex3-2.htm" TargetMode="External"/><Relationship Id="rId81" Type="http://schemas.openxmlformats.org/officeDocument/2006/relationships/hyperlink" Target="http://www.sec.gov/Archives/edgar/data/1758730/000110465919030556/a19-9947_1ex10d1.htm" TargetMode="External"/><Relationship Id="rId82" Type="http://schemas.openxmlformats.org/officeDocument/2006/relationships/hyperlink" Target="http://www.sec.gov/Archives/edgar/data/1758730/000110465919030556/a19-9947_1ex10d2.htm" TargetMode="External"/><Relationship Id="rId83" Type="http://schemas.openxmlformats.org/officeDocument/2006/relationships/hyperlink" Target="http://www.sec.gov/Archives/edgar/data/1758730/000110465919030556/a19-9947_1ex10d3.htm" TargetMode="External"/><Relationship Id="rId84" Type="http://schemas.openxmlformats.org/officeDocument/2006/relationships/hyperlink" Target="http://www.sec.gov/Archives/edgar/data/1758730/000110465919030556/a19-9947_1ex10d4.htm" TargetMode="External"/><Relationship Id="rId85" Type="http://schemas.openxmlformats.org/officeDocument/2006/relationships/hyperlink" Target="http://www.sec.gov/Archives/edgar/data/1758730/000110465919030556/a19-9947_1ex10d5.htm" TargetMode="External"/><Relationship Id="rId86" Type="http://schemas.openxmlformats.org/officeDocument/2006/relationships/hyperlink" Target="http://www.sec.gov/Archives/edgar/data/1758730/000110465919030556/a19-9947_1ex10d6.htm" TargetMode="External"/><Relationship Id="rId87" Type="http://schemas.openxmlformats.org/officeDocument/2006/relationships/hyperlink" Target="http://www.sec.gov/Archives/edgar/data/1758730/000110465919030556/a19-9947_1ex10d7.htm" TargetMode="External"/><Relationship Id="rId88" Type="http://schemas.openxmlformats.org/officeDocument/2006/relationships/hyperlink" Target="http://www.sec.gov/Archives/edgar/data/1758730/000110465919030556/a19-9947_1ex10d8.htm" TargetMode="External"/><Relationship Id="rId89" Type="http://schemas.openxmlformats.org/officeDocument/2006/relationships/hyperlink" Target="http://www.sec.gov/Archives/edgar/data/1758730/000110465919030556/a19-9947_1ex10d9.htm" TargetMode="External"/><Relationship Id="rId90" Type="http://schemas.openxmlformats.org/officeDocument/2006/relationships/hyperlink" Target="http://www.sec.gov/Archives/edgar/data/1758730/000110465919030556/a19-9947_1ex10d10.htm" TargetMode="External"/><Relationship Id="rId91" Type="http://schemas.openxmlformats.org/officeDocument/2006/relationships/hyperlink" Target="http://www.sec.gov/Archives/edgar/data/1758730/000114420419015220/tv516514_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2019-12-28T07:33:24Z</dcterms:created>
  <dcterms:modified xsi:type="dcterms:W3CDTF">2019-12-28T07:33:24Z</dcterms:modified>
</cp:coreProperties>
</file>