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7204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04075"/>
                    </a:xfrm>
                    <a:prstGeom prst="rect">
                      <a:avLst/>
                    </a:prstGeom>
                    <a:noFill/>
                  </pic:spPr>
                </pic:pic>
              </a:graphicData>
            </a:graphic>
          </wp:anchor>
        </w:drawing>
      </w:r>
    </w:p>
    <w:p>
      <w:pPr>
        <w:spacing w:after="0" w:line="106" w:lineRule="exact"/>
        <w:rPr>
          <w:sz w:val="24"/>
          <w:szCs w:val="24"/>
          <w:color w:val="auto"/>
        </w:rPr>
      </w:pPr>
    </w:p>
    <w:p>
      <w:pPr>
        <w:sectPr>
          <w:pgSz w:w="11900" w:h="16865"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Spencer James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02/12/2020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4"/>
        <w:spacing w:after="0"/>
        <w:rPr>
          <w:sz w:val="20"/>
          <w:szCs w:val="20"/>
          <w:color w:val="auto"/>
        </w:rPr>
      </w:pPr>
      <w:r>
        <w:rPr>
          <w:rFonts w:ascii="Arial" w:cs="Arial" w:eastAsia="Arial" w:hAnsi="Arial"/>
          <w:sz w:val="17"/>
          <w:szCs w:val="17"/>
          <w:color w:val="0000FF"/>
        </w:rPr>
        <w:t>Chief Technology Officer</w:t>
      </w:r>
    </w:p>
    <w:p>
      <w:pPr>
        <w:spacing w:after="0" w:line="410" w:lineRule="exact"/>
        <w:rPr>
          <w:sz w:val="24"/>
          <w:szCs w:val="24"/>
          <w:color w:val="auto"/>
        </w:rPr>
      </w:pPr>
    </w:p>
    <w:p>
      <w:pPr>
        <w:sectPr>
          <w:pgSz w:w="11900" w:h="16865" w:orient="portrait"/>
          <w:cols w:equalWidth="0" w:num="3">
            <w:col w:w="3360" w:space="720"/>
            <w:col w:w="3256" w:space="720"/>
            <w:col w:w="3464"/>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74,996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133,329</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74,996</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47.1144</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30,321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88,654</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30,321</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47.0652</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1,835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60,168</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02/14/2020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1,835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50</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center"/>
              <w:ind w:left="24"/>
              <w:spacing w:after="0"/>
              <w:rPr>
                <w:sz w:val="20"/>
                <w:szCs w:val="20"/>
                <w:color w:val="auto"/>
              </w:rPr>
            </w:pPr>
            <w:r>
              <w:rPr>
                <w:rFonts w:ascii="Arial" w:cs="Arial" w:eastAsia="Arial" w:hAnsi="Arial"/>
                <w:sz w:val="17"/>
                <w:szCs w:val="17"/>
                <w:color w:val="0000FF"/>
                <w:w w:val="92"/>
              </w:rPr>
              <w:t>74,996</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02/12/2020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center"/>
              <w:ind w:left="258"/>
              <w:spacing w:after="0" w:line="148" w:lineRule="exact"/>
              <w:rPr>
                <w:sz w:val="20"/>
                <w:szCs w:val="20"/>
                <w:color w:val="auto"/>
              </w:rPr>
            </w:pPr>
            <w:r>
              <w:rPr>
                <w:rFonts w:ascii="Arial" w:cs="Arial" w:eastAsia="Arial" w:hAnsi="Arial"/>
                <w:sz w:val="13"/>
                <w:szCs w:val="13"/>
                <w:color w:val="0000FF"/>
                <w:w w:val="95"/>
              </w:rPr>
              <w:t>74,996</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9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227,583</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center"/>
              <w:ind w:left="24"/>
              <w:spacing w:after="0"/>
              <w:rPr>
                <w:sz w:val="20"/>
                <w:szCs w:val="20"/>
                <w:color w:val="auto"/>
              </w:rPr>
            </w:pPr>
            <w:r>
              <w:rPr>
                <w:rFonts w:ascii="Arial" w:cs="Arial" w:eastAsia="Arial" w:hAnsi="Arial"/>
                <w:sz w:val="17"/>
                <w:szCs w:val="17"/>
                <w:color w:val="0000FF"/>
                <w:w w:val="92"/>
              </w:rPr>
              <w:t>30,321</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center"/>
              <w:ind w:left="258"/>
              <w:spacing w:after="0" w:line="148" w:lineRule="exact"/>
              <w:rPr>
                <w:sz w:val="20"/>
                <w:szCs w:val="20"/>
                <w:color w:val="auto"/>
              </w:rPr>
            </w:pPr>
            <w:r>
              <w:rPr>
                <w:rFonts w:ascii="Arial" w:cs="Arial" w:eastAsia="Arial" w:hAnsi="Arial"/>
                <w:sz w:val="13"/>
                <w:szCs w:val="13"/>
                <w:color w:val="0000FF"/>
                <w:w w:val="95"/>
              </w:rPr>
              <w:t>30,321</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9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197,262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center"/>
              <w:ind w:left="24"/>
              <w:spacing w:after="0"/>
              <w:rPr>
                <w:sz w:val="20"/>
                <w:szCs w:val="20"/>
                <w:color w:val="auto"/>
              </w:rPr>
            </w:pPr>
            <w:r>
              <w:rPr>
                <w:rFonts w:ascii="Arial" w:cs="Arial" w:eastAsia="Arial" w:hAnsi="Arial"/>
                <w:sz w:val="17"/>
                <w:szCs w:val="17"/>
                <w:color w:val="0000FF"/>
                <w:w w:val="93"/>
              </w:rPr>
              <w:t>1,835</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02/14/2020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1,835</w:t>
            </w: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9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195,427</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31,663 unvested restricted stock units in respect of the issuer's Class A common stock which are scheduled to vest on January 1, 2021, subject to the reporting person's continued employment through the vesting date.</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$47.63,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$47.00 to $47.45,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02/14/2020</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James Spencer</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5"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2020-02-14T17:50:33Z</dcterms:created>
  <dcterms:modified xsi:type="dcterms:W3CDTF">2020-02-14T17:50:33Z</dcterms:modified>
</cp:coreProperties>
</file>