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2"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333-237760</w:t>
      </w:r>
    </w:p>
    <w:p>
      <w:pPr>
        <w:spacing w:after="0" w:line="19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60325</wp:posOffset>
            </wp:positionV>
            <wp:extent cx="186880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11,161,083 Shares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Tradeweb Markets Inc.</w:t>
      </w:r>
    </w:p>
    <w:p>
      <w:pPr>
        <w:spacing w:after="0" w:line="26"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Class A Common Stock</w:t>
      </w:r>
    </w:p>
    <w:p>
      <w:pPr>
        <w:spacing w:after="0" w:line="97" w:lineRule="exact"/>
        <w:rPr>
          <w:sz w:val="24"/>
          <w:szCs w:val="24"/>
          <w:color w:val="auto"/>
        </w:rPr>
      </w:pPr>
    </w:p>
    <w:p>
      <w:pPr>
        <w:ind w:left="500" w:right="60" w:firstLine="360"/>
        <w:spacing w:after="0" w:line="300" w:lineRule="auto"/>
        <w:rPr>
          <w:sz w:val="20"/>
          <w:szCs w:val="20"/>
          <w:color w:val="auto"/>
        </w:rPr>
      </w:pPr>
      <w:r>
        <w:rPr>
          <w:rFonts w:ascii="Arial" w:cs="Arial" w:eastAsia="Arial" w:hAnsi="Arial"/>
          <w:sz w:val="15"/>
          <w:szCs w:val="15"/>
          <w:color w:val="auto"/>
        </w:rPr>
        <w:t>Tradeweb Markets Inc. is selling 11,161,083 shares of Class A common stock. Our Class A common stock is listed on the Nasdaq Global Select Market (“Nasdaq”) under the symbol “TW.” The closing price of our Class A common stock on April 22, 2020 was $51.25 per share.</w:t>
      </w:r>
    </w:p>
    <w:p>
      <w:pPr>
        <w:spacing w:after="0" w:line="1" w:lineRule="exact"/>
        <w:rPr>
          <w:sz w:val="24"/>
          <w:szCs w:val="24"/>
          <w:color w:val="auto"/>
        </w:rPr>
      </w:pPr>
    </w:p>
    <w:p>
      <w:pPr>
        <w:ind w:left="500" w:right="420" w:firstLine="360"/>
        <w:spacing w:after="0" w:line="275"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1,674,162 additional shares of Class A common stock.</w:t>
      </w:r>
    </w:p>
    <w:p>
      <w:pPr>
        <w:spacing w:after="0" w:line="10" w:lineRule="exact"/>
        <w:rPr>
          <w:sz w:val="24"/>
          <w:szCs w:val="24"/>
          <w:color w:val="auto"/>
        </w:rPr>
      </w:pPr>
    </w:p>
    <w:p>
      <w:pPr>
        <w:ind w:left="500" w:right="60" w:firstLine="360"/>
        <w:spacing w:after="0" w:line="274" w:lineRule="auto"/>
        <w:rPr>
          <w:sz w:val="20"/>
          <w:szCs w:val="20"/>
          <w:color w:val="auto"/>
        </w:rPr>
      </w:pPr>
      <w:r>
        <w:rPr>
          <w:rFonts w:ascii="Arial" w:cs="Arial" w:eastAsia="Arial" w:hAnsi="Arial"/>
          <w:sz w:val="15"/>
          <w:szCs w:val="15"/>
          <w:color w:val="auto"/>
        </w:rPr>
        <w:t>We will use the net proceeds that we receive from this offering to purchase (i) issued and outstanding common membership units, which we refer to as “LLC Interests,” in Tradeweb Markets LLC, which we refer to as “TWM LLC,” from certain of the Bank Stockholders (as defined below) and (ii) issued and outstanding shares of Class A common stock from certain of our executive officers. There is no public market for the LLC Interests. The purchase price payable by us to the holders of these LLC Interests and shares of Class A common stock will be equal to the public offering price of our Class A common stock, less the underwriting discounts and commissions referred to below.</w:t>
      </w:r>
    </w:p>
    <w:p>
      <w:pPr>
        <w:spacing w:after="0" w:line="14" w:lineRule="exact"/>
        <w:rPr>
          <w:sz w:val="24"/>
          <w:szCs w:val="24"/>
          <w:color w:val="auto"/>
        </w:rPr>
      </w:pPr>
    </w:p>
    <w:p>
      <w:pPr>
        <w:ind w:left="500" w:right="120" w:firstLine="360"/>
        <w:spacing w:after="0" w:line="274" w:lineRule="auto"/>
        <w:rPr>
          <w:sz w:val="20"/>
          <w:szCs w:val="20"/>
          <w:color w:val="auto"/>
        </w:rPr>
      </w:pPr>
      <w:r>
        <w:rPr>
          <w:rFonts w:ascii="Arial" w:cs="Arial" w:eastAsia="Arial" w:hAnsi="Arial"/>
          <w:sz w:val="15"/>
          <w:szCs w:val="15"/>
          <w:color w:val="auto"/>
        </w:rPr>
        <w:t>We have four classes of authorized common stock: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do not have any of the economic rights (including the rights to dividends) provided to holders of Class A common stock and Class B common stock.</w:t>
      </w:r>
    </w:p>
    <w:p>
      <w:pPr>
        <w:spacing w:after="0" w:line="14" w:lineRule="exact"/>
        <w:rPr>
          <w:sz w:val="24"/>
          <w:szCs w:val="24"/>
          <w:color w:val="auto"/>
        </w:rPr>
      </w:pPr>
    </w:p>
    <w:p>
      <w:pPr>
        <w:ind w:left="500" w:firstLine="360"/>
        <w:spacing w:after="0" w:line="250" w:lineRule="auto"/>
        <w:rPr>
          <w:sz w:val="20"/>
          <w:szCs w:val="20"/>
          <w:color w:val="auto"/>
        </w:rPr>
      </w:pPr>
      <w:r>
        <w:rPr>
          <w:rFonts w:ascii="Arial" w:cs="Arial" w:eastAsia="Arial" w:hAnsi="Arial"/>
          <w:sz w:val="16"/>
          <w:szCs w:val="16"/>
          <w:color w:val="auto"/>
        </w:rPr>
        <w:t>Immediately following this offering, the holders of our Class A common stock collectively will hold 5.7% of the combined voting power in us and will indirectly hold 36.3% of the economic interest in TWM LLC, the Refinitiv Owners (as defined below), through their ownership of Class B common stock and Class D common stock, collectively will hold 83.0% of the combined voting power in us and will indirectly and directly hold 53.2% of the economic interest in TWM LLC, and the Other LLC Owners (as defined below), through their ownership of Class C common stock and/or Class D common stock, as the case may be, collectively will hold the remaining 11.3% of the combined voting power in us and will directly hold the remaining 10.5% of the economic interest in TWM LLC. We are a holding company, and upon completion of this offering and the application of the net proceeds therefrom, we will hold LLC Interests representing an aggregate 79.3% economic interest in TWM LLC. The remaining 20.7% economic interest in TWM LLC will be owned by the Continuing LLC Owners through their ownership of LLC Interests.</w:t>
      </w:r>
    </w:p>
    <w:p>
      <w:pPr>
        <w:spacing w:after="0" w:line="30" w:lineRule="exact"/>
        <w:rPr>
          <w:sz w:val="24"/>
          <w:szCs w:val="24"/>
          <w:color w:val="auto"/>
        </w:rPr>
      </w:pPr>
    </w:p>
    <w:p>
      <w:pPr>
        <w:ind w:left="500" w:firstLine="360"/>
        <w:spacing w:after="0" w:line="275" w:lineRule="auto"/>
        <w:rPr>
          <w:sz w:val="20"/>
          <w:szCs w:val="20"/>
          <w:color w:val="auto"/>
        </w:rPr>
      </w:pPr>
      <w:r>
        <w:rPr>
          <w:rFonts w:ascii="Arial" w:cs="Arial" w:eastAsia="Arial" w:hAnsi="Arial"/>
          <w:sz w:val="16"/>
          <w:szCs w:val="16"/>
          <w:color w:val="auto"/>
        </w:rPr>
        <w:t>The Refinitiv Owners own a majority of the combined voting power in us. As a result, we are a “controlled company” within the meaning of the corporate governance standards of Nasdaq.</w:t>
      </w:r>
    </w:p>
    <w:p>
      <w:pPr>
        <w:spacing w:after="0" w:line="10" w:lineRule="exact"/>
        <w:rPr>
          <w:sz w:val="24"/>
          <w:szCs w:val="24"/>
          <w:color w:val="auto"/>
        </w:rPr>
      </w:pPr>
    </w:p>
    <w:p>
      <w:pPr>
        <w:ind w:left="500" w:right="140" w:firstLine="360"/>
        <w:spacing w:after="0" w:line="26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are subject to reduced reporting requirements. This prospectus complies with the requirements that apply to an issuer that is an emerging growth company.</w:t>
      </w:r>
    </w:p>
    <w:p>
      <w:pPr>
        <w:spacing w:after="0" w:line="17" w:lineRule="exact"/>
        <w:rPr>
          <w:sz w:val="24"/>
          <w:szCs w:val="24"/>
          <w:color w:val="auto"/>
        </w:rPr>
      </w:pPr>
    </w:p>
    <w:p>
      <w:pPr>
        <w:ind w:left="500" w:right="120" w:firstLine="360"/>
        <w:spacing w:after="0" w:line="28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46">
        <w:r>
          <w:rPr>
            <w:rFonts w:ascii="Arial" w:cs="Arial" w:eastAsia="Arial" w:hAnsi="Arial"/>
            <w:sz w:val="16"/>
            <w:szCs w:val="16"/>
            <w:b w:val="1"/>
            <w:bCs w:val="1"/>
            <w:u w:val="single" w:color="auto"/>
            <w:color w:val="0000EE"/>
          </w:rPr>
          <w:t>38</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75" w:lineRule="exact"/>
        <w:rPr>
          <w:sz w:val="24"/>
          <w:szCs w:val="24"/>
          <w:color w:val="auto"/>
        </w:rPr>
      </w:pPr>
    </w:p>
    <w:tbl>
      <w:tblPr>
        <w:tblLayout w:type="fixed"/>
        <w:tblInd w:w="86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6"/>
                <w:szCs w:val="16"/>
                <w:color w:val="auto"/>
              </w:rPr>
            </w:pPr>
          </w:p>
        </w:tc>
        <w:tc>
          <w:tcPr>
            <w:tcW w:w="960" w:type="dxa"/>
            <w:vAlign w:val="bottom"/>
          </w:tcPr>
          <w:p>
            <w:pPr>
              <w:jc w:val="right"/>
              <w:ind w:right="365"/>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Price to public</w:t>
            </w:r>
          </w:p>
        </w:tc>
        <w:tc>
          <w:tcPr>
            <w:tcW w:w="3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89"/>
              </w:rPr>
              <w:t>50.25000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1"/>
              </w:rPr>
              <w:t>560,844,421</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3"/>
                <w:szCs w:val="23"/>
                <w:color w:val="auto"/>
                <w:vertAlign w:val="superscript"/>
              </w:rPr>
              <w:t>(1)</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auto"/>
              </w:rPr>
              <w:t>1.45725</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05"/>
              <w:spacing w:after="0"/>
              <w:rPr>
                <w:sz w:val="20"/>
                <w:szCs w:val="20"/>
                <w:color w:val="auto"/>
              </w:rPr>
            </w:pPr>
            <w:r>
              <w:rPr>
                <w:rFonts w:ascii="Arial" w:cs="Arial" w:eastAsia="Arial" w:hAnsi="Arial"/>
                <w:sz w:val="15"/>
                <w:szCs w:val="15"/>
                <w:color w:val="auto"/>
              </w:rPr>
              <w:t>16,264,488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Tradeweb Markets Inc.</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89"/>
              </w:rPr>
              <w:t>48.79275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1"/>
              </w:rPr>
              <w:t>544,579,933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-410845</wp:posOffset>
            </wp:positionV>
            <wp:extent cx="4963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6316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154305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3"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63"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6"/>
          <w:szCs w:val="16"/>
          <w:color w:val="auto"/>
        </w:rPr>
        <w:t>Delivery of the shares of Class A common stock will be made on or about April 27, 2020.</w:t>
      </w:r>
    </w:p>
    <w:p>
      <w:pPr>
        <w:spacing w:after="0" w:line="55" w:lineRule="exact"/>
        <w:rPr>
          <w:sz w:val="24"/>
          <w:szCs w:val="24"/>
          <w:color w:val="auto"/>
        </w:rPr>
      </w:pPr>
    </w:p>
    <w:p>
      <w:pPr>
        <w:ind w:left="500" w:right="120" w:firstLine="360"/>
        <w:spacing w:after="0" w:line="280"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ectPr>
          <w:pgSz w:w="11900" w:h="16838" w:orient="portrait"/>
          <w:cols w:equalWidth="0" w:num="1">
            <w:col w:w="10220"/>
          </w:cols>
          <w:pgMar w:left="320" w:top="239" w:right="1359" w:bottom="1440" w:gutter="0" w:footer="0" w:header="0"/>
        </w:sectPr>
      </w:pPr>
    </w:p>
    <w:p>
      <w:pPr>
        <w:spacing w:after="0" w:line="57" w:lineRule="exact"/>
        <w:rPr>
          <w:sz w:val="24"/>
          <w:szCs w:val="24"/>
          <w:color w:val="auto"/>
        </w:rPr>
      </w:pPr>
    </w:p>
    <w:p>
      <w:pPr>
        <w:ind w:left="50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Barclays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Morgan Stanley</w:t>
      </w:r>
    </w:p>
    <w:p>
      <w:pPr>
        <w:spacing w:after="0" w:line="88" w:lineRule="exact"/>
        <w:rPr>
          <w:sz w:val="24"/>
          <w:szCs w:val="24"/>
          <w:color w:val="auto"/>
        </w:rPr>
      </w:pPr>
    </w:p>
    <w:p>
      <w:pPr>
        <w:sectPr>
          <w:pgSz w:w="11900" w:h="16838" w:orient="portrait"/>
          <w:cols w:equalWidth="0" w:num="5">
            <w:col w:w="1660" w:space="620"/>
            <w:col w:w="840" w:space="660"/>
            <w:col w:w="920" w:space="660"/>
            <w:col w:w="2660" w:space="660"/>
            <w:col w:w="1540"/>
          </w:cols>
          <w:pgMar w:left="320" w:top="239" w:right="1359" w:bottom="1440" w:gutter="0" w:footer="0" w:header="0"/>
          <w:type w:val="continuous"/>
        </w:sectPr>
      </w:pPr>
    </w:p>
    <w:p>
      <w:pPr>
        <w:ind w:left="500"/>
        <w:spacing w:after="0"/>
        <w:rPr>
          <w:sz w:val="20"/>
          <w:szCs w:val="20"/>
          <w:color w:val="auto"/>
        </w:rPr>
      </w:pPr>
      <w:r>
        <w:rPr>
          <w:rFonts w:ascii="Arial" w:cs="Arial" w:eastAsia="Arial" w:hAnsi="Arial"/>
          <w:sz w:val="16"/>
          <w:szCs w:val="16"/>
          <w:b w:val="1"/>
          <w:bCs w:val="1"/>
          <w:color w:val="auto"/>
        </w:rPr>
        <w:t>BofA Securities</w:t>
      </w:r>
    </w:p>
    <w:p>
      <w:pPr>
        <w:spacing w:after="0" w:line="20" w:lineRule="exact"/>
        <w:rPr>
          <w:sz w:val="24"/>
          <w:szCs w:val="24"/>
          <w:color w:val="auto"/>
        </w:rPr>
      </w:pPr>
      <w:r>
        <w:rPr>
          <w:sz w:val="24"/>
          <w:szCs w:val="24"/>
          <w:color w:val="auto"/>
        </w:rPr>
        <w:br w:type="column"/>
      </w:r>
    </w:p>
    <w:p>
      <w:pPr>
        <w:jc w:val="center"/>
        <w:ind w:right="480"/>
        <w:spacing w:after="0"/>
        <w:rPr>
          <w:sz w:val="20"/>
          <w:szCs w:val="20"/>
          <w:color w:val="auto"/>
        </w:rPr>
      </w:pPr>
      <w:r>
        <w:rPr>
          <w:rFonts w:ascii="Arial" w:cs="Arial" w:eastAsia="Arial" w:hAnsi="Arial"/>
          <w:sz w:val="16"/>
          <w:szCs w:val="16"/>
          <w:b w:val="1"/>
          <w:bCs w:val="1"/>
          <w:color w:val="auto"/>
        </w:rPr>
        <w:t>Credit Suisse</w:t>
      </w:r>
    </w:p>
    <w:p>
      <w:pPr>
        <w:spacing w:after="0" w:line="20" w:lineRule="exact"/>
        <w:rPr>
          <w:sz w:val="24"/>
          <w:szCs w:val="24"/>
          <w:color w:val="auto"/>
        </w:rPr>
      </w:pPr>
      <w:r>
        <w:rPr>
          <w:sz w:val="24"/>
          <w:szCs w:val="24"/>
          <w:color w:val="auto"/>
        </w:rPr>
        <w:br w:type="column"/>
      </w:r>
    </w:p>
    <w:p>
      <w:pPr>
        <w:jc w:val="center"/>
        <w:ind w:right="480"/>
        <w:spacing w:after="0"/>
        <w:rPr>
          <w:sz w:val="20"/>
          <w:szCs w:val="20"/>
          <w:color w:val="auto"/>
        </w:rPr>
      </w:pPr>
      <w:r>
        <w:rPr>
          <w:rFonts w:ascii="Arial" w:cs="Arial" w:eastAsia="Arial" w:hAnsi="Arial"/>
          <w:sz w:val="16"/>
          <w:szCs w:val="16"/>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Wells Fargo Securities</w:t>
      </w:r>
    </w:p>
    <w:p>
      <w:pPr>
        <w:spacing w:after="0" w:line="135" w:lineRule="exact"/>
        <w:rPr>
          <w:sz w:val="24"/>
          <w:szCs w:val="24"/>
          <w:color w:val="auto"/>
        </w:rPr>
      </w:pPr>
    </w:p>
    <w:p>
      <w:pPr>
        <w:sectPr>
          <w:pgSz w:w="11900" w:h="16838" w:orient="portrait"/>
          <w:cols w:equalWidth="0" w:num="4">
            <w:col w:w="2220" w:space="720"/>
            <w:col w:w="1540" w:space="720"/>
            <w:col w:w="2500" w:space="720"/>
            <w:col w:w="1800"/>
          </w:cols>
          <w:pgMar w:left="320" w:top="239" w:right="1359" w:bottom="1440" w:gutter="0" w:footer="0" w:header="0"/>
          <w:type w:val="continuous"/>
        </w:sectPr>
      </w:pPr>
    </w:p>
    <w:p>
      <w:pPr>
        <w:ind w:left="3820"/>
        <w:spacing w:after="0"/>
        <w:rPr>
          <w:sz w:val="20"/>
          <w:szCs w:val="20"/>
          <w:color w:val="auto"/>
        </w:rPr>
      </w:pPr>
      <w:r>
        <w:rPr>
          <w:rFonts w:ascii="Arial" w:cs="Arial" w:eastAsia="Arial" w:hAnsi="Arial"/>
          <w:sz w:val="15"/>
          <w:szCs w:val="15"/>
          <w:color w:val="auto"/>
        </w:rPr>
        <w:t>The date of this prospectus is April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6806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6806565" cy="893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893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60" w:type="dxa"/>
            <w:vAlign w:val="bottom"/>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60" w:type="dxa"/>
            <w:vAlign w:val="bottom"/>
            <w:gridSpan w:val="3"/>
            <w:shd w:val="clear" w:color="auto" w:fill="CCEEFF"/>
          </w:tcPr>
          <w:p>
            <w:pPr>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MARKET AND INDUSTRY DATA</w:t>
              </w:r>
            </w:hyperlink>
          </w:p>
        </w:tc>
        <w:tc>
          <w:tcPr>
            <w:tcW w:w="1060" w:type="dxa"/>
            <w:vAlign w:val="bottom"/>
            <w:shd w:val="clear" w:color="auto" w:fill="CCEEFF"/>
          </w:tcPr>
          <w:p>
            <w:pPr>
              <w:jc w:val="right"/>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CERTAIN TRADEMARKS, TRADE NAMES AND SERVICE MARKS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BASIS OF PRESENTATION</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NON-GAAP FINANCIAL MEASURES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vi</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SUMMARY</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38</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CAUTIONARY NOTE REGARDING FORWARD-LOOKING STATEMENTS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74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THE IPO AND REORGANIZATION TRANSACTIONS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76</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USE OF PROCEEDS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79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60" w:type="dxa"/>
            <w:vAlign w:val="bottom"/>
            <w:gridSpan w:val="3"/>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DIVIDEND POLICY</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80</w:t>
              </w:r>
            </w:hyperlink>
          </w:p>
        </w:tc>
        <w:tc>
          <w:tcPr>
            <w:tcW w:w="0" w:type="dxa"/>
            <w:vAlign w:val="bottom"/>
          </w:tcPr>
          <w:p>
            <w:pPr>
              <w:spacing w:after="0"/>
              <w:rPr>
                <w:sz w:val="1"/>
                <w:szCs w:val="1"/>
                <w:color w:val="auto"/>
              </w:rPr>
            </w:pPr>
          </w:p>
        </w:tc>
      </w:tr>
      <w:tr>
        <w:trPr>
          <w:trHeight w:val="304"/>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CAPITALIZATION</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UNAUDITED PRO FORMA CONSOLIDATED FINANCIAL INFORMATION</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82</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MANAGEMENT</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PRINCIPAL STOCKHOLDERS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CERTAIN RELATIONSHIPS AND RELATED PARTY TRANSACTIONS</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102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CAPITAL STOCK</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113</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SHARES ELIGIBLE FOR FUTURE SALE</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35">
              <w:r>
                <w:rPr>
                  <w:rFonts w:ascii="Arial" w:cs="Arial" w:eastAsia="Arial" w:hAnsi="Arial"/>
                  <w:sz w:val="18"/>
                  <w:szCs w:val="18"/>
                  <w:color w:val="0000EE"/>
                  <w:w w:val="99"/>
                </w:rPr>
                <w:t>MATERIAL U.S. FEDERAL TAX CONSIDERATIONS FOR NON-U.S. HOLDERS OF OUR</w:t>
              </w:r>
            </w:hyperlink>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160" w:type="dxa"/>
            <w:vAlign w:val="bottom"/>
            <w:gridSpan w:val="3"/>
          </w:tcPr>
          <w:p>
            <w:pPr>
              <w:ind w:left="180"/>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COMMON STOCK</w:t>
              </w:r>
            </w:hyperlink>
          </w:p>
        </w:tc>
        <w:tc>
          <w:tcPr>
            <w:tcW w:w="108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127</w:t>
              </w:r>
            </w:hyperlink>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5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UNDERWRITING (CONFLICTS OF INTEREST)</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131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LEGAL MATTERS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137</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CHANGE IN INDEPENDENT REGISTERED PUBLIC ACCOUNTING FIRM</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137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60" w:type="dxa"/>
            <w:vAlign w:val="bottom"/>
            <w:gridSpan w:val="3"/>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EXPERTS</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139</w:t>
              </w:r>
            </w:hyperlink>
          </w:p>
        </w:tc>
        <w:tc>
          <w:tcPr>
            <w:tcW w:w="0" w:type="dxa"/>
            <w:vAlign w:val="bottom"/>
          </w:tcPr>
          <w:p>
            <w:pPr>
              <w:spacing w:after="0"/>
              <w:rPr>
                <w:sz w:val="1"/>
                <w:szCs w:val="1"/>
                <w:color w:val="auto"/>
              </w:rPr>
            </w:pPr>
          </w:p>
        </w:tc>
      </w:tr>
      <w:tr>
        <w:trPr>
          <w:trHeight w:val="317"/>
        </w:trPr>
        <w:tc>
          <w:tcPr>
            <w:tcW w:w="7160" w:type="dxa"/>
            <w:vAlign w:val="bottom"/>
            <w:gridSpan w:val="3"/>
            <w:shd w:val="clear" w:color="auto" w:fill="CCEEFF"/>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INCORPORATION BY REFERENCE</w:t>
              </w:r>
            </w:hyperlink>
          </w:p>
        </w:tc>
        <w:tc>
          <w:tcPr>
            <w:tcW w:w="1060" w:type="dxa"/>
            <w:vAlign w:val="bottom"/>
            <w:shd w:val="clear" w:color="auto" w:fill="CCEEFF"/>
          </w:tcPr>
          <w:p>
            <w:pPr>
              <w:jc w:val="right"/>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141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60" w:type="dxa"/>
            <w:vAlign w:val="bottom"/>
            <w:gridSpan w:val="3"/>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WHERE YOU CAN FIND MORE INFORMATION</w:t>
              </w:r>
            </w:hyperlink>
          </w:p>
        </w:tc>
        <w:tc>
          <w:tcPr>
            <w:tcW w:w="1080" w:type="dxa"/>
            <w:vAlign w:val="bottom"/>
            <w:gridSpan w:val="2"/>
          </w:tcPr>
          <w:p>
            <w:pPr>
              <w:jc w:val="right"/>
              <w:ind w:right="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141</w:t>
              </w:r>
            </w:hyperlink>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Neither we nor the underwriters have authorized anyone to provide you with any information other than that included or incorporated by reference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or incorporated by reference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7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30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This prospectus includes or incorporates by reference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72"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or incorporated by reference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7"/>
          <w:szCs w:val="17"/>
          <w:color w:val="auto"/>
        </w:rPr>
        <w:t xml:space="preserve">This prospectus includes or incorporates by reference trademarks and service marks owned by us. This prospectus also contains or incorporates by reference trademarks, trade names and service marks of other companies, which are the property of their respective owners. Solely for convenience, trademarks, trade names and service marks referred to in this prospectus may appear without the ®,™ or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financial statements and other disclosures included or incorporated by reference in this prospectus include those of Tradeweb Markets Inc., which is the issuer of the Class A common stock,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See “The IPO and Reorganization Transactions.”</w:t>
      </w:r>
    </w:p>
    <w:p>
      <w:pPr>
        <w:spacing w:after="0" w:line="2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71" w:lineRule="exact"/>
        <w:rPr>
          <w:sz w:val="20"/>
          <w:szCs w:val="20"/>
          <w:color w:val="auto"/>
        </w:rPr>
      </w:pPr>
    </w:p>
    <w:p>
      <w:pPr>
        <w:ind w:left="1980" w:right="799" w:hanging="352"/>
        <w:spacing w:after="0" w:line="273"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“We,” “us,” “our,” the “Company,” “Tradeweb” </w:t>
      </w:r>
      <w:r>
        <w:rPr>
          <w:rFonts w:ascii="Arial" w:cs="Arial" w:eastAsia="Arial" w:hAnsi="Arial"/>
          <w:sz w:val="17"/>
          <w:szCs w:val="17"/>
          <w:color w:val="auto"/>
        </w:rPr>
        <w:t>and similar references refer: (i) on or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23" w:lineRule="exact"/>
        <w:rPr>
          <w:rFonts w:ascii="Arial" w:cs="Arial" w:eastAsia="Arial" w:hAnsi="Arial"/>
          <w:sz w:val="17"/>
          <w:szCs w:val="17"/>
          <w:color w:val="auto"/>
        </w:rPr>
      </w:pPr>
    </w:p>
    <w:p>
      <w:pPr>
        <w:ind w:left="1980" w:right="679" w:hanging="352"/>
        <w:spacing w:after="0" w:line="253"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“Bank Stockholders” </w:t>
      </w:r>
      <w:r>
        <w:rPr>
          <w:rFonts w:ascii="Arial" w:cs="Arial" w:eastAsia="Arial" w:hAnsi="Arial"/>
          <w:sz w:val="18"/>
          <w:szCs w:val="18"/>
          <w:color w:val="auto"/>
        </w:rPr>
        <w:t>refer collectively to entities affiliated with the following clients: Barclays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28"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“Continuing LLC Owners” </w:t>
      </w:r>
      <w:r>
        <w:rPr>
          <w:rFonts w:ascii="Arial" w:cs="Arial" w:eastAsia="Arial" w:hAnsi="Arial"/>
          <w:sz w:val="18"/>
          <w:szCs w:val="18"/>
          <w:color w:val="auto"/>
        </w:rPr>
        <w:t>refer collectively to the Other LLC Owners and the Refinitiv LLC</w:t>
      </w:r>
      <w:r>
        <w:rPr>
          <w:rFonts w:ascii="Arial" w:cs="Arial" w:eastAsia="Arial" w:hAnsi="Arial"/>
          <w:sz w:val="18"/>
          <w:szCs w:val="18"/>
          <w:i w:val="1"/>
          <w:iCs w:val="1"/>
          <w:color w:val="auto"/>
        </w:rPr>
        <w:t xml:space="preserve"> </w:t>
      </w:r>
      <w:r>
        <w:rPr>
          <w:rFonts w:ascii="Arial" w:cs="Arial" w:eastAsia="Arial" w:hAnsi="Arial"/>
          <w:sz w:val="18"/>
          <w:szCs w:val="18"/>
          <w:color w:val="auto"/>
        </w:rPr>
        <w:t>Owner.</w:t>
      </w:r>
    </w:p>
    <w:p>
      <w:pPr>
        <w:spacing w:after="0" w:line="116"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Inc.</w:t>
      </w:r>
      <w:r>
        <w:rPr>
          <w:rFonts w:ascii="Arial" w:cs="Arial" w:eastAsia="Arial" w:hAnsi="Arial"/>
          <w:sz w:val="18"/>
          <w:szCs w:val="18"/>
          <w:i w:val="1"/>
          <w:iCs w:val="1"/>
          <w:color w:val="auto"/>
        </w:rPr>
        <w:t xml:space="preserve"> </w:t>
      </w:r>
      <w:r>
        <w:rPr>
          <w:rFonts w:ascii="Arial" w:cs="Arial" w:eastAsia="Arial" w:hAnsi="Arial"/>
          <w:sz w:val="18"/>
          <w:szCs w:val="18"/>
          <w:color w:val="auto"/>
        </w:rPr>
        <w:t>(f/k/a The Blackstone Group L.P.) (“Blackstone”), an affiliate of Canada Pension Plan Investment Board, an affiliate of GIC Special Investments Pte. Ltd. and certain co-investors, which collectively hold indirectly a 55% ownership interest in Refinitiv (as defined below).</w:t>
      </w:r>
    </w:p>
    <w:p>
      <w:pPr>
        <w:spacing w:after="0" w:line="132" w:lineRule="exact"/>
        <w:rPr>
          <w:rFonts w:ascii="Arial" w:cs="Arial" w:eastAsia="Arial" w:hAnsi="Arial"/>
          <w:sz w:val="18"/>
          <w:szCs w:val="18"/>
          <w:color w:val="auto"/>
        </w:rPr>
      </w:pPr>
    </w:p>
    <w:p>
      <w:pPr>
        <w:jc w:val="both"/>
        <w:ind w:left="1980" w:right="819" w:hanging="352"/>
        <w:spacing w:after="0" w:line="259"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Exercise” </w:t>
      </w:r>
      <w:r>
        <w:rPr>
          <w:rFonts w:ascii="Arial" w:cs="Arial" w:eastAsia="Arial" w:hAnsi="Arial"/>
          <w:sz w:val="18"/>
          <w:szCs w:val="18"/>
          <w:color w:val="auto"/>
        </w:rPr>
        <w:t>refer to the net exercise by certain of our executive officers immediately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of this offering of vested options and the issuance of shares of Class A common stock upon such net exercise, a portion of which shares of Class A common stock will be purchased by us with a portion of the net proceeds of this offering.</w:t>
      </w:r>
    </w:p>
    <w:p>
      <w:pPr>
        <w:spacing w:after="0" w:line="132"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single class of common membership interests of TWM LLC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Reorganization Transactions.</w:t>
      </w:r>
    </w:p>
    <w:p>
      <w:pPr>
        <w:spacing w:after="0" w:line="116"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“LSEG Transaction” </w:t>
      </w:r>
      <w:r>
        <w:rPr>
          <w:rFonts w:ascii="Arial" w:cs="Arial" w:eastAsia="Arial" w:hAnsi="Arial"/>
          <w:sz w:val="18"/>
          <w:szCs w:val="18"/>
          <w:color w:val="auto"/>
        </w:rPr>
        <w:t>refer to the pending acquisition of the Refinitiv business by the London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Exchange Group plc in an all share transaction for a total enterprise value of approximately $27 billion.</w:t>
      </w:r>
    </w:p>
    <w:p>
      <w:pPr>
        <w:spacing w:after="0" w:line="129" w:lineRule="exact"/>
        <w:rPr>
          <w:rFonts w:ascii="Arial" w:cs="Arial" w:eastAsia="Arial" w:hAnsi="Arial"/>
          <w:sz w:val="18"/>
          <w:szCs w:val="18"/>
          <w:color w:val="auto"/>
        </w:rPr>
      </w:pPr>
    </w:p>
    <w:p>
      <w:pPr>
        <w:jc w:val="both"/>
        <w:ind w:left="1980" w:right="1619" w:hanging="352"/>
        <w:spacing w:after="0" w:line="263"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“Original LLC Owners” </w:t>
      </w:r>
      <w:r>
        <w:rPr>
          <w:rFonts w:ascii="Arial" w:cs="Arial" w:eastAsia="Arial" w:hAnsi="Arial"/>
          <w:sz w:val="18"/>
          <w:szCs w:val="18"/>
          <w:color w:val="auto"/>
        </w:rPr>
        <w:t>refer to the owners of TWM LLC prior to the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(including the Refinitiv Owners, the Bank Stockholders and members of management).</w:t>
      </w:r>
    </w:p>
    <w:p>
      <w:pPr>
        <w:spacing w:after="0" w:line="129" w:lineRule="exact"/>
        <w:rPr>
          <w:rFonts w:ascii="Arial" w:cs="Arial" w:eastAsia="Arial" w:hAnsi="Arial"/>
          <w:sz w:val="18"/>
          <w:szCs w:val="18"/>
          <w:color w:val="auto"/>
        </w:rPr>
      </w:pPr>
    </w:p>
    <w:p>
      <w:pPr>
        <w:ind w:left="1980" w:right="679" w:hanging="352"/>
        <w:spacing w:after="0" w:line="269"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“Other LLC Owners” </w:t>
      </w:r>
      <w:r>
        <w:rPr>
          <w:rFonts w:ascii="Arial" w:cs="Arial" w:eastAsia="Arial" w:hAnsi="Arial"/>
          <w:sz w:val="17"/>
          <w:szCs w:val="17"/>
          <w:color w:val="auto"/>
        </w:rPr>
        <w:t>refer collectively to: (i) those Original LLC Owners (including certain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 Stockholders and members of management and excluding the Refinitiv LLC Owner) that continued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as described in “Certain Relationships and Related Party Transactions — Related Party Transactions Entered Into in Connection With the IPO — TWM LLC Agreement” and (ii) solely with respect to the Tax Receivable Agreement (as defined in “Prospectus Summary — Summary of the IPO and Reorganization Transactions”), also includes those Original LLC Owners, including certain Bank Stockholders, that disposed of all of their LLC Interests for cash in connection with the IPO.</w:t>
      </w:r>
    </w:p>
    <w:p>
      <w:pPr>
        <w:spacing w:after="0" w:line="124"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Limited, and unless otherwise stated or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requires, all of its subsidiaries, which owns substantially all of the former financial and</w:t>
      </w:r>
    </w:p>
    <w:p>
      <w:pPr>
        <w:spacing w:after="0" w:line="20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299"/>
        <w:spacing w:after="0" w:line="263" w:lineRule="auto"/>
        <w:rPr>
          <w:sz w:val="20"/>
          <w:szCs w:val="20"/>
          <w:color w:val="auto"/>
        </w:rPr>
      </w:pPr>
      <w:r>
        <w:rPr>
          <w:rFonts w:ascii="Arial" w:cs="Arial" w:eastAsia="Arial" w:hAnsi="Arial"/>
          <w:sz w:val="18"/>
          <w:szCs w:val="18"/>
          <w:color w:val="auto"/>
        </w:rPr>
        <w:t>risk business of Thomson Reuters (as defined below), including, prior to and following the completion of the Reorganization Transactions, an indirect majority ownership interest in Tradeweb, and is controlled by the Investor Group.</w:t>
      </w:r>
    </w:p>
    <w:p>
      <w:pPr>
        <w:spacing w:after="0" w:line="157" w:lineRule="exact"/>
        <w:rPr>
          <w:sz w:val="20"/>
          <w:szCs w:val="20"/>
          <w:color w:val="auto"/>
        </w:rPr>
      </w:pPr>
    </w:p>
    <w:p>
      <w:pPr>
        <w:ind w:left="1980" w:right="879" w:hanging="352"/>
        <w:spacing w:after="0" w:line="272"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Direct Owner” </w:t>
      </w:r>
      <w:r>
        <w:rPr>
          <w:rFonts w:ascii="Arial" w:cs="Arial" w:eastAsia="Arial" w:hAnsi="Arial"/>
          <w:sz w:val="17"/>
          <w:szCs w:val="17"/>
          <w:color w:val="auto"/>
        </w:rPr>
        <w:t>refer (i) prior to June 28, 2019, to a direct subsidiary of Refinitiv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owned interests in an entity that held membership interests of TWM LLC and received shares of our Class B common stock in exchange for the contribution of such entity to Tradeweb Markets Inc., which we refer to as the “Refinitiv Contribution,” in connection with the completion of the Reorganization Transactions and (ii) on and after June 28, 2019, to an indirect subsidiary of Refinitiv that owns shares of our Class B common stock, which shares were contributed by the direct subsidiary of Refinitiv referred to in the foregoing clause (i).</w:t>
      </w:r>
    </w:p>
    <w:p>
      <w:pPr>
        <w:spacing w:after="0" w:line="136" w:lineRule="exact"/>
        <w:rPr>
          <w:rFonts w:ascii="Arial" w:cs="Arial" w:eastAsia="Arial" w:hAnsi="Arial"/>
          <w:sz w:val="17"/>
          <w:szCs w:val="17"/>
          <w:color w:val="auto"/>
        </w:rPr>
      </w:pPr>
    </w:p>
    <w:p>
      <w:pPr>
        <w:ind w:left="1980" w:right="699" w:hanging="352"/>
        <w:spacing w:after="0" w:line="272"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owned membership interests of TWM LLC and that continues to own LLC Interests after the completion of the IPO and Reorganization Transactions, that received shares of our Class D common stock in connection with the completion of the Reorganization Transactions, and that may redeem or exchange its LLC Interests for shares of our Class A common stock or Class B common stock as described in “Certain Relationships and Related Party Transactions — Related Party Transactions Entered Into in Connection With the IPO — TWM LLC Agreement.”</w:t>
      </w:r>
    </w:p>
    <w:p>
      <w:pPr>
        <w:spacing w:after="0" w:line="136" w:lineRule="exact"/>
        <w:rPr>
          <w:rFonts w:ascii="Arial" w:cs="Arial" w:eastAsia="Arial" w:hAnsi="Arial"/>
          <w:sz w:val="17"/>
          <w:szCs w:val="17"/>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98"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in Refinitiv.</w:t>
      </w:r>
    </w:p>
    <w:p>
      <w:pPr>
        <w:spacing w:after="0" w:line="129" w:lineRule="exact"/>
        <w:rPr>
          <w:rFonts w:ascii="Arial" w:cs="Arial" w:eastAsia="Arial" w:hAnsi="Arial"/>
          <w:sz w:val="18"/>
          <w:szCs w:val="18"/>
          <w:color w:val="auto"/>
        </w:rPr>
      </w:pPr>
    </w:p>
    <w:p>
      <w:pPr>
        <w:jc w:val="both"/>
        <w:ind w:left="1980" w:right="999" w:hanging="352"/>
        <w:spacing w:after="0" w:line="263"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Reorganization Transactions, the IPO, the October 2019 follow-on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 Net Exercise, this offering and the other transactions described in “Unaudited Pro Forma Consolidated Financial Information.”</w:t>
      </w:r>
    </w:p>
    <w:p>
      <w:pPr>
        <w:spacing w:after="0" w:line="7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financial statements and other disclosures included or incorporated by reference in this prospectus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73"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The historical consolidated financial information included or incorporated by reference in this prospectus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historical consolidated financial information included or incorporated by reference in this prospectus relating to periods beginning on April 1, 2019, and through and including December 31,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historical consolidated financial information included or incorporated by reference in this prospectus do not reflect what the results of operations, financial position or cash flows of would have been had the Reorganization Transactions and the IPO taken place at the beginning of the periods presented.</w:t>
      </w:r>
    </w:p>
    <w:p>
      <w:pPr>
        <w:spacing w:after="0" w:line="2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unaudited pro forma consolidated financial information of Tradeweb Markets Inc. presented in this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prospectus has been derived by the application of pro forma adjustments to the historical consolidated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statements of Tradeweb Markets Inc. and its subsidiaries as of and for the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2019 incorporated by reference in this prospectus. These pro forma adjustments give effect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Transactions, including this offering, as well as certain other items described therein, as if all such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transactions had occurred on January 1, 2019, in the case of the unaudited pro forma consolidated statement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income, and as of December 31, 2019, in the case of the unaudited pro forma consolidated statement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condition. See “Unaudited Pro Forma Consolidated Financial Information” for a complete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description of the adjustments and assumptions underlying the pro forma financial information included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w:t>
      </w:r>
    </w:p>
    <w:p>
      <w:pPr>
        <w:spacing w:after="0" w:line="103"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w:t>
      </w:r>
    </w:p>
    <w:p>
      <w:pPr>
        <w:spacing w:after="0" w:line="73"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Due to the change in the basis of accounting resulting from the application of pushdown accounting, we are required to present separately the financial information for the periods beginning on October 1, 2018, and through and including December 31, 2019, which we refer to as the “Successor period,” and the financial information for the periods prior to, and including, September 30, 2018, which we refer to as the “Predecessor period.”</w:t>
      </w:r>
    </w:p>
    <w:p>
      <w:pPr>
        <w:spacing w:after="0" w:line="80"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consolidated financial statements incorporated by reference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Effects of Pushdown Accounting on our Financial Statements” in the 2019 Form 10-K (as defined below), incorporated by reference in this prospectus.</w:t>
      </w:r>
    </w:p>
    <w:p>
      <w:pPr>
        <w:spacing w:after="0" w:line="7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References in this prospectus to (i) “2018 Successor Period” mean the period from October 1, 2018 to December 31, 2018, (ii) “2018 Predecessor Period” mean the period from January 1, 2018 to September 30, 2018, (iii) “combined year ended December 31, 2018” or “2018 (Combined)” represent the sum of the results of the 2018 Successor Period and the 2018 Predecessor Period, and (iv) “2019 Form 10-K” mean our Annual Report on Form 10-K, as amended, for the year ended December 31, 2019.</w:t>
      </w:r>
    </w:p>
    <w:p>
      <w:pPr>
        <w:spacing w:after="0" w:line="6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26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This prospectus contains or incorporates by reference “non-GAAP financial measures,” which are financial measures that are not calculated and presented in accordance with GAAP.</w:t>
      </w:r>
    </w:p>
    <w:p>
      <w:pPr>
        <w:spacing w:after="0" w:line="63"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38" w:lineRule="exact"/>
        <w:rPr>
          <w:sz w:val="20"/>
          <w:szCs w:val="20"/>
          <w:color w:val="auto"/>
        </w:rPr>
      </w:pPr>
    </w:p>
    <w:p>
      <w:pPr>
        <w:ind w:left="1980" w:right="113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note 5 to the table under the heading “Prospectus Summary — Summary Historical and Pro Forma Consolidated Financial and Other Data.” For the definitions of Adjusted EBITDA, Adjusted EBIT and Adjusted Net Income and reconciliations to net income and net income attributable to Tradeweb Markets Inc., as applicable, their most directly comparable financial measures presented in accordance with GAAP, see note 6 to the table under the heading “Prospectus Summary — Summary Historical and Pro Forma Consolidated Financial and Other Data.” Adjusted EBITDA margin and Adjusted EBIT margin are defined as Adjusted EBITDA and Adjusted EBIT, respectively, divided by gross revenue for the applicable period.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w:t>
      </w:r>
    </w:p>
    <w:p>
      <w:pPr>
        <w:spacing w:after="0" w:line="8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73"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60" w:lineRule="exact"/>
        <w:rPr>
          <w:sz w:val="20"/>
          <w:szCs w:val="20"/>
          <w:color w:val="auto"/>
        </w:rPr>
      </w:pPr>
    </w:p>
    <w:p>
      <w:pPr>
        <w:jc w:val="both"/>
        <w:ind w:left="1980" w:right="859" w:hanging="352"/>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43"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changes in our working capital needs;</w:t>
      </w:r>
    </w:p>
    <w:p>
      <w:pPr>
        <w:spacing w:after="0" w:line="129"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1980" w:right="117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1980" w:right="699" w:hanging="352"/>
        <w:spacing w:after="0" w:line="25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7"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1980" w:right="739" w:hanging="352"/>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56" w:lineRule="exact"/>
        <w:rPr>
          <w:rFonts w:ascii="Arial" w:cs="Arial" w:eastAsia="Arial" w:hAnsi="Arial"/>
          <w:sz w:val="18"/>
          <w:szCs w:val="18"/>
          <w:color w:val="auto"/>
        </w:rPr>
      </w:pPr>
    </w:p>
    <w:p>
      <w:pPr>
        <w:ind w:left="1980" w:right="699" w:hanging="352"/>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76"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Because this is only a summary, it does not contain all of the information that you should consider in making your investment decision. Before investing in our Class A common stock, you should carefully read this entire prospectus, including the information in “Risk Factors” and “Cautionary Note Regarding Forward-Looking Statements,” and our consolidated financial statements and related notes thereto and other information incorporated by reference in this prospectus. For a description of certain of the terms we use to describe our business in this prospectus, see “Business” in the 2019 Form 10-K, incorporated by reference in this prospectus.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trailing twelve months ended March 31, 2020 of over $780 billion across more than 40 products.</w:t>
      </w:r>
    </w:p>
    <w:p>
      <w:pPr>
        <w:spacing w:after="0" w:line="71" w:lineRule="exact"/>
        <w:rPr>
          <w:sz w:val="20"/>
          <w:szCs w:val="20"/>
          <w:color w:val="auto"/>
        </w:rPr>
      </w:pPr>
    </w:p>
    <w:p>
      <w:pPr>
        <w:ind w:left="1280" w:right="1019" w:firstLine="360"/>
        <w:spacing w:after="0" w:line="286" w:lineRule="auto"/>
        <w:rPr>
          <w:sz w:val="20"/>
          <w:szCs w:val="20"/>
          <w:color w:val="auto"/>
        </w:rPr>
      </w:pPr>
      <w:r>
        <w:rPr>
          <w:rFonts w:ascii="Arial" w:cs="Arial" w:eastAsia="Arial" w:hAnsi="Arial"/>
          <w:sz w:val="17"/>
          <w:szCs w:val="17"/>
          <w:color w:val="auto"/>
        </w:rPr>
        <w:t>There are multiple key dimensions to the electronic marketplaces that we build and operate. Foundationally, these begin with our clients and then expand through and across multiple client sectors,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75"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8" w:lineRule="exact"/>
        <w:rPr>
          <w:sz w:val="20"/>
          <w:szCs w:val="20"/>
          <w:color w:val="auto"/>
        </w:rPr>
      </w:pPr>
    </w:p>
    <w:p>
      <w:pPr>
        <w:ind w:left="1280" w:right="759" w:firstLine="360"/>
        <w:spacing w:after="0" w:line="253" w:lineRule="auto"/>
        <w:rPr>
          <w:sz w:val="20"/>
          <w:szCs w:val="20"/>
          <w:color w:val="auto"/>
        </w:rPr>
      </w:pPr>
      <w:r>
        <w:rPr>
          <w:rFonts w:ascii="Arial" w:cs="Arial" w:eastAsia="Arial" w:hAnsi="Arial"/>
          <w:sz w:val="18"/>
          <w:szCs w:val="18"/>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pacing w:after="0" w:line="88" w:lineRule="exact"/>
        <w:rPr>
          <w:sz w:val="20"/>
          <w:szCs w:val="20"/>
          <w:color w:val="auto"/>
        </w:rPr>
      </w:pPr>
    </w:p>
    <w:p>
      <w:pPr>
        <w:ind w:left="1280" w:right="679" w:firstLine="360"/>
        <w:spacing w:after="0" w:line="253" w:lineRule="auto"/>
        <w:rPr>
          <w:sz w:val="20"/>
          <w:szCs w:val="20"/>
          <w:color w:val="auto"/>
        </w:rPr>
      </w:pPr>
      <w:r>
        <w:rPr>
          <w:rFonts w:ascii="Arial" w:cs="Arial" w:eastAsia="Arial" w:hAnsi="Arial"/>
          <w:sz w:val="18"/>
          <w:szCs w:val="18"/>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2019, we had annual compound average daily trading volume growth of 13.7% and annual compound gross revenue growth of 12.3%. For the year ended December 31, 2019 and the combined year ended December 31, 2018, 43.6% and 48.0% of our gross revenues, respectively, were fixed. For the year ended December 31, 2019, our variable revenues and fixed revenues each increased as compared to the combined prior year period.</w:t>
      </w:r>
    </w:p>
    <w:p>
      <w:pPr>
        <w:spacing w:after="0" w:line="88"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For the year ended December 31, 2019 and the combined year ended December 31, 2018, respectively, our gross revenue was $775.6 million and $684.4 million, an increase of 13.3%. For the year ended December 31, 2019, the 2018 Successor Period and the 2018 Predecessor Period, respectively, our net income was $173.0 million, $29.3 million and $130.2 million, our Adjusted EBITDA was $353.2 million, $65.3 million and $214.1 million, with an Adjusted EBITDA margin of 45.5%, 36.6% and 42.3%, and our Adjusted Net Income was $230.9 million, $40.8 million and $137.3 million. For the definitions of Adjusted EBITDA, Adjusted EBITDA margin and Adjusted Net Income and reconciliations to their most directly comparable financial measures presented in accordance with GAAP, see note 6 in “— Summary Historical and Pro Forma Consolidated Financial and Other Data.”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77"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7"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$6.3 trillion through December 31, 2019,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91" w:lineRule="auto"/>
        <w:rPr>
          <w:sz w:val="20"/>
          <w:szCs w:val="20"/>
          <w:color w:val="auto"/>
        </w:rPr>
      </w:pPr>
      <w:r>
        <w:rPr>
          <w:rFonts w:ascii="Arial" w:cs="Arial" w:eastAsia="Arial" w:hAnsi="Arial"/>
          <w:sz w:val="16"/>
          <w:szCs w:val="16"/>
          <w:color w:val="auto"/>
        </w:rPr>
        <w:t>Based on industry sources and management estimates, the markets in which we participate are actively traded and growing, and we estimate that trading in rates, credit, ETFs and money markets generated average daily trading volumes of approximately $3.7 trillion, $0.1 trillion, $0.1 trillion and $2.3 trillion, respectively, during the year ended December 31, 2019 as compared to $2.1 trillion, $0.1 trillion, $0.1 trillion and $1.6 trillion, respectively, in 2015. As electronic trading in these markets continues to develop, we believe we are well positioned to increase our share of these markets over time. For the year ended December 31, 2019, calculated on the same basis as our calculation of our addressable markets, trading in</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39"/>
        <w:spacing w:after="0" w:line="255" w:lineRule="auto"/>
        <w:rPr>
          <w:sz w:val="20"/>
          <w:szCs w:val="20"/>
          <w:color w:val="auto"/>
        </w:rPr>
      </w:pPr>
      <w:r>
        <w:rPr>
          <w:rFonts w:ascii="Arial" w:cs="Arial" w:eastAsia="Arial" w:hAnsi="Arial"/>
          <w:sz w:val="18"/>
          <w:szCs w:val="18"/>
          <w:color w:val="auto"/>
        </w:rPr>
        <w:t>certain of our rates, credit, ETFs and money markets products generated average daily trading volumes of $487 billion, $14 billion, $4 billion and $195 billion, respectively, and our average daily trading volumes for these product groups have increased by 25%, 32%, 12% and 23%, respectively, since 2015. Major market participants include large asset managers, hedge funds, central banks, banks and dealers, insurance companies, corporations, proprietary trading, brokerage and retail advisory firms, governments and retail investors.</w:t>
      </w:r>
    </w:p>
    <w:p>
      <w:pPr>
        <w:spacing w:after="0" w:line="8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6% and 19%, respectively, since 2007, according to SIFMA and BIS. The U.S. and European ETF markets have each grown annually at nearly 20% since 2007, according to ETFGI. Continuing growth in these markets is expected to be driven by increasing global trading volumes, resulting from increased economic activity, new government and corporate debt issuances and the continued growth of passive investing. Markets have migrated to electronic trading platforms at different adoption rates — some gradually over time (e.g., government bonds and corporate bonds) and others on a more accelerated basis due to regulation (e.g., interest rate swaps).</w:t>
      </w:r>
    </w:p>
    <w:p>
      <w:pPr>
        <w:spacing w:after="0" w:line="71" w:lineRule="exact"/>
        <w:rPr>
          <w:sz w:val="20"/>
          <w:szCs w:val="20"/>
          <w:color w:val="auto"/>
        </w:rPr>
      </w:pPr>
    </w:p>
    <w:p>
      <w:pPr>
        <w:ind w:left="1280" w:right="1279" w:firstLine="360"/>
        <w:spacing w:after="0" w:line="279" w:lineRule="auto"/>
        <w:rPr>
          <w:sz w:val="20"/>
          <w:szCs w:val="20"/>
          <w:color w:val="auto"/>
        </w:rPr>
      </w:pPr>
      <w:r>
        <w:rPr>
          <w:rFonts w:ascii="Arial" w:cs="Arial" w:eastAsia="Arial" w:hAnsi="Arial"/>
          <w:sz w:val="17"/>
          <w:szCs w:val="17"/>
          <w:color w:val="auto"/>
        </w:rPr>
        <w:t>Advancements in technology, increased connectivity and the evolving business needs of market participants have caused financial markets to become larger and more global. Our platforms operate throughout the 24-hour trading day as market participants have become increasingly global and comprehensive, trading across multiple geographies, asset classes and currencies.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1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4" w:lineRule="exact"/>
        <w:rPr>
          <w:sz w:val="20"/>
          <w:szCs w:val="20"/>
          <w:color w:val="auto"/>
        </w:rPr>
      </w:pPr>
    </w:p>
    <w:p>
      <w:pPr>
        <w:ind w:left="1280" w:right="659" w:firstLine="360"/>
        <w:spacing w:after="0" w:line="271" w:lineRule="auto"/>
        <w:rPr>
          <w:sz w:val="20"/>
          <w:szCs w:val="20"/>
          <w:color w:val="auto"/>
        </w:rPr>
      </w:pPr>
      <w:r>
        <w:rPr>
          <w:rFonts w:ascii="Arial" w:cs="Arial" w:eastAsia="Arial" w:hAnsi="Arial"/>
          <w:sz w:val="17"/>
          <w:szCs w:val="17"/>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9" w:lineRule="auto"/>
        <w:rPr>
          <w:sz w:val="20"/>
          <w:szCs w:val="20"/>
          <w:color w:val="auto"/>
        </w:rPr>
      </w:pPr>
      <w:r>
        <w:rPr>
          <w:rFonts w:ascii="Arial" w:cs="Arial" w:eastAsia="Arial" w:hAnsi="Arial"/>
          <w:sz w:val="18"/>
          <w:szCs w:val="18"/>
          <w:color w:val="auto"/>
        </w:rPr>
        <w:t>confirmation systems and other third-party service providers. These integrations, which include over 375 proprietary client integrations and over 30 vendor integrations, help our clients to improve the efficiency of their front, middle and back offices and provide them with the opportunity to adopt end-to-end straight-through processing.</w:t>
      </w:r>
    </w:p>
    <w:p>
      <w:pPr>
        <w:spacing w:after="0" w:line="7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process of market electronification is ongoing. Many markets — even in products we already offer</w:t>
      </w:r>
    </w:p>
    <w:p>
      <w:pPr>
        <w:spacing w:after="0" w:line="35" w:lineRule="exact"/>
        <w:rPr>
          <w:sz w:val="20"/>
          <w:szCs w:val="20"/>
          <w:color w:val="auto"/>
        </w:rPr>
      </w:pPr>
    </w:p>
    <w:p>
      <w:pPr>
        <w:ind w:left="1280" w:right="699"/>
        <w:spacing w:after="0" w:line="268" w:lineRule="auto"/>
        <w:rPr>
          <w:sz w:val="20"/>
          <w:szCs w:val="20"/>
          <w:color w:val="auto"/>
        </w:rPr>
      </w:pPr>
      <w:r>
        <w:rPr>
          <w:rFonts w:ascii="Arial" w:cs="Arial" w:eastAsia="Arial" w:hAnsi="Arial"/>
          <w:sz w:val="17"/>
          <w:szCs w:val="17"/>
          <w:color w:val="auto"/>
        </w:rPr>
        <w:t>—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35% to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3"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2019,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19" w:firstLine="360"/>
        <w:spacing w:after="0" w:line="269"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over 65 countries. For both the year ended December 31, 2019 and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1"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jc w:val="both"/>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8"/>
          <w:szCs w:val="18"/>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659" w:firstLine="360"/>
        <w:spacing w:after="0" w:line="252" w:lineRule="auto"/>
        <w:rPr>
          <w:sz w:val="20"/>
          <w:szCs w:val="20"/>
          <w:color w:val="auto"/>
        </w:rPr>
      </w:pPr>
      <w:r>
        <w:rPr>
          <w:rFonts w:ascii="Arial" w:cs="Arial" w:eastAsia="Arial" w:hAnsi="Arial"/>
          <w:sz w:val="18"/>
          <w:szCs w:val="18"/>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2019, the percentage of trades executed by our institutional clients using our AiEX functionality was 23%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78"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50,000 trades and over 1.0 billion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88"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jc w:val="both"/>
        <w:ind w:left="1280" w:right="75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04"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The underlying volumes in our asset classes continue to increase due to expanded government and corporate issuance.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equities and money markets asset classes has grown at a compound annual growth rate of 13% from 2015 through the year ended December 31, 2019. Select products that we believe have a high growth potential due to current market trends include global government bonds, interest rate derivatives, ETFs and credit cash products.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39" w:firstLine="360"/>
        <w:spacing w:after="0" w:line="268"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approximately 90% of our U.S. institutional high grade cash credit trades leverage our U.S. treasury marketplace for spotting. During the year ended December 31, 2019, net spotting accounted for over 25% of our overall U.S. high grade credit notional volume and over 13% of our U.S. high grade electronic credit volume.</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Electronification of Our Markets</w:t>
      </w:r>
    </w:p>
    <w:p>
      <w:pPr>
        <w:spacing w:after="0" w:line="104"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679" w:firstLine="360"/>
        <w:spacing w:after="0" w:line="251" w:lineRule="auto"/>
        <w:rPr>
          <w:sz w:val="20"/>
          <w:szCs w:val="20"/>
          <w:color w:val="auto"/>
        </w:rPr>
      </w:pPr>
      <w:r>
        <w:rPr>
          <w:rFonts w:ascii="Arial" w:cs="Arial" w:eastAsia="Arial" w:hAnsi="Arial"/>
          <w:sz w:val="18"/>
          <w:szCs w:val="18"/>
          <w:color w:val="auto"/>
        </w:rPr>
        <w:t>We have grown our business by prudently expanding our offerings to add new products and asset classes, and we expect to continue to invest to add new products and expand into new complementary markets as client demand and market trends evolve. We expanded into China in 2017 and offer our global clients access to the Chinese bond market through our initiative with BondConnect. We continue to focus on that initiative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99" w:lineRule="exact"/>
        <w:rPr>
          <w:sz w:val="20"/>
          <w:szCs w:val="20"/>
          <w:color w:val="auto"/>
        </w:rPr>
      </w:pPr>
    </w:p>
    <w:p>
      <w:pPr>
        <w:ind w:left="1280" w:right="779" w:firstLine="360"/>
        <w:spacing w:after="0" w:line="269"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over 65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70"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130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935" cy="81305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59" w:firstLine="360"/>
        <w:spacing w:after="0" w:line="259" w:lineRule="auto"/>
        <w:rPr>
          <w:sz w:val="20"/>
          <w:szCs w:val="20"/>
          <w:color w:val="auto"/>
        </w:rPr>
      </w:pPr>
      <w:r>
        <w:rPr>
          <w:rFonts w:ascii="Arial" w:cs="Arial" w:eastAsia="Arial" w:hAnsi="Arial"/>
          <w:sz w:val="18"/>
          <w:szCs w:val="18"/>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intend to continue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COVID-19</w:t>
      </w:r>
    </w:p>
    <w:p>
      <w:pPr>
        <w:spacing w:after="0" w:line="9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w:t>
      </w:r>
    </w:p>
    <w:p>
      <w:pPr>
        <w:spacing w:after="0" w:line="80"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In light of the unprecedented market volatility and significant economic disruption that has arisen in the wake of the pandemic, we have worked closely with our clients to provide flexible and secure access to our platforms, and to ensure that we would be a stable and resilient partner across multiple asset classes — 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are reflective of these factors.</w:t>
      </w:r>
    </w:p>
    <w:p>
      <w:pPr>
        <w:spacing w:after="0" w:line="84"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our expectation is to return to our offices when it is safe to do so,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87" w:lineRule="exact"/>
        <w:rPr>
          <w:sz w:val="20"/>
          <w:szCs w:val="20"/>
          <w:color w:val="auto"/>
        </w:rPr>
      </w:pPr>
    </w:p>
    <w:p>
      <w:pPr>
        <w:ind w:left="1280" w:right="659" w:firstLine="360"/>
        <w:spacing w:after="0" w:line="268" w:lineRule="auto"/>
        <w:rPr>
          <w:sz w:val="20"/>
          <w:szCs w:val="20"/>
          <w:color w:val="auto"/>
        </w:rPr>
      </w:pPr>
      <w:r>
        <w:rPr>
          <w:rFonts w:ascii="Arial" w:cs="Arial" w:eastAsia="Arial" w:hAnsi="Arial"/>
          <w:sz w:val="17"/>
          <w:szCs w:val="17"/>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78" w:lineRule="exact"/>
        <w:rPr>
          <w:sz w:val="20"/>
          <w:szCs w:val="20"/>
          <w:color w:val="auto"/>
        </w:rPr>
      </w:pPr>
    </w:p>
    <w:p>
      <w:pPr>
        <w:jc w:val="both"/>
        <w:ind w:left="1280" w:right="999" w:firstLine="360"/>
        <w:spacing w:after="0" w:line="286" w:lineRule="auto"/>
        <w:rPr>
          <w:sz w:val="20"/>
          <w:szCs w:val="20"/>
          <w:color w:val="auto"/>
        </w:rPr>
      </w:pPr>
      <w:r>
        <w:rPr>
          <w:rFonts w:ascii="Arial" w:cs="Arial" w:eastAsia="Arial" w:hAnsi="Arial"/>
          <w:sz w:val="17"/>
          <w:szCs w:val="17"/>
          <w:color w:val="auto"/>
        </w:rPr>
        <w:t>As the COVID-19 pandemic continues, it may also have the effect of heightening many of the risks described in “Risk Factors” in this prospectus, including, but not limited to, those relating to changes in economic, political, social and market conditions and the impact of these changes on trading volumes;</w:t>
      </w:r>
    </w:p>
    <w:p>
      <w:pPr>
        <w:sectPr>
          <w:pgSz w:w="11900" w:h="16838" w:orient="portrait"/>
          <w:cols w:equalWidth="0" w:num="1">
            <w:col w:w="10139"/>
          </w:cols>
          <w:pgMar w:left="320" w:top="132" w:right="1440" w:bottom="1440" w:gutter="0" w:footer="0" w:header="0"/>
          <w:type w:val="continuous"/>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59"/>
        <w:spacing w:after="0" w:line="259" w:lineRule="auto"/>
        <w:rPr>
          <w:sz w:val="20"/>
          <w:szCs w:val="20"/>
          <w:color w:val="auto"/>
        </w:rPr>
      </w:pPr>
      <w:r>
        <w:rPr>
          <w:rFonts w:ascii="Arial" w:cs="Arial" w:eastAsia="Arial" w:hAnsi="Arial"/>
          <w:sz w:val="18"/>
          <w:szCs w:val="18"/>
          <w:color w:val="auto"/>
        </w:rPr>
        <w:t>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 See “Risk Factors.”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 xml:space="preserve">As disclosed most recently in our 2019 Form 10-K, incorporated by reference in this prospectus, IDC Financial Publishing, Inc. (“IDC”) filed a lawsuit in the United States District Court for the Eastern District of Wisconsin captioned </w:t>
      </w:r>
      <w:r>
        <w:rPr>
          <w:rFonts w:ascii="Arial" w:cs="Arial" w:eastAsia="Arial" w:hAnsi="Arial"/>
          <w:sz w:val="17"/>
          <w:szCs w:val="17"/>
          <w:i w:val="1"/>
          <w:iCs w:val="1"/>
          <w:color w:val="auto"/>
        </w:rPr>
        <w:t>IDC Financial Publishing Inc. v. BondDesk Group LLC, et al.</w:t>
      </w:r>
      <w:r>
        <w:rPr>
          <w:rFonts w:ascii="Arial" w:cs="Arial" w:eastAsia="Arial" w:hAnsi="Arial"/>
          <w:sz w:val="17"/>
          <w:szCs w:val="17"/>
          <w:color w:val="auto"/>
        </w:rPr>
        <w:t xml:space="preserve"> Claims were asserted against Tradeweb and against Fidelity Global Brokerage Group, Inc., Fidelity Brokerage Services, LLC, and National Financial Services, LLC (collectively, “Fidelity”) relating to the distribution of IDC’s financial strength ratings over Tradeweb’s trading platform to Fidelity, its registered investment advisors and Fidelity’s correspondent banks. Following extensive pre-trial proceedings that resulted in certain of IDC’s claims being dismissed by the court, the parties entered into a settlement agreement in which all remaining claims and counterclaims in the lawsuit were settled without any material impact to our financial condition or results of operations, and the matter has been dismissed with prejudice.</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Preliminary Results for Three Months Ended March 31, 2020</w:t>
      </w:r>
    </w:p>
    <w:p>
      <w:pPr>
        <w:spacing w:after="0" w:line="104" w:lineRule="exact"/>
        <w:rPr>
          <w:sz w:val="20"/>
          <w:szCs w:val="20"/>
          <w:color w:val="auto"/>
        </w:rPr>
      </w:pPr>
    </w:p>
    <w:p>
      <w:pPr>
        <w:ind w:left="1280" w:right="659" w:firstLine="360"/>
        <w:spacing w:after="0" w:line="268" w:lineRule="auto"/>
        <w:rPr>
          <w:sz w:val="20"/>
          <w:szCs w:val="20"/>
          <w:color w:val="auto"/>
        </w:rPr>
      </w:pPr>
      <w:r>
        <w:rPr>
          <w:rFonts w:ascii="Arial" w:cs="Arial" w:eastAsia="Arial" w:hAnsi="Arial"/>
          <w:sz w:val="17"/>
          <w:szCs w:val="17"/>
          <w:color w:val="auto"/>
        </w:rPr>
        <w:t>Our preliminary estimated unaudited financial results for the three months ended March 31, 2020 are set forth below. Our estimates of results are based solely on information available to us as of the date of this prospectus and are inherently uncertain and subject to change due to a variety of business, economic and competitive risks and uncertainties, many of which are not within our control, and we undertake no obligation to update this information. Actual results remain subject to the completion of management’s final reviews and our other financial closing procedures, as well as the completion of our auditor’s review of our unaudited consolidated financial statements, as described below. Our actual unaudited consolidated financial statements and related notes as of and for the three months ended March 31, 2020 are not expected to be filed with the SEC until after this offering is completed. During the course of the preparation of our actual unaudited consolidated financial statements and related notes, additional items that would require material adjustments to the preliminary estimated unaudited financial results presented below may be identified. See “Management’s Discussion and Analysis of Financial Condition and Results of Operations — Critical Accounting Policies and Estimates — Use of Estimates” in the 2019 Form 10-K, incorporated by reference in this prospectus, and “Risk Factors — Risks Relating to Our Business and Our Industry” and “Cautionary Note Regarding Forward-Looking Statements” included elsewhere in this prospectus.</w:t>
      </w:r>
    </w:p>
    <w:p>
      <w:pPr>
        <w:spacing w:after="0" w:line="74" w:lineRule="exact"/>
        <w:rPr>
          <w:sz w:val="20"/>
          <w:szCs w:val="20"/>
          <w:color w:val="auto"/>
        </w:rPr>
      </w:pPr>
    </w:p>
    <w:p>
      <w:pPr>
        <w:ind w:left="1280" w:right="679" w:firstLine="360"/>
        <w:spacing w:after="0" w:line="271" w:lineRule="auto"/>
        <w:rPr>
          <w:sz w:val="20"/>
          <w:szCs w:val="20"/>
          <w:color w:val="auto"/>
        </w:rPr>
      </w:pPr>
      <w:r>
        <w:rPr>
          <w:rFonts w:ascii="Arial" w:cs="Arial" w:eastAsia="Arial" w:hAnsi="Arial"/>
          <w:sz w:val="17"/>
          <w:szCs w:val="17"/>
          <w:color w:val="auto"/>
        </w:rPr>
        <w:t>The preliminary financial data included in this prospectus have been prepared by and are the responsibility of our management. Our auditor, Deloitte &amp; Touche LLP, has not audited, reviewed, compiled or performed any procedures with respect to the preliminary financial data. Accordingly, Deloitte &amp; Touche LLP does not express an opinion or any other form of assurance with respect thereto. These estimates are not a comprehensive statement of our financial results as of and for the three months ended March 31, 2020, and should not be viewed as a substitute for full financial statements prepared in accordance with GAAP. In addition, these preliminary estimates for the three months ended March 31, 2020 are not necessarily indicative of the results that may be achieved for a full fiscal year or any future periods.</w:t>
      </w:r>
    </w:p>
    <w:p>
      <w:pPr>
        <w:spacing w:after="0" w:line="70"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8"/>
          <w:szCs w:val="18"/>
          <w:color w:val="auto"/>
        </w:rPr>
        <w:t>The table set forth below presents estimates for our expected gross revenue, total expenses, net income, net income attributable to Tradeweb Markets Inc., diluted earnings per share, Adjusted EBITDA, Adjusted EBITDA margin, Adjusted EBIT, Adjusted EBIT margin, Adjusted Net Income and Adjusted Diluted EPS for the three months ended March 31, 2020. As noted above, each of the line items presented below represents our preliminary estimated unaudited financial results which remain subject to the completion of management’s final reviews and our other financial closing procedures, as well as the completion of our auditor’s review of our unaudited consolidated financial statements for the three months ended March 31, 2020.</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w w:val="98"/>
              </w:rPr>
              <w:t>Three Months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Three Months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ind w:right="471"/>
              <w:spacing w:after="0"/>
              <w:rPr>
                <w:sz w:val="20"/>
                <w:szCs w:val="20"/>
                <w:color w:val="auto"/>
              </w:rPr>
            </w:pPr>
            <w:r>
              <w:rPr>
                <w:rFonts w:ascii="Arial" w:cs="Arial" w:eastAsia="Arial" w:hAnsi="Arial"/>
                <w:sz w:val="14"/>
                <w:szCs w:val="14"/>
                <w:b w:val="1"/>
                <w:bCs w:val="1"/>
                <w:color w:val="auto"/>
                <w:w w:val="98"/>
              </w:rPr>
              <w:t>Ended</w:t>
            </w:r>
          </w:p>
        </w:tc>
        <w:tc>
          <w:tcPr>
            <w:tcW w:w="50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 2019</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gridSpan w:val="6"/>
          </w:tcPr>
          <w:p>
            <w:pPr>
              <w:ind w:left="120"/>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Rates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126,039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w w:val="92"/>
              </w:rPr>
              <w:t>104,090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21,949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Credit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53,978</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39,435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19,434</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7,636</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64.7</w:t>
            </w: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11,208</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9,562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r>
      <w:tr>
        <w:trPr>
          <w:trHeight w:val="257"/>
        </w:trPr>
        <w:tc>
          <w:tcPr>
            <w:tcW w:w="20" w:type="dxa"/>
            <w:vAlign w:val="bottom"/>
          </w:tcPr>
          <w:p>
            <w:pPr>
              <w:spacing w:after="0"/>
              <w:rPr>
                <w:sz w:val="22"/>
                <w:szCs w:val="22"/>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Market Data</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18,562</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16,903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9.8</w:t>
            </w: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5,385</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r>
      <w:tr>
        <w:trPr>
          <w:trHeight w:val="257"/>
        </w:trPr>
        <w:tc>
          <w:tcPr>
            <w:tcW w:w="3560" w:type="dxa"/>
            <w:vAlign w:val="bottom"/>
            <w:gridSpan w:val="3"/>
          </w:tcPr>
          <w:p>
            <w:pPr>
              <w:spacing w:after="0"/>
              <w:rPr>
                <w:sz w:val="20"/>
                <w:szCs w:val="20"/>
                <w:color w:val="auto"/>
              </w:rPr>
            </w:pPr>
            <w:r>
              <w:rPr>
                <w:rFonts w:ascii="Arial" w:cs="Arial" w:eastAsia="Arial" w:hAnsi="Arial"/>
                <w:sz w:val="18"/>
                <w:szCs w:val="18"/>
                <w:color w:val="auto"/>
              </w:rPr>
              <w:t>Gross Revenue</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234,606</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w w:val="92"/>
              </w:rPr>
              <w:t>186,792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47,814</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25.6</w:t>
            </w: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2"/>
              </w:rPr>
              <w:t>156,991</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2"/>
              </w:rPr>
              <w:t>140,515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r>
      <w:tr>
        <w:trPr>
          <w:trHeight w:val="257"/>
        </w:trPr>
        <w:tc>
          <w:tcPr>
            <w:tcW w:w="35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62,485</w:t>
            </w:r>
          </w:p>
        </w:tc>
        <w:tc>
          <w:tcPr>
            <w:tcW w:w="500" w:type="dxa"/>
            <w:vAlign w:val="bottom"/>
          </w:tcPr>
          <w:p>
            <w:pPr>
              <w:spacing w:after="0"/>
              <w:rPr>
                <w:sz w:val="22"/>
                <w:szCs w:val="22"/>
                <w:color w:val="auto"/>
              </w:rPr>
            </w:pP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42,352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20,133</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47.5</w:t>
            </w:r>
          </w:p>
        </w:tc>
      </w:tr>
      <w:tr>
        <w:trPr>
          <w:trHeight w:val="242"/>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 attributable to Tradeweb Markets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43,928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83"/>
        </w:trPr>
        <w:tc>
          <w:tcPr>
            <w:tcW w:w="3560" w:type="dxa"/>
            <w:vAlign w:val="bottom"/>
            <w:gridSpan w:val="3"/>
          </w:tcPr>
          <w:p>
            <w:pPr>
              <w:spacing w:after="0" w:line="283"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6"/>
                <w:szCs w:val="26"/>
                <w:color w:val="auto"/>
                <w:vertAlign w:val="superscript"/>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line="283" w:lineRule="exact"/>
              <w:rPr>
                <w:sz w:val="20"/>
                <w:szCs w:val="20"/>
                <w:color w:val="auto"/>
              </w:rPr>
            </w:pPr>
            <w:r>
              <w:rPr>
                <w:rFonts w:ascii="Arial" w:cs="Arial" w:eastAsia="Arial" w:hAnsi="Arial"/>
                <w:sz w:val="18"/>
                <w:szCs w:val="18"/>
                <w:color w:val="auto"/>
              </w:rPr>
              <w:t>0.25</w:t>
            </w:r>
            <w:r>
              <w:rPr>
                <w:rFonts w:ascii="Arial" w:cs="Arial" w:eastAsia="Arial" w:hAnsi="Arial"/>
                <w:sz w:val="26"/>
                <w:szCs w:val="26"/>
                <w:color w:val="auto"/>
                <w:vertAlign w:val="superscript"/>
              </w:rPr>
              <w:t>(a)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line="283" w:lineRule="exact"/>
              <w:rPr>
                <w:sz w:val="20"/>
                <w:szCs w:val="20"/>
                <w:color w:val="auto"/>
              </w:rPr>
            </w:pPr>
            <w:r>
              <w:rPr>
                <w:rFonts w:ascii="Arial" w:cs="Arial" w:eastAsia="Arial" w:hAnsi="Arial"/>
                <w:sz w:val="18"/>
                <w:szCs w:val="18"/>
                <w:color w:val="auto"/>
              </w:rPr>
              <w:t>0.19</w:t>
            </w:r>
            <w:r>
              <w:rPr>
                <w:rFonts w:ascii="Arial" w:cs="Arial" w:eastAsia="Arial" w:hAnsi="Arial"/>
                <w:sz w:val="26"/>
                <w:szCs w:val="26"/>
                <w:color w:val="auto"/>
                <w:vertAlign w:val="superscript"/>
              </w:rPr>
              <w:t>(b)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20" w:type="dxa"/>
            <w:vAlign w:val="bottom"/>
          </w:tcPr>
          <w:p>
            <w:pPr>
              <w:spacing w:after="0"/>
              <w:rPr>
                <w:sz w:val="23"/>
                <w:szCs w:val="2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Financial Measures</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83"/>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119,650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80,347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48.9%</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51.0%</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+799bps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w w:val="92"/>
              </w:rPr>
              <w:t>108,747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70,053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38,694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55.2%</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+885bps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3540" w:type="dxa"/>
            <w:vAlign w:val="bottom"/>
            <w:gridSpan w:val="2"/>
          </w:tcPr>
          <w:p>
            <w:pPr>
              <w:ind w:left="160"/>
              <w:spacing w:after="0" w:line="28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85,368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1"/>
              <w:spacing w:after="0"/>
              <w:rPr>
                <w:sz w:val="20"/>
                <w:szCs w:val="20"/>
                <w:color w:val="auto"/>
              </w:rPr>
            </w:pPr>
            <w:r>
              <w:rPr>
                <w:rFonts w:ascii="Arial" w:cs="Arial" w:eastAsia="Arial" w:hAnsi="Arial"/>
                <w:sz w:val="18"/>
                <w:szCs w:val="18"/>
                <w:color w:val="auto"/>
              </w:rPr>
              <w:t>52,190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63.6%</w:t>
            </w:r>
          </w:p>
        </w:tc>
      </w:tr>
      <w:tr>
        <w:trPr>
          <w:trHeight w:val="283"/>
        </w:trPr>
        <w:tc>
          <w:tcPr>
            <w:tcW w:w="20" w:type="dxa"/>
            <w:vAlign w:val="bottom"/>
          </w:tcPr>
          <w:p>
            <w:pPr>
              <w:spacing w:after="0"/>
              <w:rPr>
                <w:sz w:val="24"/>
                <w:szCs w:val="24"/>
                <w:color w:val="auto"/>
              </w:rPr>
            </w:pPr>
          </w:p>
        </w:tc>
        <w:tc>
          <w:tcPr>
            <w:tcW w:w="3540" w:type="dxa"/>
            <w:vAlign w:val="bottom"/>
            <w:gridSpan w:val="2"/>
            <w:shd w:val="clear" w:color="auto" w:fill="CCEEFF"/>
          </w:tcPr>
          <w:p>
            <w:pPr>
              <w:ind w:left="160"/>
              <w:spacing w:after="0" w:line="28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(1)(2)(3)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line="283" w:lineRule="exact"/>
              <w:rPr>
                <w:sz w:val="20"/>
                <w:szCs w:val="20"/>
                <w:color w:val="auto"/>
              </w:rPr>
            </w:pPr>
            <w:r>
              <w:rPr>
                <w:rFonts w:ascii="Arial" w:cs="Arial" w:eastAsia="Arial" w:hAnsi="Arial"/>
                <w:sz w:val="18"/>
                <w:szCs w:val="18"/>
                <w:color w:val="auto"/>
              </w:rPr>
              <w:t>0.37</w:t>
            </w:r>
            <w:r>
              <w:rPr>
                <w:rFonts w:ascii="Arial" w:cs="Arial" w:eastAsia="Arial" w:hAnsi="Arial"/>
                <w:sz w:val="26"/>
                <w:szCs w:val="26"/>
                <w:color w:val="auto"/>
                <w:vertAlign w:val="superscript"/>
              </w:rPr>
              <w:t>(a)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00"/>
              <w:spacing w:after="0" w:line="283" w:lineRule="exact"/>
              <w:rPr>
                <w:sz w:val="20"/>
                <w:szCs w:val="20"/>
                <w:color w:val="auto"/>
              </w:rPr>
            </w:pPr>
            <w:r>
              <w:rPr>
                <w:rFonts w:ascii="Arial" w:cs="Arial" w:eastAsia="Arial" w:hAnsi="Arial"/>
                <w:sz w:val="18"/>
                <w:szCs w:val="18"/>
                <w:color w:val="auto"/>
              </w:rPr>
              <w:t>0.23</w:t>
            </w:r>
            <w:r>
              <w:rPr>
                <w:rFonts w:ascii="Arial" w:cs="Arial" w:eastAsia="Arial" w:hAnsi="Arial"/>
                <w:sz w:val="26"/>
                <w:szCs w:val="26"/>
                <w:color w:val="auto"/>
                <w:vertAlign w:val="superscript"/>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43"/>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75" w:lineRule="exact"/>
        <w:rPr>
          <w:sz w:val="20"/>
          <w:szCs w:val="20"/>
          <w:color w:val="auto"/>
        </w:rPr>
      </w:pPr>
    </w:p>
    <w:p>
      <w:pPr>
        <w:ind w:left="1640" w:right="859" w:hanging="354"/>
        <w:spacing w:after="0" w:line="308" w:lineRule="auto"/>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a result of the Reorganization Transactions and the IPO completed in April 2019, certain earnings information is being presented separately for Tradeweb Markets LLC and Tradeweb Markets Inc.</w:t>
      </w:r>
    </w:p>
    <w:p>
      <w:pPr>
        <w:spacing w:after="0" w:line="65" w:lineRule="exact"/>
        <w:rPr>
          <w:rFonts w:ascii="Arial" w:cs="Arial" w:eastAsia="Arial" w:hAnsi="Arial"/>
          <w:sz w:val="17"/>
          <w:szCs w:val="17"/>
          <w:color w:val="auto"/>
        </w:rPr>
      </w:pPr>
    </w:p>
    <w:p>
      <w:pPr>
        <w:ind w:left="2000" w:hanging="354"/>
        <w:spacing w:after="0"/>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sz w:val="20"/>
          <w:szCs w:val="20"/>
          <w:color w:val="auto"/>
        </w:rPr>
      </w:pPr>
    </w:p>
    <w:p>
      <w:pPr>
        <w:ind w:left="1640" w:right="11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16" w:lineRule="exact"/>
        <w:rPr>
          <w:sz w:val="20"/>
          <w:szCs w:val="20"/>
          <w:color w:val="auto"/>
        </w:rPr>
      </w:pPr>
    </w:p>
    <w:p>
      <w:pPr>
        <w:ind w:left="1640" w:right="679" w:hanging="354"/>
        <w:spacing w:after="0" w:line="259"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definitions of Adjusted EBITDA, Adjusted EBITDA margin, Adjusted EBIT, Adjusted EBIT margin, Adjusted Net Income and Adjusted Diluted EPS, see note 6 in “— Summary Historical and Pro Forma Consolidated Financial and Other Data.” For reconciliations to their most directly comparable financial measures presented in accordance with GAAP, see the tables below.</w:t>
      </w:r>
    </w:p>
    <w:p>
      <w:pPr>
        <w:spacing w:after="0" w:line="119" w:lineRule="exact"/>
        <w:rPr>
          <w:rFonts w:ascii="Arial" w:cs="Arial" w:eastAsia="Arial" w:hAnsi="Arial"/>
          <w:sz w:val="18"/>
          <w:szCs w:val="18"/>
          <w:color w:val="auto"/>
        </w:rPr>
      </w:pPr>
    </w:p>
    <w:p>
      <w:pPr>
        <w:ind w:left="1640" w:right="659" w:hanging="354"/>
        <w:spacing w:after="0" w:line="259"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EPS includes certain tax related adjustments to reflect an assumed effective tax rate for all periods presented and, for the three months ended March 31, 2020, assumes all LLC Interests are exchanged for shares of Class A or Class B common stock. As a result, we believe that Adjusted Diluted EPS for Tradeweb Markets Inc. and Tradeweb Markets LLC are comparable.</w:t>
      </w:r>
    </w:p>
    <w:p>
      <w:pPr>
        <w:spacing w:after="0" w:line="79" w:lineRule="exact"/>
        <w:rPr>
          <w:sz w:val="20"/>
          <w:szCs w:val="20"/>
          <w:color w:val="auto"/>
        </w:rPr>
      </w:pPr>
    </w:p>
    <w:p>
      <w:pPr>
        <w:ind w:left="1280" w:right="679" w:firstLine="360"/>
        <w:spacing w:after="0" w:line="293" w:lineRule="auto"/>
        <w:rPr>
          <w:sz w:val="20"/>
          <w:szCs w:val="20"/>
          <w:color w:val="auto"/>
        </w:rPr>
      </w:pPr>
      <w:r>
        <w:rPr>
          <w:rFonts w:ascii="Arial" w:cs="Arial" w:eastAsia="Arial" w:hAnsi="Arial"/>
          <w:sz w:val="16"/>
          <w:szCs w:val="16"/>
          <w:color w:val="auto"/>
        </w:rPr>
        <w:t>During the three months ended March 31, 2020 as compared to the three months ended March 31, 2019, our estimated results benefited from higher revenues related to increases in rates, credit, equities and money markets trading. Our expenses increased primarily due to higher employee compensation and benefits expense, including non-cash stock-based compensation expense related to options and payroll taxes associated with the exercise of stock options. Net income for the three months ended March 31, 2020 and 2019 was $62.5 million and $42.4 million, respectively, primarily due to the impact of higher gross revenue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9" w:lineRule="auto"/>
        <w:rPr>
          <w:sz w:val="20"/>
          <w:szCs w:val="20"/>
          <w:color w:val="auto"/>
        </w:rPr>
      </w:pPr>
      <w:r>
        <w:rPr>
          <w:rFonts w:ascii="Arial" w:cs="Arial" w:eastAsia="Arial" w:hAnsi="Arial"/>
          <w:sz w:val="18"/>
          <w:szCs w:val="18"/>
          <w:color w:val="auto"/>
        </w:rPr>
        <w:t>of $47.8 million, partially offset by higher employee compensation and benefits expense, including a $3.5 million increase in non-cash stock-based compensation expense related to options and associated payroll taxes. Net income attributable to Tradeweb Markets Inc. for the three months ended March 31, 2020 was $43.9 million.</w:t>
      </w:r>
    </w:p>
    <w:p>
      <w:pPr>
        <w:spacing w:after="0" w:line="79"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increased for the three months ended March 31, 2020 as compared to the prior period, primarily due to gross revenue growth of 25.6%.</w:t>
      </w:r>
    </w:p>
    <w:p>
      <w:pPr>
        <w:spacing w:after="0" w:line="76" w:lineRule="exact"/>
        <w:rPr>
          <w:sz w:val="20"/>
          <w:szCs w:val="20"/>
          <w:color w:val="auto"/>
        </w:rPr>
      </w:pPr>
    </w:p>
    <w:p>
      <w:pPr>
        <w:ind w:left="1280" w:right="69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March 31, 2020 and 2019 were as follows:</w:t>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ADV</w:t>
            </w: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ADV</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37"/>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Volume</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 Change</w:t>
            </w:r>
          </w:p>
        </w:tc>
      </w:tr>
      <w:tr>
        <w:trPr>
          <w:trHeight w:val="175"/>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590,773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36,867,838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429,226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26,357,344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Credit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2,070,811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1,010,037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1,111,272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Money Markets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256,193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15,948,560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192,264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11,771,636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20" w:type="dxa"/>
            <w:vAlign w:val="bottom"/>
          </w:tcPr>
          <w:p>
            <w:pPr>
              <w:spacing w:after="0" w:line="20" w:lineRule="exact"/>
              <w:rPr>
                <w:sz w:val="1"/>
                <w:szCs w:val="1"/>
                <w:color w:val="auto"/>
              </w:rPr>
            </w:pPr>
          </w:p>
        </w:tc>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897,756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55,998,481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645,647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39,618,954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We believe the increases in average daily volumes for our rates, credit, equities and money markets asset classes in the three months ended March 31, 2020 can be attributed to various factors, including further electronification of trading activities across our asset classes, increase in market share, new products, new clients and increased volatility. Rates ADV increased mainly due to higher trading activity in long and short-tenor interest rate swaps and swaptions, mortgages and U.S. treasuries. Credit ADV increased mainly due to higher trading activity in credit derivatives, U.S. high-grade and high-yield credit and European Credit. Equities ADV increased mainly due to higher trading activity in U.S. and European ETFs and derivatives. Money Markets ADV increased due to the continued growth of bilateral electronic trading in repurchase agreements.</w:t>
      </w:r>
    </w:p>
    <w:p>
      <w:pPr>
        <w:spacing w:after="0" w:line="8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March 31,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31.0% for the three months ended March 31, 2020 while gross revenue for our Credit asset class increased 36.9% over the same period.</w:t>
      </w:r>
    </w:p>
    <w:p>
      <w:pPr>
        <w:spacing w:after="0" w:line="10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rPr>
              <w:t>March 31, 2020</w:t>
            </w:r>
          </w:p>
        </w:tc>
        <w:tc>
          <w:tcPr>
            <w:tcW w:w="116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w w:val="98"/>
              </w:rPr>
              <w:t>March 31, 2019</w:t>
            </w:r>
          </w:p>
        </w:tc>
        <w:tc>
          <w:tcPr>
            <w:tcW w:w="28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6"/>
              </w:rPr>
              <w:t>Rates — excluding short-tenor swaps (less than 1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2.39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2.09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4"/>
              </w:rPr>
              <w:t>23.46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34.02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15.39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21.15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Fees per Million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2.65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2.62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5"/>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Fees per Million — excluding short-tenor swaps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than 1 year)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959" w:firstLine="360"/>
        <w:spacing w:after="0" w:line="263"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2020 and 2019:</w:t>
      </w:r>
    </w:p>
    <w:p>
      <w:pPr>
        <w:spacing w:after="0" w:line="10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March 31, 2020</w:t>
            </w:r>
          </w:p>
        </w:tc>
        <w:tc>
          <w:tcPr>
            <w:tcW w:w="1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4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(699)</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gridSpan w:val="2"/>
          </w:tcPr>
          <w:p>
            <w:pPr>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6"/>
                <w:szCs w:val="26"/>
                <w:color w:val="auto"/>
                <w:vertAlign w:val="superscript"/>
              </w:rPr>
              <w:t>(1)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3,497</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rPr>
                <w:sz w:val="20"/>
                <w:szCs w:val="20"/>
                <w:color w:val="auto"/>
              </w:rPr>
            </w:pPr>
            <w:r>
              <w:rPr>
                <w:rFonts w:ascii="Arial" w:cs="Arial" w:eastAsia="Arial" w:hAnsi="Arial"/>
                <w:sz w:val="18"/>
                <w:szCs w:val="18"/>
                <w:color w:val="auto"/>
              </w:rPr>
              <w:t>Unrealized foreign exchange (gains) / losses</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w:t>
            </w: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6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6"/>
                <w:szCs w:val="26"/>
                <w:color w:val="auto"/>
                <w:vertAlign w:val="superscript"/>
              </w:rPr>
              <w:t>(2)</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119,650</w:t>
            </w:r>
          </w:p>
        </w:tc>
        <w:tc>
          <w:tcPr>
            <w:tcW w:w="4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80,347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(37,176)</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(33,503)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60" w:type="dxa"/>
            <w:vAlign w:val="bottom"/>
            <w:tcBorders>
              <w:bottom w:val="single" w:sz="8" w:color="CCEEFF"/>
            </w:tcBorders>
            <w:gridSpan w:val="2"/>
          </w:tcPr>
          <w:p>
            <w:pPr>
              <w:spacing w:after="0" w:line="283" w:lineRule="exact"/>
              <w:rPr>
                <w:sz w:val="20"/>
                <w:szCs w:val="20"/>
                <w:color w:val="auto"/>
              </w:rPr>
            </w:pPr>
            <w:r>
              <w:rPr>
                <w:rFonts w:ascii="Arial" w:cs="Arial" w:eastAsia="Arial" w:hAnsi="Arial"/>
                <w:sz w:val="18"/>
                <w:szCs w:val="18"/>
                <w:color w:val="auto"/>
              </w:rPr>
              <w:t>Add: Acquisition and Refinitiv Transaction related D&amp;A</w:t>
            </w:r>
            <w:r>
              <w:rPr>
                <w:rFonts w:ascii="Arial" w:cs="Arial" w:eastAsia="Arial" w:hAnsi="Arial"/>
                <w:sz w:val="26"/>
                <w:szCs w:val="26"/>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26,273</w:t>
            </w:r>
          </w:p>
        </w:tc>
        <w:tc>
          <w:tcPr>
            <w:tcW w:w="4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3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108,747</w:t>
            </w:r>
          </w:p>
        </w:tc>
        <w:tc>
          <w:tcPr>
            <w:tcW w:w="4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70,053</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gridSpan w:val="2"/>
            <w:vMerge w:val="restart"/>
          </w:tcPr>
          <w:p>
            <w:pPr>
              <w:spacing w:after="0" w:line="28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(4)</w:t>
            </w: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gridSpan w:val="2"/>
            <w:vMerge w:val="restart"/>
            <w:shd w:val="clear" w:color="auto" w:fill="CCEEFF"/>
          </w:tcPr>
          <w:p>
            <w:pPr>
              <w:spacing w:after="0" w:line="257"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6"/>
                <w:szCs w:val="26"/>
                <w:color w:val="auto"/>
                <w:vertAlign w:val="superscript"/>
              </w:rPr>
              <w:t>(4)</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40" w:right="839" w:hanging="354"/>
        <w:spacing w:after="0" w:line="275"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incorporated by reference in this prospectus, and post-IPO options awarded in 2019 and payroll taxes associated with exercises of such options during the applicable period.</w:t>
      </w:r>
    </w:p>
    <w:p>
      <w:pPr>
        <w:spacing w:after="0" w:line="135" w:lineRule="exact"/>
        <w:rPr>
          <w:rFonts w:ascii="Arial" w:cs="Arial" w:eastAsia="Arial" w:hAnsi="Arial"/>
          <w:sz w:val="17"/>
          <w:szCs w:val="17"/>
          <w:color w:val="auto"/>
        </w:rPr>
      </w:pPr>
    </w:p>
    <w:p>
      <w:pPr>
        <w:ind w:left="1640" w:right="1179" w:hanging="354"/>
        <w:spacing w:after="0" w:line="277"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1640" w:right="719" w:hanging="354"/>
        <w:spacing w:after="0" w:line="259"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ind w:left="1640" w:right="719" w:hanging="354"/>
        <w:spacing w:after="0" w:line="268"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2020 and 2019:</w:t>
      </w:r>
    </w:p>
    <w:p>
      <w:pPr>
        <w:spacing w:after="0" w:line="108" w:lineRule="exact"/>
        <w:rPr>
          <w:sz w:val="20"/>
          <w:szCs w:val="20"/>
          <w:color w:val="auto"/>
        </w:rPr>
      </w:pPr>
    </w:p>
    <w:tbl>
      <w:tblPr>
        <w:tblLayout w:type="fixed"/>
        <w:tblInd w:w="6800" w:type="dxa"/>
        <w:tblCellMar>
          <w:top w:w="0" w:type="dxa"/>
          <w:left w:w="0" w:type="dxa"/>
          <w:bottom w:w="0" w:type="dxa"/>
          <w:right w:w="0" w:type="dxa"/>
        </w:tblCellMar>
      </w:tblPr>
      <w:tr>
        <w:trPr>
          <w:trHeight w:val="162"/>
        </w:trPr>
        <w:tc>
          <w:tcPr>
            <w:tcW w:w="126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Three Months</w:t>
            </w:r>
          </w:p>
        </w:tc>
        <w:tc>
          <w:tcPr>
            <w:tcW w:w="12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Three Months</w:t>
            </w:r>
          </w:p>
        </w:tc>
      </w:tr>
      <w:tr>
        <w:trPr>
          <w:trHeight w:val="162"/>
        </w:trPr>
        <w:tc>
          <w:tcPr>
            <w:tcW w:w="126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Ended</w:t>
            </w:r>
          </w:p>
        </w:tc>
        <w:tc>
          <w:tcPr>
            <w:tcW w:w="12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Ended</w:t>
            </w:r>
          </w:p>
        </w:tc>
      </w:tr>
      <w:tr>
        <w:trPr>
          <w:trHeight w:val="186"/>
        </w:trPr>
        <w:tc>
          <w:tcPr>
            <w:tcW w:w="126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March 31, 2020</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rPr>
              <w:t>March 31, 2019</w:t>
            </w:r>
          </w:p>
        </w:tc>
      </w:tr>
    </w:tbl>
    <w:p>
      <w:pPr>
        <w:spacing w:after="0" w:line="57"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Earnings per diluted share</w:t>
      </w:r>
      <w:r>
        <w:rPr>
          <w:rFonts w:ascii="Arial" w:cs="Arial" w:eastAsia="Arial" w:hAnsi="Arial"/>
          <w:sz w:val="26"/>
          <w:szCs w:val="26"/>
          <w:color w:val="auto"/>
          <w:vertAlign w:val="superscript"/>
        </w:rPr>
        <w:t>(1)</w:t>
      </w:r>
    </w:p>
    <w:p>
      <w:pPr>
        <w:ind w:left="1280"/>
        <w:spacing w:after="0" w:line="233" w:lineRule="auto"/>
        <w:rPr>
          <w:sz w:val="20"/>
          <w:szCs w:val="20"/>
          <w:color w:val="auto"/>
        </w:rPr>
      </w:pPr>
      <w:r>
        <w:rPr>
          <w:rFonts w:ascii="Arial" w:cs="Arial" w:eastAsia="Arial" w:hAnsi="Arial"/>
          <w:sz w:val="17"/>
          <w:szCs w:val="17"/>
          <w:color w:val="auto"/>
        </w:rPr>
        <w:t>Pre-IPO net income attributable to Tradeweb Markets LLC</w:t>
      </w:r>
      <w:r>
        <w:rPr>
          <w:rFonts w:ascii="Arial" w:cs="Arial" w:eastAsia="Arial" w:hAnsi="Arial"/>
          <w:sz w:val="25"/>
          <w:szCs w:val="25"/>
          <w:color w:val="auto"/>
          <w:vertAlign w:val="superscript"/>
        </w:rPr>
        <w:t>(1)</w:t>
      </w:r>
    </w:p>
    <w:p>
      <w:pPr>
        <w:ind w:left="1280"/>
        <w:spacing w:after="0" w:line="217" w:lineRule="auto"/>
        <w:rPr>
          <w:sz w:val="20"/>
          <w:szCs w:val="20"/>
          <w:color w:val="auto"/>
        </w:rPr>
      </w:pPr>
      <w:r>
        <w:rPr>
          <w:rFonts w:ascii="Arial" w:cs="Arial" w:eastAsia="Arial" w:hAnsi="Arial"/>
          <w:sz w:val="18"/>
          <w:szCs w:val="18"/>
          <w:color w:val="auto"/>
        </w:rPr>
        <w:t>Net income attributable to Tradeweb Markets Inc.</w:t>
      </w:r>
      <w:r>
        <w:rPr>
          <w:rFonts w:ascii="Arial" w:cs="Arial" w:eastAsia="Arial" w:hAnsi="Arial"/>
          <w:sz w:val="26"/>
          <w:szCs w:val="26"/>
          <w:color w:val="auto"/>
          <w:vertAlign w:val="superscript"/>
        </w:rPr>
        <w:t>(1)</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 attributable to non-controlling interests</w:t>
      </w:r>
      <w:r>
        <w:rPr>
          <w:rFonts w:ascii="Arial" w:cs="Arial" w:eastAsia="Arial" w:hAnsi="Arial"/>
          <w:sz w:val="26"/>
          <w:szCs w:val="26"/>
          <w:color w:val="auto"/>
          <w:vertAlign w:val="superscript"/>
        </w:rPr>
        <w:t>(1)(2)</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income</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Provision for income taxes</w:t>
      </w:r>
    </w:p>
    <w:p>
      <w:pPr>
        <w:ind w:left="1280"/>
        <w:spacing w:after="0" w:line="236" w:lineRule="auto"/>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26"/>
          <w:szCs w:val="26"/>
          <w:color w:val="auto"/>
          <w:vertAlign w:val="superscript"/>
        </w:rPr>
        <w:t>(3)</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26"/>
          <w:szCs w:val="26"/>
          <w:color w:val="auto"/>
          <w:vertAlign w:val="superscript"/>
        </w:rPr>
        <w:t>(4)</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Unrealized foreign exchange (gains) / losses</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Loss from revaluation of foreign denominated cash</w:t>
      </w:r>
      <w:r>
        <w:rPr>
          <w:rFonts w:ascii="Arial" w:cs="Arial" w:eastAsia="Arial" w:hAnsi="Arial"/>
          <w:sz w:val="26"/>
          <w:szCs w:val="26"/>
          <w:color w:val="auto"/>
          <w:vertAlign w:val="superscript"/>
        </w:rPr>
        <w:t>(5)</w:t>
      </w:r>
    </w:p>
    <w:p>
      <w:pPr>
        <w:spacing w:after="0" w:line="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Adjusted Net Income before income taxes</w:t>
      </w:r>
    </w:p>
    <w:p>
      <w:pPr>
        <w:ind w:left="1280"/>
        <w:spacing w:after="0" w:line="231" w:lineRule="auto"/>
        <w:rPr>
          <w:sz w:val="20"/>
          <w:szCs w:val="20"/>
          <w:color w:val="auto"/>
        </w:rPr>
      </w:pPr>
      <w:r>
        <w:rPr>
          <w:rFonts w:ascii="Arial" w:cs="Arial" w:eastAsia="Arial" w:hAnsi="Arial"/>
          <w:sz w:val="18"/>
          <w:szCs w:val="18"/>
          <w:color w:val="auto"/>
        </w:rPr>
        <w:t>Adjusted income taxes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(dollars in thousands, except per share data)</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99"/>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0.25</w:t>
            </w:r>
            <w:r>
              <w:rPr>
                <w:rFonts w:ascii="Arial" w:cs="Arial" w:eastAsia="Arial" w:hAnsi="Arial"/>
                <w:sz w:val="26"/>
                <w:szCs w:val="26"/>
                <w:color w:val="auto"/>
                <w:vertAlign w:val="superscript"/>
              </w:rPr>
              <w:t>(a)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0.19</w:t>
            </w:r>
            <w:r>
              <w:rPr>
                <w:rFonts w:ascii="Arial" w:cs="Arial" w:eastAsia="Arial" w:hAnsi="Arial"/>
                <w:sz w:val="26"/>
                <w:szCs w:val="26"/>
                <w:color w:val="auto"/>
                <w:vertAlign w:val="superscript"/>
              </w:rPr>
              <w:t>(b)</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42,352</w:t>
            </w:r>
          </w:p>
        </w:tc>
        <w:tc>
          <w:tcPr>
            <w:tcW w:w="140" w:type="dxa"/>
            <w:vAlign w:val="bottom"/>
          </w:tcPr>
          <w:p>
            <w:pPr>
              <w:spacing w:after="0"/>
              <w:rPr>
                <w:sz w:val="19"/>
                <w:szCs w:val="19"/>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43,928</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7"/>
        </w:trPr>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18,557</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62,485</w:t>
            </w:r>
          </w:p>
        </w:tc>
        <w:tc>
          <w:tcPr>
            <w:tcW w:w="8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42,352</w:t>
            </w:r>
          </w:p>
        </w:tc>
        <w:tc>
          <w:tcPr>
            <w:tcW w:w="140" w:type="dxa"/>
            <w:vAlign w:val="bottom"/>
          </w:tcPr>
          <w:p>
            <w:pPr>
              <w:spacing w:after="0"/>
              <w:rPr>
                <w:sz w:val="22"/>
                <w:szCs w:val="22"/>
                <w:color w:val="auto"/>
              </w:rPr>
            </w:pPr>
          </w:p>
        </w:tc>
      </w:tr>
      <w:tr>
        <w:trPr>
          <w:trHeight w:val="257"/>
        </w:trPr>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15,829</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4,783</w:t>
            </w:r>
          </w:p>
        </w:tc>
        <w:tc>
          <w:tcPr>
            <w:tcW w:w="140" w:type="dxa"/>
            <w:vAlign w:val="bottom"/>
          </w:tcPr>
          <w:p>
            <w:pPr>
              <w:spacing w:after="0"/>
              <w:rPr>
                <w:sz w:val="22"/>
                <w:szCs w:val="22"/>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26,273</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23,209</w:t>
            </w:r>
          </w:p>
        </w:tc>
        <w:tc>
          <w:tcPr>
            <w:tcW w:w="14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bl>
    <w:p>
      <w:pPr>
        <w:spacing w:after="0" w:line="40" w:lineRule="exact"/>
        <w:rPr>
          <w:sz w:val="20"/>
          <w:szCs w:val="20"/>
          <w:color w:val="auto"/>
        </w:rPr>
      </w:pPr>
    </w:p>
    <w:p>
      <w:pPr>
        <w:ind w:left="2260" w:hanging="1512"/>
        <w:spacing w:after="0"/>
        <w:tabs>
          <w:tab w:leader="none" w:pos="2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860</w:t>
      </w:r>
    </w:p>
    <w:p>
      <w:pPr>
        <w:spacing w:after="0" w:line="7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109,446</w:t>
      </w:r>
      <w:r>
        <w:rPr>
          <w:rFonts w:ascii="Arial" w:cs="Arial" w:eastAsia="Arial" w:hAnsi="Arial"/>
          <w:sz w:val="15"/>
          <w:szCs w:val="15"/>
          <w:color w:val="auto"/>
        </w:rPr>
        <w:t>70,911</w:t>
      </w:r>
    </w:p>
    <w:p>
      <w:pPr>
        <w:spacing w:after="0" w:line="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(24,078)</w:t>
      </w:r>
      <w:r>
        <w:rPr>
          <w:rFonts w:ascii="Arial" w:cs="Arial" w:eastAsia="Arial" w:hAnsi="Arial"/>
          <w:sz w:val="16"/>
          <w:szCs w:val="16"/>
          <w:color w:val="auto"/>
        </w:rPr>
        <w:t>(18,721)</w:t>
      </w:r>
    </w:p>
    <w:p>
      <w:pPr>
        <w:spacing w:after="0" w:line="54" w:lineRule="exact"/>
        <w:rPr>
          <w:sz w:val="20"/>
          <w:szCs w:val="20"/>
          <w:color w:val="auto"/>
        </w:rPr>
      </w:pPr>
    </w:p>
    <w:p>
      <w:pPr>
        <w:sectPr>
          <w:pgSz w:w="11900" w:h="16838" w:orient="portrait"/>
          <w:cols w:equalWidth="0" w:num="2">
            <w:col w:w="5920" w:space="720"/>
            <w:col w:w="3499"/>
          </w:cols>
          <w:pgMar w:left="32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85,368</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52,190</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line="28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(1)(7)</w:t>
            </w: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(b)</w:t>
            </w: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gridSpan w:val="2"/>
            <w:vMerge w:val="continue"/>
          </w:tcPr>
          <w:p>
            <w:pPr>
              <w:spacing w:after="0"/>
              <w:rPr>
                <w:sz w:val="21"/>
                <w:szCs w:val="21"/>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800" w:type="dxa"/>
            <w:vAlign w:val="bottom"/>
            <w:vMerge w:val="continue"/>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40" w:right="859" w:hanging="354"/>
        <w:spacing w:after="0" w:line="308" w:lineRule="auto"/>
        <w:tabs>
          <w:tab w:leader="none" w:pos="1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a result of the Reorganization Transactions and the IPO completed in April 2019, certain earnings information is being presented separately for Tradeweb Markets LLC and Tradeweb Markets Inc.</w:t>
      </w:r>
    </w:p>
    <w:p>
      <w:pPr>
        <w:spacing w:after="0" w:line="38" w:lineRule="exact"/>
        <w:rPr>
          <w:rFonts w:ascii="Arial" w:cs="Arial" w:eastAsia="Arial" w:hAnsi="Arial"/>
          <w:sz w:val="17"/>
          <w:szCs w:val="17"/>
          <w:color w:val="auto"/>
        </w:rPr>
      </w:pPr>
    </w:p>
    <w:p>
      <w:pPr>
        <w:ind w:left="2000" w:hanging="354"/>
        <w:spacing w:after="0"/>
        <w:tabs>
          <w:tab w:leader="none" w:pos="2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sz w:val="20"/>
          <w:szCs w:val="20"/>
          <w:color w:val="auto"/>
        </w:rPr>
      </w:pPr>
    </w:p>
    <w:p>
      <w:pPr>
        <w:ind w:left="1640" w:right="11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89" w:lineRule="exact"/>
        <w:rPr>
          <w:sz w:val="20"/>
          <w:szCs w:val="20"/>
          <w:color w:val="auto"/>
        </w:rPr>
      </w:pPr>
    </w:p>
    <w:p>
      <w:pPr>
        <w:ind w:left="1640" w:right="719" w:hanging="354"/>
        <w:spacing w:after="0" w:line="26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75" w:lineRule="exact"/>
        <w:rPr>
          <w:rFonts w:ascii="Arial" w:cs="Arial" w:eastAsia="Arial" w:hAnsi="Arial"/>
          <w:sz w:val="18"/>
          <w:szCs w:val="18"/>
          <w:color w:val="auto"/>
        </w:rPr>
      </w:pPr>
    </w:p>
    <w:p>
      <w:pPr>
        <w:ind w:left="1640" w:right="719" w:hanging="354"/>
        <w:spacing w:after="0" w:line="259"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92" w:lineRule="exact"/>
        <w:rPr>
          <w:rFonts w:ascii="Arial" w:cs="Arial" w:eastAsia="Arial" w:hAnsi="Arial"/>
          <w:sz w:val="18"/>
          <w:szCs w:val="18"/>
          <w:color w:val="auto"/>
        </w:rPr>
      </w:pPr>
    </w:p>
    <w:p>
      <w:pPr>
        <w:ind w:left="1640" w:right="839" w:hanging="354"/>
        <w:spacing w:after="0" w:line="275"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non-cash stock-based compensation expense associated with the Special Option Award discussed under “Management’s Discussion and Analysis of Financial Condition and Results of Operations — Critical Accounting Policies and Estimates — Stock-Based Compensation” in the 2019 Form 10-K, incorporated by reference in this prospectus, and post-IPO options awarded in 2019 and payroll taxes associated with exercises of such options during the applicable period.</w:t>
      </w:r>
    </w:p>
    <w:p>
      <w:pPr>
        <w:spacing w:after="0" w:line="81" w:lineRule="exact"/>
        <w:rPr>
          <w:rFonts w:ascii="Arial" w:cs="Arial" w:eastAsia="Arial" w:hAnsi="Arial"/>
          <w:sz w:val="17"/>
          <w:szCs w:val="17"/>
          <w:color w:val="auto"/>
        </w:rPr>
      </w:pPr>
    </w:p>
    <w:p>
      <w:pPr>
        <w:ind w:left="1640" w:right="1179" w:hanging="354"/>
        <w:spacing w:after="0" w:line="277"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62" w:lineRule="exact"/>
        <w:rPr>
          <w:rFonts w:ascii="Arial" w:cs="Arial" w:eastAsia="Arial" w:hAnsi="Arial"/>
          <w:sz w:val="18"/>
          <w:szCs w:val="18"/>
          <w:color w:val="auto"/>
        </w:rPr>
      </w:pPr>
    </w:p>
    <w:p>
      <w:pPr>
        <w:ind w:left="1640" w:right="879" w:hanging="354"/>
        <w:spacing w:after="0" w:line="26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22.0% and 26.4% applied to Adjusted Net Income before income taxes for the three months ended March 31, 2020 and March 31, 2019, respectively.</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739" w:hanging="354"/>
        <w:spacing w:after="0" w:line="255"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8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following table summarizes the calculation of Adjusted Diluted EPS for the three months ended</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March 31, 2020 and 2019:</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rPr>
              <w:t>Post-IPO</w:t>
            </w:r>
          </w:p>
        </w:tc>
        <w:tc>
          <w:tcPr>
            <w:tcW w:w="1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Pre-IPO</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Period</w:t>
            </w: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w:t>
            </w:r>
          </w:p>
        </w:tc>
      </w:tr>
      <w:tr>
        <w:trPr>
          <w:trHeight w:val="162"/>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w w:val="97"/>
              </w:rPr>
              <w:t>Reconciliation of Diluted Weighted Average Shares Outstanding to Adjusted Diluted Weighted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Ended</w:t>
            </w:r>
          </w:p>
        </w:tc>
      </w:tr>
      <w:tr>
        <w:trPr>
          <w:trHeight w:val="186"/>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Average Shares Outstanding</w:t>
            </w:r>
          </w:p>
        </w:tc>
        <w:tc>
          <w:tcPr>
            <w:tcW w:w="40" w:type="dxa"/>
            <w:vAlign w:val="bottom"/>
          </w:tcPr>
          <w:p>
            <w:pPr>
              <w:spacing w:after="0"/>
              <w:rPr>
                <w:sz w:val="16"/>
                <w:szCs w:val="16"/>
                <w:color w:val="auto"/>
              </w:rPr>
            </w:pPr>
          </w:p>
        </w:tc>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March 31, 2020 March 31, 2019</w:t>
            </w:r>
          </w:p>
        </w:tc>
      </w:tr>
      <w:tr>
        <w:trPr>
          <w:trHeight w:val="26"/>
        </w:trPr>
        <w:tc>
          <w:tcPr>
            <w:tcW w:w="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TWM LLC shares outstanding</w:t>
            </w: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223,320,457</w:t>
            </w:r>
          </w:p>
        </w:tc>
      </w:tr>
      <w:tr>
        <w:trPr>
          <w:trHeight w:val="229"/>
        </w:trPr>
        <w:tc>
          <w:tcPr>
            <w:tcW w:w="6120" w:type="dxa"/>
            <w:vAlign w:val="bottom"/>
            <w:gridSpan w:val="3"/>
          </w:tcPr>
          <w:p>
            <w:pPr>
              <w:spacing w:after="0"/>
              <w:rPr>
                <w:sz w:val="20"/>
                <w:szCs w:val="20"/>
                <w:color w:val="auto"/>
              </w:rPr>
            </w:pPr>
            <w:r>
              <w:rPr>
                <w:rFonts w:ascii="Arial" w:cs="Arial" w:eastAsia="Arial" w:hAnsi="Arial"/>
                <w:sz w:val="18"/>
                <w:szCs w:val="18"/>
                <w:color w:val="auto"/>
              </w:rPr>
              <w:t>Diluted weighted average shares of Class A and Class B 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174,517,244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7"/>
              </w:rPr>
              <w:t>Assumed exchange of LLC interests for shares of Class A or Class B common</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308"/>
        </w:trPr>
        <w:tc>
          <w:tcPr>
            <w:tcW w:w="20" w:type="dxa"/>
            <w:vAlign w:val="bottom"/>
          </w:tcPr>
          <w:p>
            <w:pPr>
              <w:spacing w:after="0"/>
              <w:rPr>
                <w:sz w:val="24"/>
                <w:szCs w:val="24"/>
                <w:color w:val="auto"/>
              </w:rPr>
            </w:pPr>
          </w:p>
        </w:tc>
        <w:tc>
          <w:tcPr>
            <w:tcW w:w="6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stock</w:t>
            </w:r>
            <w:r>
              <w:rPr>
                <w:rFonts w:ascii="Arial" w:cs="Arial" w:eastAsia="Arial" w:hAnsi="Arial"/>
                <w:sz w:val="26"/>
                <w:szCs w:val="26"/>
                <w:color w:val="auto"/>
                <w:vertAlign w:val="superscript"/>
              </w:rPr>
              <w:t>(1)</w:t>
            </w:r>
          </w:p>
        </w:tc>
        <w:tc>
          <w:tcPr>
            <w:tcW w:w="40" w:type="dxa"/>
            <w:vAlign w:val="bottom"/>
            <w:tcBorders>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57,644,547</w:t>
            </w: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6120" w:type="dxa"/>
            <w:vAlign w:val="bottom"/>
            <w:gridSpan w:val="3"/>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232,161,791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223,320,457</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(in thousands)</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20" w:type="dxa"/>
            <w:vAlign w:val="bottom"/>
            <w:gridSpan w:val="3"/>
          </w:tcPr>
          <w:p>
            <w:pPr>
              <w:spacing w:after="0"/>
              <w:rPr>
                <w:sz w:val="20"/>
                <w:szCs w:val="20"/>
                <w:color w:val="auto"/>
              </w:rPr>
            </w:pPr>
            <w:r>
              <w:rPr>
                <w:rFonts w:ascii="Arial" w:cs="Arial" w:eastAsia="Arial" w:hAnsi="Arial"/>
                <w:sz w:val="18"/>
                <w:szCs w:val="18"/>
                <w:color w:val="auto"/>
              </w:rPr>
              <w:t>Adjusted Diluted EPS</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4" w:lineRule="exact"/>
        <w:rPr>
          <w:sz w:val="20"/>
          <w:szCs w:val="20"/>
          <w:color w:val="auto"/>
        </w:rPr>
      </w:pPr>
    </w:p>
    <w:p>
      <w:pPr>
        <w:ind w:left="1640" w:right="719" w:hanging="354"/>
        <w:spacing w:after="0" w:line="263"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Dividend</w:t>
      </w:r>
    </w:p>
    <w:p>
      <w:pPr>
        <w:spacing w:after="0" w:line="104" w:lineRule="exact"/>
        <w:rPr>
          <w:sz w:val="20"/>
          <w:szCs w:val="20"/>
          <w:color w:val="auto"/>
        </w:rPr>
      </w:pPr>
    </w:p>
    <w:p>
      <w:pPr>
        <w:jc w:val="both"/>
        <w:ind w:left="1280" w:right="1019" w:firstLine="360"/>
        <w:spacing w:after="0" w:line="286" w:lineRule="auto"/>
        <w:rPr>
          <w:sz w:val="20"/>
          <w:szCs w:val="20"/>
          <w:color w:val="auto"/>
        </w:rPr>
      </w:pPr>
      <w:r>
        <w:rPr>
          <w:rFonts w:ascii="Arial" w:cs="Arial" w:eastAsia="Arial" w:hAnsi="Arial"/>
          <w:sz w:val="17"/>
          <w:szCs w:val="17"/>
          <w:color w:val="auto"/>
        </w:rPr>
        <w:t>On February 11, 2020, the board of directors of Tradeweb Markets Inc. declared a cash dividend of $0.08 per share of Class A common stock and Class B common stock for the first quarter of 2020. This dividend was paid on March 16, 2020 in an aggregate amount of $13.4 million. See “Dividend Policy.”</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Our Organizational Structure and Related Matters</w:t>
      </w:r>
    </w:p>
    <w:p>
      <w:pPr>
        <w:spacing w:after="0" w:line="108" w:lineRule="exact"/>
        <w:rPr>
          <w:sz w:val="20"/>
          <w:szCs w:val="20"/>
          <w:color w:val="auto"/>
        </w:rPr>
      </w:pPr>
    </w:p>
    <w:p>
      <w:pPr>
        <w:ind w:left="1280" w:right="879" w:firstLine="360"/>
        <w:spacing w:after="0" w:line="271" w:lineRule="auto"/>
        <w:rPr>
          <w:sz w:val="20"/>
          <w:szCs w:val="20"/>
          <w:color w:val="auto"/>
        </w:rPr>
      </w:pPr>
      <w:r>
        <w:rPr>
          <w:rFonts w:ascii="Arial" w:cs="Arial" w:eastAsia="Arial" w:hAnsi="Arial"/>
          <w:sz w:val="17"/>
          <w:szCs w:val="17"/>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 certain of the Bank Stockholders (and the corresponding shares of common stock held by such Bank Stockholders were cancelled), at a purchase price per interest equal to the public offering price of $27.00, less the underwriting discounts and commissions payable thereon.</w:t>
      </w:r>
    </w:p>
    <w:p>
      <w:pPr>
        <w:spacing w:after="0" w:line="70"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Prior to the completion of the IPO and Reorganization Transactions described below, the Original LLC Owners were the only members of TWM LLC. Tradeweb Markets Inc. was incorporated as a Delaware corporation on November 7, 2018 to serve as the issuer of the Class A common stock offered in the IPO. Prior to the closing of the IPO, we consummated the Reorganization Transactions. In connection with the Reorganization Transactions, the following steps occurred:</w:t>
      </w:r>
    </w:p>
    <w:p>
      <w:pPr>
        <w:spacing w:after="0" w:line="107" w:lineRule="exact"/>
        <w:rPr>
          <w:sz w:val="20"/>
          <w:szCs w:val="20"/>
          <w:color w:val="auto"/>
        </w:rPr>
      </w:pPr>
    </w:p>
    <w:p>
      <w:pPr>
        <w:ind w:left="2000" w:right="819" w:hanging="354"/>
        <w:spacing w:after="0" w:line="269"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amended and restated the limited liability company agreement of TWM LLC (as so amended, the “TWM LLC Agreement”) to, among other things, (i) provide for LLC Interests that are the single class of common membership interests in TWM LLC, (ii) exchange all of the existing membership interests in TWM LLC for LLC Interests and (iii) appoint us as the sole manager of</w:t>
      </w:r>
    </w:p>
    <w:p>
      <w:pPr>
        <w:spacing w:after="0" w:line="1" w:lineRule="exact"/>
        <w:rPr>
          <w:rFonts w:ascii="Arial" w:cs="Arial" w:eastAsia="Arial" w:hAnsi="Arial"/>
          <w:sz w:val="17"/>
          <w:szCs w:val="17"/>
          <w:color w:val="auto"/>
        </w:rPr>
      </w:pPr>
    </w:p>
    <w:p>
      <w:pPr>
        <w:ind w:left="2000"/>
        <w:spacing w:after="0"/>
        <w:rPr>
          <w:rFonts w:ascii="Arial" w:cs="Arial" w:eastAsia="Arial" w:hAnsi="Arial"/>
          <w:sz w:val="17"/>
          <w:szCs w:val="17"/>
          <w:color w:val="auto"/>
        </w:rPr>
      </w:pPr>
      <w:r>
        <w:rPr>
          <w:rFonts w:ascii="Arial" w:cs="Arial" w:eastAsia="Arial" w:hAnsi="Arial"/>
          <w:sz w:val="18"/>
          <w:szCs w:val="18"/>
          <w:color w:val="auto"/>
        </w:rPr>
        <w:t>TWM LLC;</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739" w:hanging="354"/>
        <w:spacing w:after="0" w:line="253"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120"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Economic</w:t>
            </w:r>
          </w:p>
        </w:tc>
      </w:tr>
      <w:tr>
        <w:trPr>
          <w:trHeight w:val="186"/>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Rights</w:t>
            </w:r>
          </w:p>
        </w:tc>
      </w:tr>
      <w:tr>
        <w:trPr>
          <w:trHeight w:val="26"/>
        </w:trPr>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494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2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94" w:lineRule="exact"/>
        <w:rPr>
          <w:sz w:val="20"/>
          <w:szCs w:val="20"/>
          <w:color w:val="auto"/>
        </w:rPr>
      </w:pPr>
    </w:p>
    <w:p>
      <w:pPr>
        <w:ind w:left="1280" w:right="679" w:firstLine="360"/>
        <w:spacing w:after="0" w:line="263"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89" w:lineRule="exact"/>
        <w:rPr>
          <w:sz w:val="20"/>
          <w:szCs w:val="20"/>
          <w:color w:val="auto"/>
        </w:rPr>
      </w:pPr>
    </w:p>
    <w:p>
      <w:pPr>
        <w:ind w:left="2000" w:right="999" w:hanging="354"/>
        <w:spacing w:after="0" w:line="311" w:lineRule="auto"/>
        <w:tabs>
          <w:tab w:leader="none" w:pos="2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assumed sponsorship of the Option Plan (as defined herein) and the PRSU Plan (as defined herein) that were previously sponsored by TWM LLC. Accordingly, all options and PRSUs granted under such plans were converted into economically equivalent awards of Tradeweb;</w:t>
      </w:r>
    </w:p>
    <w:p>
      <w:pPr>
        <w:spacing w:after="0" w:line="67" w:lineRule="exact"/>
        <w:rPr>
          <w:rFonts w:ascii="Arial" w:cs="Arial" w:eastAsia="Arial" w:hAnsi="Arial"/>
          <w:sz w:val="16"/>
          <w:szCs w:val="16"/>
          <w:color w:val="auto"/>
        </w:rPr>
      </w:pPr>
    </w:p>
    <w:p>
      <w:pPr>
        <w:ind w:left="2000" w:right="659" w:hanging="354"/>
        <w:spacing w:after="0" w:line="254"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100" w:lineRule="exact"/>
        <w:rPr>
          <w:rFonts w:ascii="Arial" w:cs="Arial" w:eastAsia="Arial" w:hAnsi="Arial"/>
          <w:sz w:val="18"/>
          <w:szCs w:val="18"/>
          <w:color w:val="auto"/>
        </w:rPr>
      </w:pPr>
    </w:p>
    <w:p>
      <w:pPr>
        <w:ind w:left="2000" w:right="659" w:hanging="354"/>
        <w:spacing w:after="0" w:line="255"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1" w:lineRule="exact"/>
        <w:rPr>
          <w:rFonts w:ascii="Arial" w:cs="Arial" w:eastAsia="Arial" w:hAnsi="Arial"/>
          <w:sz w:val="18"/>
          <w:szCs w:val="18"/>
          <w:color w:val="auto"/>
        </w:rPr>
      </w:pPr>
    </w:p>
    <w:p>
      <w:pPr>
        <w:ind w:left="2000" w:right="659" w:hanging="354"/>
        <w:spacing w:after="0" w:line="252"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LLC Interests held by the Continuing LLC Owners are redeemable in accordance with the terms of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14" w:lineRule="exact"/>
        <w:rPr>
          <w:rFonts w:ascii="Arial" w:cs="Arial" w:eastAsia="Arial" w:hAnsi="Arial"/>
          <w:sz w:val="18"/>
          <w:szCs w:val="18"/>
          <w:color w:val="auto"/>
        </w:rPr>
      </w:pPr>
    </w:p>
    <w:p>
      <w:pPr>
        <w:ind w:left="2000" w:hanging="354"/>
        <w:spacing w:after="0"/>
        <w:tabs>
          <w:tab w:leader="none" w:pos="2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659"/>
        <w:spacing w:after="0" w:line="271" w:lineRule="auto"/>
        <w:rPr>
          <w:sz w:val="20"/>
          <w:szCs w:val="20"/>
          <w:color w:val="auto"/>
        </w:rPr>
      </w:pPr>
      <w:r>
        <w:rPr>
          <w:rFonts w:ascii="Arial" w:cs="Arial" w:eastAsia="Arial" w:hAnsi="Arial"/>
          <w:sz w:val="17"/>
          <w:szCs w:val="17"/>
          <w:color w:val="auto"/>
        </w:rPr>
        <w:t>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38" w:lineRule="exact"/>
        <w:rPr>
          <w:sz w:val="20"/>
          <w:szCs w:val="20"/>
          <w:color w:val="auto"/>
        </w:rPr>
      </w:pPr>
    </w:p>
    <w:p>
      <w:pPr>
        <w:ind w:left="2000" w:right="659" w:hanging="354"/>
        <w:spacing w:after="0" w:line="253"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pacing w:after="0" w:line="164" w:lineRule="exact"/>
        <w:rPr>
          <w:rFonts w:ascii="Arial" w:cs="Arial" w:eastAsia="Arial" w:hAnsi="Arial"/>
          <w:sz w:val="18"/>
          <w:szCs w:val="18"/>
          <w:color w:val="auto"/>
        </w:rPr>
      </w:pPr>
    </w:p>
    <w:p>
      <w:pPr>
        <w:ind w:left="2000" w:right="739" w:hanging="354"/>
        <w:spacing w:after="0" w:line="259"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Tradeweb entered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280" w:right="679" w:firstLine="360"/>
        <w:spacing w:after="0" w:line="270" w:lineRule="auto"/>
        <w:rPr>
          <w:sz w:val="20"/>
          <w:szCs w:val="20"/>
          <w:color w:val="auto"/>
        </w:rPr>
      </w:pPr>
      <w:r>
        <w:rPr>
          <w:rFonts w:ascii="Arial" w:cs="Arial" w:eastAsia="Arial" w:hAnsi="Arial"/>
          <w:sz w:val="17"/>
          <w:szCs w:val="17"/>
          <w:color w:val="auto"/>
        </w:rPr>
        <w:t>In October 2019, we completed a follow-on offering of 19,881,059 shares of Class A common stock at a public offering price of $42.00 per share, which included 2,593,181 shares of Class A common stock issued pursuant to the underwriters’ option to purchase additional shares of Class A common stock. We received $810.0 million in net proceeds, after deducting underwriting discounts and commissions but before deducting offering expenses, which were used to purchase LLC Interests from certain Bank Stockholders and executive officers (and the corresponding shares of common stock were cancelled) and shares of Class A common stock from certain executive officers (and such shares of Class A common stock were cancelled), at a purchase price per interest and share equal to the public offering price of $42.00 per share, less the underwriting discounts and commissions payable thereon.</w:t>
      </w:r>
    </w:p>
    <w:p>
      <w:pPr>
        <w:spacing w:after="0" w:line="73" w:lineRule="exact"/>
        <w:rPr>
          <w:sz w:val="20"/>
          <w:szCs w:val="20"/>
          <w:color w:val="auto"/>
        </w:rPr>
      </w:pPr>
    </w:p>
    <w:p>
      <w:pPr>
        <w:ind w:left="1280" w:right="679" w:firstLine="360"/>
        <w:spacing w:after="0" w:line="254" w:lineRule="auto"/>
        <w:rPr>
          <w:sz w:val="20"/>
          <w:szCs w:val="20"/>
          <w:color w:val="auto"/>
        </w:rPr>
      </w:pPr>
      <w:r>
        <w:rPr>
          <w:rFonts w:ascii="Arial" w:cs="Arial" w:eastAsia="Arial" w:hAnsi="Arial"/>
          <w:sz w:val="18"/>
          <w:szCs w:val="18"/>
          <w:color w:val="auto"/>
        </w:rPr>
        <w:t>In addition to the IPO and the October 2019 follow-on offering transactions described above, during the year ended December 31, 2019, certain Continuing LLC Owners exercised their redemption rights under the TWM LLC Agreement, pursuant to which 271,184 LLC Interests were exchanged for 271,184 newly-issued shares of Class A common stock. Simultaneously, and in connection with these exchanges, 271,184 shares of Class D common stock were surrendered by these Continuing LLC Owners and cancelled. Additionally, in connection with these exchanges, Tradeweb Markets Inc. received 271,184 LLC Interests, increasing its total ownership interest in TWM LLC.</w:t>
      </w:r>
    </w:p>
    <w:p>
      <w:pPr>
        <w:spacing w:after="0" w:line="87"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We will issue 11,161,083 shares of Class A common stock (or 12,835,245 shares of Class A common stock, if the underwriters exercise in full their option to purchase additional shares of Class A common stock) to the purchasers in this offering in exchange for approximately $544.6 million of net proceeds (or approximately $626.3 million, if the underwriters exercise in full their option to purchase additional shares of Class A common stock), after deducting underwriting discounts, but before deducting estimated offering expenses. We estimate that the offering expenses (other than the underwriting discounts and commissions) will be approximately $3.1 million. All of such offering expenses will be paid for or otherwise borne by TWM LLC.</w:t>
      </w:r>
    </w:p>
    <w:p>
      <w:pPr>
        <w:spacing w:after="0" w:line="84"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After the completion of this offering, in order to facilitate the disposition of equity interests held by certain of our equityholders, we intend to use the net proceeds from this offering to purchase (i) 10,642,463 issued and outstanding LLC Interests (or 12,238,827 LLC Interests, if the underwriters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spacing w:after="0" w:line="253" w:lineRule="auto"/>
        <w:rPr>
          <w:sz w:val="20"/>
          <w:szCs w:val="20"/>
          <w:color w:val="auto"/>
        </w:rPr>
      </w:pPr>
      <w:r>
        <w:rPr>
          <w:rFonts w:ascii="Arial" w:cs="Arial" w:eastAsia="Arial" w:hAnsi="Arial"/>
          <w:sz w:val="18"/>
          <w:szCs w:val="18"/>
          <w:color w:val="auto"/>
        </w:rPr>
        <w:t>exercise in full their option to purchase additional shares of Class A common stock) from certain of the Bank Stockholders (collectively, the “Selling LLC Owners”) (and cancel the corresponding shares of common stock held by such Selling LLC Owners) and (ii) 518,620 issued and outstanding shares of Class A common stock (or 596,418 shares of Class A common stock, if the underwriters exercise in full their option to purchase additional shares of Class A common stock) from certain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The LLC Interests and shares of Class A common stock we intend to purchase collectively represent a 5.0% economic interest in TWM LLC (or 5.7%, if the underwriters exercise in full their option to purchase additional shares of Class A common stock). See “Use of Proceeds.”</w:t>
      </w:r>
    </w:p>
    <w:p>
      <w:pPr>
        <w:spacing w:after="0" w:line="84" w:lineRule="exact"/>
        <w:rPr>
          <w:sz w:val="20"/>
          <w:szCs w:val="20"/>
          <w:color w:val="auto"/>
        </w:rPr>
      </w:pPr>
    </w:p>
    <w:p>
      <w:pPr>
        <w:ind w:left="1280" w:right="819" w:firstLine="360"/>
        <w:spacing w:after="0" w:line="263" w:lineRule="auto"/>
        <w:rPr>
          <w:sz w:val="20"/>
          <w:szCs w:val="20"/>
          <w:color w:val="auto"/>
        </w:rPr>
      </w:pPr>
      <w:r>
        <w:rPr>
          <w:rFonts w:ascii="Arial" w:cs="Arial" w:eastAsia="Arial" w:hAnsi="Arial"/>
          <w:sz w:val="18"/>
          <w:szCs w:val="18"/>
          <w:color w:val="auto"/>
        </w:rPr>
        <w:t>For more information regarding the Reorganization Transactions and our organizational structure, see “The IPO and Reorganization Transactions.” For more information regarding this offering and the application of the net proceeds therefrom, see “Use of Proceeds.”</w:t>
      </w:r>
    </w:p>
    <w:p>
      <w:pPr>
        <w:spacing w:after="0" w:line="76" w:lineRule="exact"/>
        <w:rPr>
          <w:sz w:val="20"/>
          <w:szCs w:val="20"/>
          <w:color w:val="auto"/>
        </w:rPr>
      </w:pPr>
    </w:p>
    <w:p>
      <w:pPr>
        <w:ind w:left="1280" w:right="779" w:firstLine="360"/>
        <w:spacing w:after="0" w:line="253" w:lineRule="auto"/>
        <w:rPr>
          <w:sz w:val="20"/>
          <w:szCs w:val="20"/>
          <w:color w:val="auto"/>
        </w:rPr>
      </w:pPr>
      <w:r>
        <w:rPr>
          <w:rFonts w:ascii="Arial" w:cs="Arial" w:eastAsia="Arial" w:hAnsi="Arial"/>
          <w:sz w:val="18"/>
          <w:szCs w:val="18"/>
          <w:color w:val="auto"/>
        </w:rPr>
        <w:t>Tradeweb is a holding company whose principal assets consist of its equity interest in TWM LLC it primarily acquired from certain of the Bank Stockholders using the net proceeds from the IPO and the October 2019 follow-on offering as described above and the LLC Interests it received as a result of the Refinitiv Contribution, and related deferred tax assets. 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for post-IPO periods.</w:t>
      </w:r>
    </w:p>
    <w:p>
      <w:pPr>
        <w:spacing w:after="0" w:line="88" w:lineRule="exact"/>
        <w:rPr>
          <w:sz w:val="20"/>
          <w:szCs w:val="20"/>
          <w:color w:val="auto"/>
        </w:rPr>
      </w:pPr>
    </w:p>
    <w:p>
      <w:pPr>
        <w:ind w:left="1280" w:right="69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280" w:right="65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as of March 31, 2020, after giving effect to the Net Exercise and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40" w:hanging="354"/>
        <w:spacing w:after="0"/>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185" w:lineRule="exact"/>
        <w:rPr>
          <w:sz w:val="20"/>
          <w:szCs w:val="20"/>
          <w:color w:val="auto"/>
        </w:rPr>
      </w:pPr>
    </w:p>
    <w:p>
      <w:pPr>
        <w:ind w:left="1640" w:right="759" w:hanging="354"/>
        <w:spacing w:after="0" w:line="279" w:lineRule="auto"/>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After giving effect to this offering, the Refinitiv Owners will collectively hold 83.0% of the combined voting power in Tradeweb Markets Inc. The Refinitiv Owners will, directly and indirectly, hold 54.2% of the economic interest in Tradeweb Markets Inc. and 53.2% of the economic interest in Tradeweb Markets LLC (including through their ownership of Tradeweb Markets Inc.).</w:t>
      </w:r>
    </w:p>
    <w:p>
      <w:pPr>
        <w:spacing w:after="0" w:line="63" w:lineRule="exact"/>
        <w:rPr>
          <w:rFonts w:ascii="Arial" w:cs="Arial" w:eastAsia="Arial" w:hAnsi="Arial"/>
          <w:sz w:val="17"/>
          <w:szCs w:val="17"/>
          <w:color w:val="auto"/>
        </w:rPr>
      </w:pPr>
    </w:p>
    <w:p>
      <w:pPr>
        <w:ind w:left="1640" w:right="919" w:hanging="354"/>
        <w:spacing w:after="0" w:line="308" w:lineRule="auto"/>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shares of Class A common stock held by certain of our executive officers, representing less than 1% of the combined voting power and economic interest in Tradeweb Markets Inc.</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LSEG Transaction</w:t>
      </w:r>
    </w:p>
    <w:p>
      <w:pPr>
        <w:spacing w:after="0" w:line="108"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Thomson Reuters to acquire the Refinitiv business in an all share transaction for a total enterprise value of approximately $27 billion (the “LSEG Transaction”).</w:t>
      </w:r>
    </w:p>
    <w:p>
      <w:pPr>
        <w:spacing w:after="0" w:line="79"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If the LSEG Transaction is consummated, any change of control of Refinitiv could in turn affect us, because Refinitiv is our controlling shareholder. However, following the consummation of the LSEG Transaction, Tradeweb is expected to remain a standalone, publicly-traded company, and we do not expect the LSEG Transaction to result in any changes to our stockholder voting rights in the near-term, and we do not foresee any material impact on our strategy, day-to-day operations or Tradeweb management as a result of the LSEG Transaction. Our existing market data license agreement with Refinitiv is also expected to remain unchanged immediately following the consummation of the LSEG Transaction, however the non-compete period applicable to Refinitiv in their restrictive covenant agreement with us is expected to terminate immediately following the consummation of the LSEG Transaction. For descriptions of the market data license agreement and restrictive covenant agreement, see “Certain Relationships and Related Party Transactions — Transactions With Refinitiv/Thomson Reuters.”</w:t>
      </w:r>
    </w:p>
    <w:p>
      <w:pPr>
        <w:spacing w:after="0" w:line="74"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76" w:lineRule="exact"/>
        <w:rPr>
          <w:sz w:val="20"/>
          <w:szCs w:val="20"/>
          <w:color w:val="auto"/>
        </w:rPr>
      </w:pPr>
    </w:p>
    <w:p>
      <w:pPr>
        <w:ind w:left="1280" w:right="679" w:firstLine="360"/>
        <w:spacing w:after="0" w:line="277" w:lineRule="auto"/>
        <w:rPr>
          <w:sz w:val="20"/>
          <w:szCs w:val="20"/>
          <w:color w:val="auto"/>
        </w:rPr>
      </w:pPr>
      <w:r>
        <w:rPr>
          <w:rFonts w:ascii="Arial" w:cs="Arial" w:eastAsia="Arial" w:hAnsi="Arial"/>
          <w:sz w:val="18"/>
          <w:szCs w:val="18"/>
          <w:color w:val="auto"/>
        </w:rPr>
        <w:t>During the fourth quarter of 2019, we entered into an amendment to the credit agreement governing the Revolving Credit Facility to permit the LSEG Transaction.</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79" w:lineRule="exact"/>
        <w:rPr>
          <w:sz w:val="20"/>
          <w:szCs w:val="20"/>
          <w:color w:val="auto"/>
        </w:rPr>
      </w:pPr>
    </w:p>
    <w:p>
      <w:pPr>
        <w:ind w:left="2000" w:right="899" w:hanging="354"/>
        <w:spacing w:after="0" w:line="277"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75"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42" w:lineRule="exact"/>
        <w:rPr>
          <w:rFonts w:ascii="Arial" w:cs="Arial" w:eastAsia="Arial" w:hAnsi="Arial"/>
          <w:sz w:val="17"/>
          <w:szCs w:val="17"/>
          <w:color w:val="auto"/>
        </w:rPr>
      </w:pPr>
    </w:p>
    <w:p>
      <w:pPr>
        <w:ind w:left="2000" w:right="719" w:hanging="354"/>
        <w:spacing w:after="0" w:line="277"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62"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17" w:lineRule="exact"/>
        <w:rPr>
          <w:rFonts w:ascii="Arial" w:cs="Arial" w:eastAsia="Arial" w:hAnsi="Arial"/>
          <w:sz w:val="18"/>
          <w:szCs w:val="18"/>
          <w:color w:val="auto"/>
        </w:rPr>
      </w:pPr>
    </w:p>
    <w:p>
      <w:pPr>
        <w:ind w:left="2000" w:hanging="354"/>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101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77" w:lineRule="exact"/>
        <w:rPr>
          <w:sz w:val="20"/>
          <w:szCs w:val="20"/>
          <w:color w:val="auto"/>
        </w:rPr>
      </w:pPr>
    </w:p>
    <w:p>
      <w:pPr>
        <w:ind w:left="2000" w:right="819" w:hanging="354"/>
        <w:spacing w:after="0" w:line="308" w:lineRule="auto"/>
        <w:tabs>
          <w:tab w:leader="none" w:pos="2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not required to engage an auditor to report on our internal control over financial reporting pursuant to Section 404(b) of the Sarbanes-Oxley Act of 2002 (the “Sarbanes-Oxley Act”);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19" w:hanging="354"/>
        <w:spacing w:after="0" w:line="259"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46" w:lineRule="exact"/>
        <w:rPr>
          <w:rFonts w:ascii="Arial" w:cs="Arial" w:eastAsia="Arial" w:hAnsi="Arial"/>
          <w:sz w:val="18"/>
          <w:szCs w:val="18"/>
          <w:color w:val="auto"/>
        </w:rPr>
      </w:pPr>
    </w:p>
    <w:p>
      <w:pPr>
        <w:ind w:left="2000" w:right="1079" w:hanging="354"/>
        <w:spacing w:after="0" w:line="308" w:lineRule="auto"/>
        <w:tabs>
          <w:tab w:leader="none" w:pos="2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119" w:lineRule="exact"/>
        <w:rPr>
          <w:rFonts w:ascii="Arial" w:cs="Arial" w:eastAsia="Arial" w:hAnsi="Arial"/>
          <w:sz w:val="17"/>
          <w:szCs w:val="17"/>
          <w:color w:val="auto"/>
        </w:rPr>
      </w:pPr>
    </w:p>
    <w:p>
      <w:pPr>
        <w:ind w:left="2000" w:right="1239" w:hanging="354"/>
        <w:spacing w:after="0" w:line="263"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80" w:right="679" w:firstLine="360"/>
        <w:spacing w:after="0" w:line="267"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the IPO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w:t>
      </w:r>
    </w:p>
    <w:p>
      <w:pPr>
        <w:spacing w:after="0" w:line="3" w:lineRule="exact"/>
        <w:rPr>
          <w:sz w:val="20"/>
          <w:szCs w:val="20"/>
          <w:color w:val="auto"/>
        </w:rPr>
      </w:pPr>
    </w:p>
    <w:p>
      <w:pPr>
        <w:ind w:left="1280" w:right="939" w:firstLine="6"/>
        <w:spacing w:after="0" w:line="255" w:lineRule="auto"/>
        <w:tabs>
          <w:tab w:leader="none" w:pos="1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been required to file annual and quarterly reports under the Securities Exchange Act of 1934, as amended (the “Exchange Act”), for a period of at least 12 months and (z) have filed at least one annual report pursuant to the Exchange Act.</w:t>
      </w:r>
    </w:p>
    <w:p>
      <w:pPr>
        <w:spacing w:after="0" w:line="82" w:lineRule="exact"/>
        <w:rPr>
          <w:sz w:val="20"/>
          <w:szCs w:val="20"/>
          <w:color w:val="auto"/>
        </w:rPr>
      </w:pPr>
    </w:p>
    <w:p>
      <w:pPr>
        <w:ind w:left="1280" w:right="85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8"/>
          <w:szCs w:val="18"/>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 xml:space="preserve">Tradeweb Markets Inc.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8"/>
          <w:szCs w:val="18"/>
          <w:i w:val="1"/>
          <w:iCs w:val="1"/>
          <w:color w:val="auto"/>
        </w:rPr>
        <w:t>www.tradeweb.com</w:t>
      </w:r>
      <w:r>
        <w:rPr>
          <w:rFonts w:ascii="Arial" w:cs="Arial" w:eastAsia="Arial" w:hAnsi="Arial"/>
          <w:sz w:val="18"/>
          <w:szCs w:val="18"/>
          <w:color w:val="auto"/>
        </w:rPr>
        <w:t>. The information contained on, or that can be accessed through, our website is deemed not to be incorporated in this prospectus or to be part of this prospectus.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Class A common stock offered by us</w:t>
      </w:r>
    </w:p>
    <w:p>
      <w:pPr>
        <w:spacing w:after="0" w:line="62" w:lineRule="exact"/>
        <w:rPr>
          <w:sz w:val="20"/>
          <w:szCs w:val="20"/>
          <w:color w:val="auto"/>
        </w:rPr>
      </w:pPr>
    </w:p>
    <w:p>
      <w:pPr>
        <w:ind w:left="1460" w:right="60" w:hanging="179"/>
        <w:spacing w:after="0" w:line="342" w:lineRule="auto"/>
        <w:rPr>
          <w:sz w:val="20"/>
          <w:szCs w:val="20"/>
          <w:color w:val="auto"/>
        </w:rPr>
      </w:pPr>
      <w:r>
        <w:rPr>
          <w:rFonts w:ascii="Arial" w:cs="Arial" w:eastAsia="Arial" w:hAnsi="Arial"/>
          <w:sz w:val="16"/>
          <w:szCs w:val="16"/>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70"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B common stock to be outstanding after this offering</w:t>
      </w:r>
    </w:p>
    <w:p>
      <w:pPr>
        <w:spacing w:after="0" w:line="254" w:lineRule="exact"/>
        <w:rPr>
          <w:sz w:val="20"/>
          <w:szCs w:val="20"/>
          <w:color w:val="auto"/>
        </w:rPr>
      </w:pPr>
    </w:p>
    <w:p>
      <w:pPr>
        <w:ind w:left="1460" w:right="240" w:hanging="179"/>
        <w:spacing w:after="0" w:line="291" w:lineRule="auto"/>
        <w:rPr>
          <w:sz w:val="20"/>
          <w:szCs w:val="20"/>
          <w:color w:val="auto"/>
        </w:rPr>
      </w:pPr>
      <w:r>
        <w:rPr>
          <w:rFonts w:ascii="Arial" w:cs="Arial" w:eastAsia="Arial" w:hAnsi="Arial"/>
          <w:sz w:val="17"/>
          <w:szCs w:val="17"/>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240" w:hanging="179"/>
        <w:spacing w:after="0" w:line="308" w:lineRule="auto"/>
        <w:rPr>
          <w:sz w:val="20"/>
          <w:szCs w:val="20"/>
          <w:color w:val="auto"/>
        </w:rPr>
      </w:pPr>
      <w:r>
        <w:rPr>
          <w:rFonts w:ascii="Arial" w:cs="Arial" w:eastAsia="Arial" w:hAnsi="Arial"/>
          <w:sz w:val="17"/>
          <w:szCs w:val="17"/>
          <w:color w:val="auto"/>
        </w:rPr>
        <w:t>Total LLC Interests to be outstanding after this offering</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11,161,083 shares.</w:t>
      </w:r>
    </w:p>
    <w:p>
      <w:pPr>
        <w:spacing w:after="0" w:line="333" w:lineRule="exact"/>
        <w:rPr>
          <w:sz w:val="20"/>
          <w:szCs w:val="20"/>
          <w:color w:val="auto"/>
        </w:rPr>
      </w:pPr>
    </w:p>
    <w:p>
      <w:pPr>
        <w:ind w:right="679"/>
        <w:spacing w:after="0" w:line="275" w:lineRule="auto"/>
        <w:rPr>
          <w:sz w:val="20"/>
          <w:szCs w:val="20"/>
          <w:color w:val="auto"/>
        </w:rPr>
      </w:pPr>
      <w:r>
        <w:rPr>
          <w:rFonts w:ascii="Arial" w:cs="Arial" w:eastAsia="Arial" w:hAnsi="Arial"/>
          <w:sz w:val="17"/>
          <w:szCs w:val="17"/>
          <w:color w:val="auto"/>
        </w:rPr>
        <w:t>The underwriters have an option to purchase up to an aggregate of 1,674,162 additional shares of Class A common stock from us at the public offering price, less underwriting discounts and commissions. The underwriters can exercise this option at any time within 30 days from the date of this prospectus.</w:t>
      </w:r>
    </w:p>
    <w:p>
      <w:pPr>
        <w:spacing w:after="0" w:line="284" w:lineRule="exact"/>
        <w:rPr>
          <w:sz w:val="20"/>
          <w:szCs w:val="20"/>
          <w:color w:val="auto"/>
        </w:rPr>
      </w:pPr>
    </w:p>
    <w:p>
      <w:pPr>
        <w:jc w:val="both"/>
        <w:ind w:right="1139"/>
        <w:spacing w:after="0" w:line="263" w:lineRule="auto"/>
        <w:rPr>
          <w:sz w:val="20"/>
          <w:szCs w:val="20"/>
          <w:color w:val="auto"/>
        </w:rPr>
      </w:pPr>
      <w:r>
        <w:rPr>
          <w:rFonts w:ascii="Arial" w:cs="Arial" w:eastAsia="Arial" w:hAnsi="Arial"/>
          <w:sz w:val="18"/>
          <w:szCs w:val="18"/>
          <w:color w:val="auto"/>
        </w:rPr>
        <w:t>81,903,336 shares (or 83,499,700 shares, if the underwriters exercise in full their option to purchase additional shares of Class A common stock).</w:t>
      </w:r>
    </w:p>
    <w:p>
      <w:pPr>
        <w:spacing w:after="0" w:line="292"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96,933,192 shares, all of which are owned by the Refinitiv Direct Owner.</w:t>
      </w:r>
    </w:p>
    <w:p>
      <w:pPr>
        <w:spacing w:after="0" w:line="251" w:lineRule="exact"/>
        <w:rPr>
          <w:sz w:val="20"/>
          <w:szCs w:val="20"/>
          <w:color w:val="auto"/>
        </w:rPr>
      </w:pPr>
    </w:p>
    <w:p>
      <w:pPr>
        <w:ind w:right="719"/>
        <w:spacing w:after="0" w:line="259" w:lineRule="auto"/>
        <w:rPr>
          <w:sz w:val="20"/>
          <w:szCs w:val="20"/>
          <w:color w:val="auto"/>
        </w:rPr>
      </w:pPr>
      <w:r>
        <w:rPr>
          <w:rFonts w:ascii="Arial" w:cs="Arial" w:eastAsia="Arial" w:hAnsi="Arial"/>
          <w:sz w:val="18"/>
          <w:szCs w:val="18"/>
          <w:color w:val="auto"/>
        </w:rPr>
        <w:t>7,989,983 shares, all of which are owned by certain Bank Stockholders (or 8,079,983 shares, if the underwriters exercise in full their option to purchase additional shares of Class A common stock).</w:t>
      </w:r>
    </w:p>
    <w:p>
      <w:pPr>
        <w:spacing w:after="0" w:line="295" w:lineRule="exact"/>
        <w:rPr>
          <w:sz w:val="20"/>
          <w:szCs w:val="20"/>
          <w:color w:val="auto"/>
        </w:rPr>
      </w:pPr>
    </w:p>
    <w:p>
      <w:pPr>
        <w:ind w:right="759"/>
        <w:spacing w:after="0" w:line="259" w:lineRule="auto"/>
        <w:rPr>
          <w:sz w:val="20"/>
          <w:szCs w:val="20"/>
          <w:color w:val="auto"/>
        </w:rPr>
      </w:pPr>
      <w:r>
        <w:rPr>
          <w:rFonts w:ascii="Arial" w:cs="Arial" w:eastAsia="Arial" w:hAnsi="Arial"/>
          <w:sz w:val="18"/>
          <w:szCs w:val="18"/>
          <w:color w:val="auto"/>
        </w:rPr>
        <w:t>38,628,768 shares, all of which are owned by Continuing LLC Owners (or 36,942,404 shares, if the underwriters exercise in full their option to purchase additional shares of Class A common stock).</w:t>
      </w:r>
    </w:p>
    <w:p>
      <w:pPr>
        <w:spacing w:after="0" w:line="295" w:lineRule="exact"/>
        <w:rPr>
          <w:sz w:val="20"/>
          <w:szCs w:val="20"/>
          <w:color w:val="auto"/>
        </w:rPr>
      </w:pPr>
    </w:p>
    <w:p>
      <w:pPr>
        <w:ind w:right="659"/>
        <w:spacing w:after="0" w:line="257" w:lineRule="auto"/>
        <w:rPr>
          <w:sz w:val="20"/>
          <w:szCs w:val="20"/>
          <w:color w:val="auto"/>
        </w:rPr>
      </w:pPr>
      <w:r>
        <w:rPr>
          <w:rFonts w:ascii="Arial" w:cs="Arial" w:eastAsia="Arial" w:hAnsi="Arial"/>
          <w:sz w:val="18"/>
          <w:szCs w:val="18"/>
          <w:color w:val="auto"/>
        </w:rPr>
        <w:t>178,836,528 LLC Interests, representing a 79.3% economic interest in TWM LLC (or 180,432,892 LLC Interests, representing a 80.0% economic interest in TWM LLC, if the underwriters exercise in full their option to purchase additional shares of Class A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225,455,279 LLC Interests.</w:t>
      </w:r>
    </w:p>
    <w:p>
      <w:pPr>
        <w:spacing w:after="0" w:line="117" w:lineRule="exact"/>
        <w:rPr>
          <w:sz w:val="20"/>
          <w:szCs w:val="20"/>
          <w:color w:val="auto"/>
        </w:rPr>
      </w:pPr>
    </w:p>
    <w:p>
      <w:pPr>
        <w:ind w:right="799"/>
        <w:spacing w:after="0" w:line="293"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 aggregate of 5.7% of the combined voting power of our issued and outstanding common stock upon completion of this offering (or 5.8%, if the underwriters exercise in full their option to purchase additional shares of Class A common stock).</w:t>
      </w:r>
    </w:p>
    <w:p>
      <w:pPr>
        <w:spacing w:after="0" w:line="56" w:lineRule="exact"/>
        <w:rPr>
          <w:sz w:val="20"/>
          <w:szCs w:val="20"/>
          <w:color w:val="auto"/>
        </w:rPr>
      </w:pPr>
    </w:p>
    <w:p>
      <w:pPr>
        <w:ind w:right="699"/>
        <w:spacing w:after="0" w:line="254" w:lineRule="auto"/>
        <w:rPr>
          <w:sz w:val="20"/>
          <w:szCs w:val="20"/>
          <w:color w:val="auto"/>
        </w:rPr>
      </w:pPr>
      <w:r>
        <w:rPr>
          <w:rFonts w:ascii="Arial" w:cs="Arial" w:eastAsia="Arial" w:hAnsi="Arial"/>
          <w:sz w:val="18"/>
          <w:szCs w:val="18"/>
          <w:color w:val="auto"/>
        </w:rPr>
        <w:t>Each share of Class B common stock entitles its holder to ten votes on all matters presented to our stockholders generally, representing an aggregate of 67.1% of the combined voting power of our issued and outstanding common stock upon completion of this offering (or 67.8%, if the underwriters exercise in full their option to purchase additional shares of Class A common stock). The Refinitiv Direct Owner owns all of our outstanding Class B common stock.</w:t>
      </w:r>
    </w:p>
    <w:p>
      <w:pPr>
        <w:spacing w:after="0" w:line="200" w:lineRule="exact"/>
        <w:rPr>
          <w:sz w:val="20"/>
          <w:szCs w:val="20"/>
          <w:color w:val="auto"/>
        </w:rPr>
      </w:pPr>
    </w:p>
    <w:p>
      <w:pPr>
        <w:sectPr>
          <w:pgSz w:w="11900" w:h="16838" w:orient="portrait"/>
          <w:cols w:equalWidth="0" w:num="2">
            <w:col w:w="3960" w:space="500"/>
            <w:col w:w="5679"/>
          </w:cols>
          <w:pgMar w:left="320" w:top="131"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Refinitiv Owners</w:t>
      </w:r>
    </w:p>
    <w:p>
      <w:pPr>
        <w:spacing w:after="0" w:line="278"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Combined voting power held by the Bank Stockholders</w:t>
      </w:r>
    </w:p>
    <w:p>
      <w:pPr>
        <w:spacing w:after="0" w:line="278" w:lineRule="exact"/>
        <w:rPr>
          <w:sz w:val="20"/>
          <w:szCs w:val="20"/>
          <w:color w:val="auto"/>
        </w:rPr>
      </w:pPr>
    </w:p>
    <w:p>
      <w:pPr>
        <w:ind w:left="1460" w:right="280" w:hanging="179"/>
        <w:spacing w:after="0" w:line="277" w:lineRule="auto"/>
        <w:rPr>
          <w:sz w:val="20"/>
          <w:szCs w:val="20"/>
          <w:color w:val="auto"/>
        </w:rPr>
      </w:pPr>
      <w:r>
        <w:rPr>
          <w:rFonts w:ascii="Arial" w:cs="Arial" w:eastAsia="Arial" w:hAnsi="Arial"/>
          <w:sz w:val="18"/>
          <w:szCs w:val="18"/>
          <w:color w:val="auto"/>
        </w:rPr>
        <w:t>Combined voting power held by management</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99"/>
        <w:spacing w:after="0" w:line="271" w:lineRule="auto"/>
        <w:rPr>
          <w:sz w:val="20"/>
          <w:szCs w:val="20"/>
          <w:color w:val="auto"/>
        </w:rPr>
      </w:pPr>
      <w:r>
        <w:rPr>
          <w:rFonts w:ascii="Arial" w:cs="Arial" w:eastAsia="Arial" w:hAnsi="Arial"/>
          <w:sz w:val="17"/>
          <w:szCs w:val="17"/>
          <w:color w:val="auto"/>
        </w:rPr>
        <w:t>Each share of Class C common stock entitles its holder to one vote on all matters presented to our stockholders generally representing an aggregate of 0.5% of the combined voting power of our issued and outstanding common stock upon completion of this offering (or 0.6%, if the underwriters exercise in full their option to purchase additional shares of Class A common stock). Certain Bank Stockholders own all of our outstanding Class C common stock.</w:t>
      </w:r>
    </w:p>
    <w:p>
      <w:pPr>
        <w:spacing w:after="0" w:line="70" w:lineRule="exact"/>
        <w:rPr>
          <w:sz w:val="20"/>
          <w:szCs w:val="20"/>
          <w:color w:val="auto"/>
        </w:rPr>
      </w:pPr>
    </w:p>
    <w:p>
      <w:pPr>
        <w:ind w:right="679"/>
        <w:spacing w:after="0" w:line="254" w:lineRule="auto"/>
        <w:rPr>
          <w:sz w:val="20"/>
          <w:szCs w:val="20"/>
          <w:color w:val="auto"/>
        </w:rPr>
      </w:pPr>
      <w:r>
        <w:rPr>
          <w:rFonts w:ascii="Arial" w:cs="Arial" w:eastAsia="Arial" w:hAnsi="Arial"/>
          <w:sz w:val="18"/>
          <w:szCs w:val="18"/>
          <w:color w:val="auto"/>
        </w:rPr>
        <w:t>Each share of Class D common stock entitles its holder to ten votes on all matters presented to our stockholders generally, representing an aggregate of 26.7% of the combined voting power of our issued and outstanding common stock upon consummation of this offering (or 25.8%, if the underwriters exercise in full their option to purchase additional shares of Class A common stock). Continuing LLC Owners own all of our outstanding Class D common stock.</w:t>
      </w:r>
    </w:p>
    <w:p>
      <w:pPr>
        <w:spacing w:after="0" w:line="84"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Holders of all outstanding shares of our Class A common stock, Class B common stock, Class C common stock and Class D common stock will vote together as a single class on all matters presented to our stockholders for their vote or approval, except as otherwise required by applicable law. See “Description of Capital Stock.”</w:t>
      </w:r>
    </w:p>
    <w:p>
      <w:pPr>
        <w:spacing w:after="0" w:line="300" w:lineRule="exact"/>
        <w:rPr>
          <w:sz w:val="20"/>
          <w:szCs w:val="20"/>
          <w:color w:val="auto"/>
        </w:rPr>
      </w:pPr>
    </w:p>
    <w:p>
      <w:pPr>
        <w:ind w:right="819"/>
        <w:spacing w:after="0" w:line="308" w:lineRule="auto"/>
        <w:rPr>
          <w:sz w:val="20"/>
          <w:szCs w:val="20"/>
          <w:color w:val="auto"/>
        </w:rPr>
      </w:pPr>
      <w:r>
        <w:rPr>
          <w:rFonts w:ascii="Arial" w:cs="Arial" w:eastAsia="Arial" w:hAnsi="Arial"/>
          <w:sz w:val="17"/>
          <w:szCs w:val="17"/>
          <w:color w:val="auto"/>
        </w:rPr>
        <w:t>83.0% (or 83.8%, if the underwriters exercise in full their option to purchase additional shares of Class A common stock).</w:t>
      </w:r>
    </w:p>
    <w:p>
      <w:pPr>
        <w:spacing w:after="0" w:line="254" w:lineRule="exact"/>
        <w:rPr>
          <w:sz w:val="20"/>
          <w:szCs w:val="20"/>
          <w:color w:val="auto"/>
        </w:rPr>
      </w:pPr>
    </w:p>
    <w:p>
      <w:pPr>
        <w:ind w:right="819"/>
        <w:spacing w:after="0" w:line="308" w:lineRule="auto"/>
        <w:rPr>
          <w:sz w:val="20"/>
          <w:szCs w:val="20"/>
          <w:color w:val="auto"/>
        </w:rPr>
      </w:pPr>
      <w:r>
        <w:rPr>
          <w:rFonts w:ascii="Arial" w:cs="Arial" w:eastAsia="Arial" w:hAnsi="Arial"/>
          <w:sz w:val="17"/>
          <w:szCs w:val="17"/>
          <w:color w:val="auto"/>
        </w:rPr>
        <w:t>11.3% (or 10.2%, if the underwriters exercise in full their option to purchase additional shares of Class A common stock).</w:t>
      </w:r>
    </w:p>
    <w:p>
      <w:pPr>
        <w:spacing w:after="0" w:line="254"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color w:val="auto"/>
        </w:rPr>
        <w:t>0.1% (or 0.1%, if the underwriters exercise in full their option to purchase additional shares of Class A common stock).</w:t>
      </w:r>
    </w:p>
    <w:p>
      <w:pPr>
        <w:spacing w:after="0" w:line="62" w:lineRule="exact"/>
        <w:rPr>
          <w:sz w:val="20"/>
          <w:szCs w:val="20"/>
          <w:color w:val="auto"/>
        </w:rPr>
      </w:pPr>
    </w:p>
    <w:p>
      <w:pPr>
        <w:ind w:right="659"/>
        <w:spacing w:after="0" w:line="257" w:lineRule="auto"/>
        <w:rPr>
          <w:sz w:val="20"/>
          <w:szCs w:val="20"/>
          <w:color w:val="auto"/>
        </w:rPr>
      </w:pPr>
      <w:r>
        <w:rPr>
          <w:rFonts w:ascii="Arial" w:cs="Arial" w:eastAsia="Arial" w:hAnsi="Arial"/>
          <w:sz w:val="18"/>
          <w:szCs w:val="18"/>
          <w:color w:val="auto"/>
        </w:rPr>
        <w:t>The Refinitiv Owners own a majority of the combined voting power in us. As a result, we are a “controlled company” within the meaning of the corporate governance standards of Nasdaq. See “Management — Director Independence and Controlled Company Exception.”</w:t>
      </w:r>
    </w:p>
    <w:p>
      <w:pPr>
        <w:spacing w:after="0" w:line="80" w:lineRule="exact"/>
        <w:rPr>
          <w:sz w:val="20"/>
          <w:szCs w:val="20"/>
          <w:color w:val="auto"/>
        </w:rPr>
      </w:pPr>
    </w:p>
    <w:p>
      <w:pPr>
        <w:ind w:right="919"/>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w:t>
      </w:r>
    </w:p>
    <w:p>
      <w:pPr>
        <w:spacing w:after="0" w:line="76" w:lineRule="exact"/>
        <w:rPr>
          <w:sz w:val="20"/>
          <w:szCs w:val="20"/>
          <w:color w:val="auto"/>
        </w:rPr>
      </w:pPr>
    </w:p>
    <w:p>
      <w:pPr>
        <w:ind w:right="679"/>
        <w:spacing w:after="0" w:line="269"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from funds we receive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If TWM LLC is unable to cause these subsidiaries to make distributions, it may have inadequate funds to distribute to us and we may be unable to fund our dividends.</w:t>
      </w:r>
    </w:p>
    <w:p>
      <w:pPr>
        <w:spacing w:after="0" w:line="200" w:lineRule="exact"/>
        <w:rPr>
          <w:sz w:val="20"/>
          <w:szCs w:val="20"/>
          <w:color w:val="auto"/>
        </w:rPr>
      </w:pPr>
    </w:p>
    <w:p>
      <w:pPr>
        <w:sectPr>
          <w:pgSz w:w="11900" w:h="16838" w:orient="portrait"/>
          <w:cols w:equalWidth="0" w:num="2">
            <w:col w:w="4000" w:space="460"/>
            <w:col w:w="5679"/>
          </w:cols>
          <w:pgMar w:left="320" w:top="131"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right="4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60" w:hanging="179"/>
        <w:spacing w:after="0" w:line="279" w:lineRule="auto"/>
        <w:rPr>
          <w:sz w:val="20"/>
          <w:szCs w:val="20"/>
          <w:color w:val="auto"/>
        </w:rPr>
      </w:pPr>
      <w:r>
        <w:rPr>
          <w:rFonts w:ascii="Arial" w:cs="Arial" w:eastAsia="Arial" w:hAnsi="Arial"/>
          <w:sz w:val="17"/>
          <w:szCs w:val="17"/>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The declaration, amount and payment of any dividends will be at the discretion of our board of directors and subject to certain considerations. See “Dividend Policy.”</w:t>
      </w:r>
    </w:p>
    <w:p>
      <w:pPr>
        <w:spacing w:after="0" w:line="292" w:lineRule="exact"/>
        <w:rPr>
          <w:sz w:val="20"/>
          <w:szCs w:val="20"/>
          <w:color w:val="auto"/>
        </w:rPr>
      </w:pPr>
    </w:p>
    <w:p>
      <w:pPr>
        <w:ind w:right="699"/>
        <w:spacing w:after="0" w:line="254"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79"/>
        <w:spacing w:after="0" w:line="272" w:lineRule="auto"/>
        <w:rPr>
          <w:sz w:val="20"/>
          <w:szCs w:val="20"/>
          <w:color w:val="auto"/>
        </w:rPr>
      </w:pPr>
      <w:r>
        <w:rPr>
          <w:rFonts w:ascii="Arial" w:cs="Arial" w:eastAsia="Arial" w:hAnsi="Arial"/>
          <w:sz w:val="17"/>
          <w:szCs w:val="17"/>
          <w:color w:val="auto"/>
        </w:rPr>
        <w:t>The Continuing LLC Owners, from time to time, may require TWM LLC to redeem all or a portion of their LLC Interests for newly issued shares of Class A common stock or Class B common stock on a one-for-one basis in accordance with the terms of the TWM LLC Agreement (and such holders’ shares of Class C common stock or Class D common stock, as the case may be, will be cancelled on a one-for-one basis upon any such issuance).</w:t>
      </w:r>
    </w:p>
    <w:p>
      <w:pPr>
        <w:spacing w:after="0" w:line="69" w:lineRule="exact"/>
        <w:rPr>
          <w:sz w:val="20"/>
          <w:szCs w:val="20"/>
          <w:color w:val="auto"/>
        </w:rPr>
      </w:pPr>
    </w:p>
    <w:p>
      <w:pPr>
        <w:ind w:right="699"/>
        <w:spacing w:after="0" w:line="267" w:lineRule="auto"/>
        <w:rPr>
          <w:sz w:val="20"/>
          <w:szCs w:val="20"/>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83"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200" w:lineRule="exact"/>
        <w:rPr>
          <w:sz w:val="20"/>
          <w:szCs w:val="20"/>
          <w:color w:val="auto"/>
        </w:rPr>
      </w:pPr>
    </w:p>
    <w:p>
      <w:pPr>
        <w:sectPr>
          <w:pgSz w:w="11900" w:h="16838" w:orient="portrait"/>
          <w:cols w:equalWidth="0" w:num="2">
            <w:col w:w="4000" w:space="460"/>
            <w:col w:w="56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convert into one share of Class A common stock and each share of</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our Class D common stock will automatically convert into one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 of our Class C common stock (i) immediately prior to any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 or other transfer of such share by a holder or its permitted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transferees to a non-permitted transferee, or (ii) once the Refinitiv</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Owners and their affiliates together no longer beneficially own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number of shares of our common stock and LLC Interests that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together entitle them to at least 10% of TWM LLC’s economic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interests. In addition, with respect to each Bank Stockholder that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holds shares of Class D common stock, immediately prior to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occurrence of any event that would cause the combined voting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power held by such Bank Stockholder to exceed 4.9%,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minimum number of shares of Class D common stock of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Bank Stockholder that would need to convert into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C common stock such that the combined voting power held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such Bank Stockholder would not exceed 4.9% will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automatically convert into shares of Class C common stock.</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Holders of LLC Interests that receive shares of Class C common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 upon any such conversion may continue to elect to have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their LLC Interests redeemed for newly issued shares of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as described above (in which case their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C common stock will be cancelled on a one-for-one basis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upon such issuance). See “Description of Capital Stock.”</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7"/>
          <w:szCs w:val="17"/>
          <w:color w:val="auto"/>
        </w:rPr>
        <w:t>We entered into the Tax Receivable Agreement with TWM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the Continuing LLC Owners that provides for the payment by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Tradeweb to a Continuing LLC Owner of 50% of the amount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 federal, state and local income or franchise tax savings, if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that Tradeweb actually realizes (or in some circumstances is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deemed to realize) as a result of (i) increases in the tax basis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TWM LLC’s assets resulting from (a) the purchase of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Interests from such Continuing LLC Owner, including with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net proceeds from the IPO, the October 2019 follow-on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this offering or (b) redemptions or exchanges by such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Continuing LLC Owner of LLC Interests for shares of our Class A</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common stock or Class B common stock or for cash, 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applicable, as described above under “— Redemption rights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holders of LLC Interests/exchange rights of holders of Class B</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common stock and Class D common stock” and (ii) certain other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tax benefits related to our making payments under the Tax</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Receivable Agreement. See “Certain Relationships and Related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Party Transactions — Related Party Transactions Entered Into 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Connection With the IPO — Tax Receivable Agreement.”</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granted the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Refinitiv Owners, the Bank Stockholders, their affiliates and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certain of their transferees the right, under certain circumstances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and subject to certain restrictions, to require us to register under</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Securities Act shares of Class A common stock. See “Certain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Relationships and Related Party Transactions — Related Party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Transactions Entered Into in Connection With the IPO —</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to us from this offering, after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deducting underwriting discounts, but before deducting estimated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 expenses, will be approximately $544.6 million (or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approximately $626.3 million, if the underwriters exercise in full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their option to purchase additional shares of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We intend to use the net proceeds that we receive from this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offering to purchase (i) 10,642,463 issued and outstanding LLC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Interests (or 12,238,827 LLC Interests, if the underwriters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Class A common stock) from the Selling LLC Owners (and cancel</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corresponding shares of common stock held by such Selling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LLC Owners) and (ii) 518,620 issued and outstanding shares of</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 (or 596,418 shares of Class A common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stock, if the underwriters exercise in full their option to purchase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shares of Class A common stock) from certain of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executive officers following the Net Exercise, as applicable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cancel such shares of Class A common stock), at a purchase price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per interest and share equal to the public offering price per share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of our Class A common stock, less the underwriting discounts 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commissions payable thereon. See “Use of Proceeds” and “Certain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Relationships and Related Party Transactions — Transactions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With Certain Original LLC Owners” for additional information.</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7"/>
          <w:szCs w:val="17"/>
          <w:color w:val="auto"/>
        </w:rPr>
        <w:t>Because affiliates of Barclays Capital Inc., Citigroup Global</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Markets Inc., Deutsche Bank Securities Inc., Goldman Sachs &amp;</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 LLC, Morgan Stanley &amp; Co. LLC and Wells Fargo Securities,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LLC will each receive more than 5.0% of the net proceeds from</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this offering, Barclays Capital Inc., Citigroup Global Markets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Inc., Deutsche Bank Securities Inc., Goldman Sachs &amp; Co. LLC,</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Morgan Stanley &amp; Co. LLC and Wells Fargo Securities, LLC are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deemed to have a “conflict of interest” pursuant to FINRA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Rule 5121(f)(5)(C)(ii). See “Use of Proceeds.” Accordingly, this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offering will be made in compliance with the applicable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provisions of Rule 5121. As such, any underwriter that has 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conflict of interest pursuant to Rule 5121 will not confirm sales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accounts in which it exercises discretionary authority without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prior written consent of the customer.</w:t>
      </w:r>
    </w:p>
    <w:p>
      <w:pPr>
        <w:spacing w:after="0" w:line="103"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4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Investing in our Class A common stock involves a high degree of</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risk. See “Risk Factors” in this prospectus for a discussion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280" w:right="759" w:firstLine="360"/>
        <w:spacing w:after="0" w:line="263" w:lineRule="auto"/>
        <w:rPr>
          <w:sz w:val="20"/>
          <w:szCs w:val="20"/>
          <w:color w:val="auto"/>
        </w:rPr>
      </w:pPr>
      <w:r>
        <w:rPr>
          <w:rFonts w:ascii="Arial" w:cs="Arial" w:eastAsia="Arial" w:hAnsi="Arial"/>
          <w:sz w:val="18"/>
          <w:szCs w:val="18"/>
          <w:color w:val="auto"/>
        </w:rPr>
        <w:t>The number of shares of our common stock to be issued and outstanding after this offering and related ownership information (i) is based on 224,864,846 shares of common stock outstanding as of March 31, 2020, (ii) gives effect to the Net Exercise and (iii) excludes approximately:</w:t>
      </w:r>
    </w:p>
    <w:p>
      <w:pPr>
        <w:spacing w:after="0" w:line="76" w:lineRule="exact"/>
        <w:rPr>
          <w:sz w:val="20"/>
          <w:szCs w:val="20"/>
          <w:color w:val="auto"/>
        </w:rPr>
      </w:pPr>
    </w:p>
    <w:p>
      <w:pPr>
        <w:ind w:left="2000" w:right="979" w:hanging="354"/>
        <w:spacing w:after="0" w:line="259" w:lineRule="auto"/>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13,477,415 shares of Class A common stock issuable upon the exercise of outstanding options under our Amended and Restated Tradeweb Markets Inc. 2018 Stock Option Plan (the “Option Plan”) as of April 16, 2020 at a weighted-average exercise price of $21.94 per share, which options may be exercised on a cashless or net settlement basis;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000" w:right="739" w:hanging="354"/>
        <w:spacing w:after="0" w:line="263" w:lineRule="auto"/>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105,365 shares of Class A common stock issued as of April 16, 2020 following the net exercise of vested options pursuant to the Option Plan, which do not include shares of Class A common stock issued in the Net Exercise;</w:t>
      </w:r>
    </w:p>
    <w:p>
      <w:pPr>
        <w:spacing w:after="0" w:line="75" w:lineRule="exact"/>
        <w:rPr>
          <w:rFonts w:ascii="Arial" w:cs="Arial" w:eastAsia="Arial" w:hAnsi="Arial"/>
          <w:sz w:val="18"/>
          <w:szCs w:val="18"/>
          <w:color w:val="auto"/>
        </w:rPr>
      </w:pPr>
    </w:p>
    <w:p>
      <w:pPr>
        <w:ind w:left="2000" w:right="939" w:hanging="354"/>
        <w:spacing w:after="0" w:line="342" w:lineRule="auto"/>
        <w:tabs>
          <w:tab w:leader="none" w:pos="2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3,511,088 shares of Class A common stock underlying performance based restricted share units issued under our Amended &amp; Restated Tradeweb Markets Inc. PRSU Plan (the “PRSU Plan”);</w:t>
      </w:r>
    </w:p>
    <w:p>
      <w:pPr>
        <w:spacing w:after="0" w:line="15" w:lineRule="exact"/>
        <w:rPr>
          <w:rFonts w:ascii="Arial" w:cs="Arial" w:eastAsia="Arial" w:hAnsi="Arial"/>
          <w:sz w:val="16"/>
          <w:szCs w:val="16"/>
          <w:color w:val="auto"/>
        </w:rPr>
      </w:pPr>
    </w:p>
    <w:p>
      <w:pPr>
        <w:ind w:left="2000" w:right="699" w:hanging="354"/>
        <w:spacing w:after="0" w:line="277" w:lineRule="auto"/>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8,461,212 shares of Class A common stock reserved for future issuance under our Option Plan and our 2019 Omnibus Equity Incentive Plan (the “2019 Equity Incentive Plan”);</w:t>
      </w:r>
    </w:p>
    <w:p>
      <w:pPr>
        <w:spacing w:after="0" w:line="62" w:lineRule="exact"/>
        <w:rPr>
          <w:rFonts w:ascii="Arial" w:cs="Arial" w:eastAsia="Arial" w:hAnsi="Arial"/>
          <w:sz w:val="18"/>
          <w:szCs w:val="18"/>
          <w:color w:val="auto"/>
        </w:rPr>
      </w:pPr>
    </w:p>
    <w:p>
      <w:pPr>
        <w:jc w:val="both"/>
        <w:ind w:left="2000" w:right="819" w:hanging="354"/>
        <w:spacing w:after="0" w:line="263" w:lineRule="auto"/>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the Refinitiv Direct Owner, 96,933,192 shares of Class A common stock reserved for future issuance upon (i) exchange of Class B common stock by the Refinitiv Direct Owner or (ii) conversion of the Class B common stock; and</w:t>
      </w:r>
    </w:p>
    <w:p>
      <w:pPr>
        <w:spacing w:after="0" w:line="75" w:lineRule="exact"/>
        <w:rPr>
          <w:rFonts w:ascii="Arial" w:cs="Arial" w:eastAsia="Arial" w:hAnsi="Arial"/>
          <w:sz w:val="18"/>
          <w:szCs w:val="18"/>
          <w:color w:val="auto"/>
        </w:rPr>
      </w:pPr>
    </w:p>
    <w:p>
      <w:pPr>
        <w:ind w:left="2000" w:right="839" w:hanging="354"/>
        <w:spacing w:after="0" w:line="254" w:lineRule="auto"/>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the Continuing LLC Owners, (i) 46,618,751 shares of Class A common stock and 38,628,768 shares of Class B common stock reserved for future issuance upon the redemption or exchange of LLC Interests by Continuing LLC Owners and (ii) 38,628,768 shares of Class C common stock reserved for future issuance upon (x) exchange of Class D common stock by Continuing LLC Owners or (y) conversion of the Class D common stock. See “— Redemption rights of holders of LLC Interests/exchange rights of holders of Class B common stock and Class D common stock.”</w:t>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2000" w:hanging="354"/>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no exercise of outstanding options (other than the Net Exercise);</w:t>
      </w:r>
    </w:p>
    <w:p>
      <w:pPr>
        <w:spacing w:after="0" w:line="117" w:lineRule="exact"/>
        <w:rPr>
          <w:rFonts w:ascii="Arial" w:cs="Arial" w:eastAsia="Arial" w:hAnsi="Arial"/>
          <w:sz w:val="18"/>
          <w:szCs w:val="18"/>
          <w:color w:val="auto"/>
        </w:rPr>
      </w:pPr>
    </w:p>
    <w:p>
      <w:pPr>
        <w:ind w:left="2000" w:right="839" w:hanging="354"/>
        <w:spacing w:after="0" w:line="277"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 and</w:t>
      </w:r>
    </w:p>
    <w:p>
      <w:pPr>
        <w:spacing w:after="0" w:line="62" w:lineRule="exact"/>
        <w:rPr>
          <w:rFonts w:ascii="Arial" w:cs="Arial" w:eastAsia="Arial" w:hAnsi="Arial"/>
          <w:sz w:val="18"/>
          <w:szCs w:val="18"/>
          <w:color w:val="auto"/>
        </w:rPr>
      </w:pPr>
    </w:p>
    <w:p>
      <w:pPr>
        <w:ind w:left="2000" w:right="959" w:hanging="354"/>
        <w:spacing w:after="0" w:line="277"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w:t>
      </w:r>
    </w:p>
    <w:p>
      <w:pPr>
        <w:spacing w:after="0" w:line="62" w:lineRule="exact"/>
        <w:rPr>
          <w:sz w:val="20"/>
          <w:szCs w:val="20"/>
          <w:color w:val="auto"/>
        </w:rPr>
      </w:pPr>
    </w:p>
    <w:p>
      <w:pPr>
        <w:jc w:val="both"/>
        <w:ind w:left="1280" w:right="779" w:firstLine="360"/>
        <w:spacing w:after="0" w:line="263" w:lineRule="auto"/>
        <w:rPr>
          <w:sz w:val="20"/>
          <w:szCs w:val="20"/>
          <w:color w:val="auto"/>
        </w:rPr>
      </w:pPr>
      <w:r>
        <w:rPr>
          <w:rFonts w:ascii="Arial" w:cs="Arial" w:eastAsia="Arial" w:hAnsi="Arial"/>
          <w:sz w:val="18"/>
          <w:szCs w:val="18"/>
          <w:color w:val="auto"/>
        </w:rPr>
        <w:t>Unless otherwise stated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699" w:firstLine="360"/>
        <w:spacing w:after="0" w:line="268"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Inc. and its subsidiaries and Tradeweb Markets LLC and its subsidiaries for the periods indicated below. TWM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74" w:lineRule="exact"/>
        <w:rPr>
          <w:sz w:val="20"/>
          <w:szCs w:val="20"/>
          <w:color w:val="auto"/>
        </w:rPr>
      </w:pPr>
    </w:p>
    <w:p>
      <w:pPr>
        <w:ind w:left="1280" w:right="739" w:firstLine="360"/>
        <w:spacing w:after="0" w:line="254" w:lineRule="auto"/>
        <w:rPr>
          <w:sz w:val="20"/>
          <w:szCs w:val="20"/>
          <w:color w:val="auto"/>
        </w:rPr>
      </w:pPr>
      <w:r>
        <w:rPr>
          <w:rFonts w:ascii="Arial" w:cs="Arial" w:eastAsia="Arial" w:hAnsi="Arial"/>
          <w:sz w:val="18"/>
          <w:szCs w:val="18"/>
          <w:color w:val="auto"/>
        </w:rPr>
        <w:t>The summary consolidated statement of income data for the year ended December 31, 2019, the 2018 Successor Period, the 2018 Predecessor Period and the year ended December 31, 2017 and the summary consolidated statement of financial condition data as of December 31, 2019 and 2018 are derived from the audited consolidated financial statements of Tradeweb Markets Inc. incorporated by reference in this prospectus. The summary consolidated statement of financial condition as of December 31, 2017 is derived from the consolidated financial statements of Tradeweb Markets LLC not included or incorporated by reference in this prospectus.</w:t>
      </w:r>
    </w:p>
    <w:p>
      <w:pPr>
        <w:spacing w:after="0" w:line="87" w:lineRule="exact"/>
        <w:rPr>
          <w:sz w:val="20"/>
          <w:szCs w:val="20"/>
          <w:color w:val="auto"/>
        </w:rPr>
      </w:pPr>
    </w:p>
    <w:p>
      <w:pPr>
        <w:ind w:left="1280" w:right="679" w:firstLine="360"/>
        <w:spacing w:after="0" w:line="252" w:lineRule="auto"/>
        <w:rPr>
          <w:sz w:val="20"/>
          <w:szCs w:val="20"/>
          <w:color w:val="auto"/>
        </w:rPr>
      </w:pPr>
      <w:r>
        <w:rPr>
          <w:rFonts w:ascii="Arial" w:cs="Arial" w:eastAsia="Arial" w:hAnsi="Arial"/>
          <w:sz w:val="18"/>
          <w:szCs w:val="18"/>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elsewhere herein and “Management’s Discussion and Analysis of Financial Condition and Results of Operations — Effects of Pushdown Accounting on our Financial Statements” in the 2019 Form 10-K, incorporated by reference in this prospectus.</w:t>
      </w:r>
    </w:p>
    <w:p>
      <w:pPr>
        <w:spacing w:after="0" w:line="92" w:lineRule="exact"/>
        <w:rPr>
          <w:sz w:val="20"/>
          <w:szCs w:val="20"/>
          <w:color w:val="auto"/>
        </w:rPr>
      </w:pPr>
    </w:p>
    <w:p>
      <w:pPr>
        <w:ind w:left="1280" w:right="71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elsewhere herein and “Management’s Discussion and Analysis of Financial Condition and Results of Operations ” and our consolidated financial statements and related notes thereto appearing in the 2019 Form 10-K, incorporated by reference in this prospectus.</w:t>
      </w:r>
    </w:p>
    <w:p>
      <w:pPr>
        <w:spacing w:after="0" w:line="80"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2019 give effect to the Transactions, including this offering, as if all such transactions had occurred on January 1, 2019, in the case of the summary unaudited pro forma consolidated statement of income data, and as of December 31, 2019,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gridSpan w:val="4"/>
          </w:tcPr>
          <w:p>
            <w:pPr>
              <w:jc w:val="center"/>
              <w:spacing w:after="0" w:line="216" w:lineRule="exact"/>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21"/>
                <w:szCs w:val="21"/>
                <w:b w:val="1"/>
                <w:bCs w:val="1"/>
                <w:color w:val="auto"/>
                <w:w w:val="94"/>
                <w:vertAlign w:val="superscript"/>
              </w:rPr>
              <w:t>(1)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right w:val="single" w:sz="8" w:color="auto"/>
            </w:tcBorders>
            <w:gridSpan w:val="4"/>
          </w:tcPr>
          <w:p>
            <w:pPr>
              <w:ind w:left="140"/>
              <w:spacing w:after="0" w:line="160"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3"/>
                <w:szCs w:val="13"/>
                <w:color w:val="auto"/>
              </w:rPr>
            </w:pPr>
          </w:p>
        </w:tc>
        <w:tc>
          <w:tcPr>
            <w:tcW w:w="980" w:type="dxa"/>
            <w:vAlign w:val="bottom"/>
            <w:gridSpan w:val="4"/>
          </w:tcPr>
          <w:p>
            <w:pPr>
              <w:ind w:left="120"/>
              <w:spacing w:after="0" w:line="160" w:lineRule="exact"/>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104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4"/>
                <w:szCs w:val="14"/>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right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fees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423,583</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423,583</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Pr>
          <w:p>
            <w:pPr>
              <w:ind w:left="160"/>
              <w:spacing w:after="0" w:line="256"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194,366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194,366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46,519</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149,365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149,365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tcPr>
          <w:p>
            <w:pPr>
              <w:ind w:left="160"/>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(26,830)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775,566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178,637</w:t>
            </w:r>
          </w:p>
        </w:tc>
        <w:tc>
          <w:tcPr>
            <w:tcW w:w="2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compensation and</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329,457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329,457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0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139,330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139,330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33,020</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48,808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11,837</w:t>
            </w:r>
          </w:p>
        </w:tc>
        <w:tc>
          <w:tcPr>
            <w:tcW w:w="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23,056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33,973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Occupancy</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Borders>
              <w:bottom w:val="single" w:sz="8" w:color="CCEEFF"/>
              <w:right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585,747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585,747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146,702</w:t>
            </w:r>
          </w:p>
        </w:tc>
        <w:tc>
          <w:tcPr>
            <w:tcW w:w="200" w:type="dxa"/>
            <w:vAlign w:val="bottom"/>
            <w:tcBorders>
              <w:bottom w:val="single" w:sz="8" w:color="CCEEFF"/>
              <w:right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189,819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189,819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31,935</w:t>
            </w:r>
          </w:p>
        </w:tc>
        <w:tc>
          <w:tcPr>
            <w:tcW w:w="2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225,326</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225,326</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0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(60,838)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(52,302)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(11,900)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164,488</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173,024</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00" w:type="dxa"/>
            <w:vAlign w:val="bottom"/>
            <w:tcBorders>
              <w:right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40,063</w:t>
            </w: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46,903</w:t>
            </w:r>
          </w:p>
        </w:tc>
        <w:tc>
          <w:tcPr>
            <w:tcW w:w="140" w:type="dxa"/>
            <w:vAlign w:val="bottom"/>
          </w:tcPr>
          <w:p>
            <w:pPr>
              <w:spacing w:after="0"/>
              <w:rPr>
                <w:sz w:val="24"/>
                <w:szCs w:val="24"/>
                <w:color w:val="auto"/>
              </w:rPr>
            </w:pP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96"/>
              </w:rPr>
              <w:t>Net income attributable to Tradeweb</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Markets Inc.</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124,425</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Statement of Financial Condition Data:</w:t>
      </w:r>
    </w:p>
    <w:p>
      <w:pPr>
        <w:ind w:left="1280"/>
        <w:spacing w:after="0" w:line="238" w:lineRule="auto"/>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(4)</w:t>
      </w:r>
    </w:p>
    <w:p>
      <w:pPr>
        <w:ind w:left="1280"/>
        <w:spacing w:after="0" w:line="227" w:lineRule="auto"/>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(4)</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Non-controlling interests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equity/members’ capital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Historical</w:t>
            </w:r>
          </w:p>
        </w:tc>
        <w:tc>
          <w:tcPr>
            <w:tcW w:w="1000" w:type="dxa"/>
            <w:vAlign w:val="bottom"/>
            <w:tcBorders>
              <w:bottom w:val="single" w:sz="8" w:color="auto"/>
            </w:tcBorders>
          </w:tcPr>
          <w:p>
            <w:pPr>
              <w:spacing w:after="0"/>
              <w:rPr>
                <w:sz w:val="16"/>
                <w:szCs w:val="16"/>
                <w:color w:val="auto"/>
              </w:rPr>
            </w:pPr>
          </w:p>
        </w:tc>
      </w:tr>
      <w:tr>
        <w:trPr>
          <w:trHeight w:val="216"/>
        </w:trPr>
        <w:tc>
          <w:tcPr>
            <w:tcW w:w="10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21"/>
                <w:szCs w:val="21"/>
                <w:b w:val="1"/>
                <w:bCs w:val="1"/>
                <w:color w:val="auto"/>
                <w:w w:val="94"/>
                <w:vertAlign w:val="superscript"/>
              </w:rPr>
              <w:t>(1)</w:t>
            </w:r>
          </w:p>
        </w:tc>
        <w:tc>
          <w:tcPr>
            <w:tcW w:w="40" w:type="dxa"/>
            <w:vAlign w:val="bottom"/>
          </w:tcPr>
          <w:p>
            <w:pPr>
              <w:spacing w:after="0"/>
              <w:rPr>
                <w:sz w:val="18"/>
                <w:szCs w:val="18"/>
                <w:color w:val="auto"/>
              </w:rPr>
            </w:pPr>
          </w:p>
        </w:tc>
        <w:tc>
          <w:tcPr>
            <w:tcW w:w="2060" w:type="dxa"/>
            <w:vAlign w:val="bottom"/>
            <w:tcBorders>
              <w:bottom w:val="single" w:sz="8" w:color="auto"/>
              <w:right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Predecessor</w:t>
            </w:r>
          </w:p>
        </w:tc>
      </w:tr>
      <w:tr>
        <w:trPr>
          <w:trHeight w:val="160"/>
        </w:trPr>
        <w:tc>
          <w:tcPr>
            <w:tcW w:w="10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As of</w:t>
            </w:r>
          </w:p>
        </w:tc>
      </w:tr>
      <w:tr>
        <w:trPr>
          <w:trHeight w:val="162"/>
        </w:trPr>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4"/>
                <w:szCs w:val="14"/>
                <w:color w:val="auto"/>
              </w:rPr>
            </w:pPr>
          </w:p>
        </w:tc>
        <w:tc>
          <w:tcPr>
            <w:tcW w:w="10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
        </w:trPr>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(in thousands)</w:t>
      </w:r>
    </w:p>
    <w:p>
      <w:pPr>
        <w:spacing w:after="0" w:line="306" w:lineRule="exact"/>
        <w:rPr>
          <w:sz w:val="20"/>
          <w:szCs w:val="20"/>
          <w:color w:val="auto"/>
        </w:rPr>
      </w:pPr>
    </w:p>
    <w:p>
      <w:pPr>
        <w:ind w:left="320" w:hanging="23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457,658   $  460,711   $  410,104   $  352,598</w:t>
      </w:r>
    </w:p>
    <w:p>
      <w:pPr>
        <w:spacing w:after="0" w:line="4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5,218,420    5,095,334    4,997,139    1,316,887</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568,803502,589410,626</w:t>
      </w:r>
      <w:r>
        <w:rPr>
          <w:rFonts w:ascii="Arial" w:cs="Arial" w:eastAsia="Arial" w:hAnsi="Arial"/>
          <w:sz w:val="16"/>
          <w:szCs w:val="16"/>
          <w:color w:val="auto"/>
        </w:rPr>
        <w:t>317,118</w:t>
      </w:r>
    </w:p>
    <w:p>
      <w:pPr>
        <w:spacing w:after="0" w:line="3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994,396    1,214,157——</w:t>
      </w:r>
    </w:p>
    <w:p>
      <w:pPr>
        <w:spacing w:after="0" w:line="4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4,649,617    4,592,745    4,572,334</w:t>
      </w:r>
      <w:r>
        <w:rPr>
          <w:rFonts w:ascii="Arial" w:cs="Arial" w:eastAsia="Arial" w:hAnsi="Arial"/>
          <w:sz w:val="16"/>
          <w:szCs w:val="16"/>
          <w:color w:val="auto"/>
        </w:rPr>
        <w:t>986,468</w:t>
      </w:r>
    </w:p>
    <w:p>
      <w:pPr>
        <w:spacing w:after="0" w:line="265" w:lineRule="exact"/>
        <w:rPr>
          <w:sz w:val="20"/>
          <w:szCs w:val="20"/>
          <w:color w:val="auto"/>
        </w:rPr>
      </w:pPr>
    </w:p>
    <w:p>
      <w:pPr>
        <w:sectPr>
          <w:pgSz w:w="11900" w:h="16838" w:orient="portrait"/>
          <w:cols w:equalWidth="0" w:num="2">
            <w:col w:w="4640" w:space="720"/>
            <w:col w:w="4779"/>
          </w:cols>
          <w:pgMar w:left="320" w:top="132"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820" w:type="dxa"/>
        <w:tblCellMar>
          <w:top w:w="0" w:type="dxa"/>
          <w:left w:w="0" w:type="dxa"/>
          <w:bottom w:w="0" w:type="dxa"/>
          <w:right w:w="0" w:type="dxa"/>
        </w:tblCellMar>
      </w:tblPr>
      <w:tr>
        <w:trPr>
          <w:trHeight w:val="36"/>
        </w:trPr>
        <w:tc>
          <w:tcPr>
            <w:tcW w:w="22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3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22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January 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Year Ended</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2018 to</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December 31,</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September 30,</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2019</w:t>
            </w:r>
          </w:p>
        </w:tc>
        <w:tc>
          <w:tcPr>
            <w:tcW w:w="110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(dollars in thousands)</w:t>
      </w:r>
    </w:p>
    <w:p>
      <w:pPr>
        <w:sectPr>
          <w:pgSz w:w="11900" w:h="16838" w:orient="portrait"/>
          <w:cols w:equalWidth="0" w:num="1">
            <w:col w:w="10139"/>
          </w:cols>
          <w:pgMar w:left="320" w:top="132" w:right="1440" w:bottom="1440" w:gutter="0" w:footer="0" w:header="0"/>
          <w:type w:val="continuous"/>
        </w:sectPr>
      </w:pPr>
    </w:p>
    <w:p>
      <w:pPr>
        <w:spacing w:after="0" w:line="59"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6"/>
        </w:trPr>
        <w:tc>
          <w:tcPr>
            <w:tcW w:w="3180" w:type="dxa"/>
            <w:vAlign w:val="bottom"/>
          </w:tcPr>
          <w:p>
            <w:pPr>
              <w:spacing w:after="0"/>
              <w:rPr>
                <w:sz w:val="20"/>
                <w:szCs w:val="20"/>
                <w:color w:val="auto"/>
              </w:rPr>
            </w:pPr>
            <w:r>
              <w:rPr>
                <w:rFonts w:ascii="Arial" w:cs="Arial" w:eastAsia="Arial" w:hAnsi="Arial"/>
                <w:sz w:val="18"/>
                <w:szCs w:val="18"/>
                <w:color w:val="auto"/>
              </w:rPr>
              <w:t>Cash flow from operating activities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$311,003</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$112,556</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$266,541</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$ 96,310</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$353,162</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$ 65,308</w:t>
            </w:r>
          </w:p>
        </w:tc>
      </w:tr>
      <w:tr>
        <w:trPr>
          <w:trHeight w:val="270"/>
        </w:trPr>
        <w:tc>
          <w:tcPr>
            <w:tcW w:w="318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(6)</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353"/>
        </w:trPr>
        <w:tc>
          <w:tcPr>
            <w:tcW w:w="31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$230,935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$ 40,839</w:t>
            </w: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$214,091</w:t>
      </w:r>
      <w:r>
        <w:rPr>
          <w:sz w:val="20"/>
          <w:szCs w:val="20"/>
          <w:color w:val="auto"/>
        </w:rPr>
        <w:tab/>
      </w:r>
      <w:r>
        <w:rPr>
          <w:rFonts w:ascii="Arial" w:cs="Arial" w:eastAsia="Arial" w:hAnsi="Arial"/>
          <w:sz w:val="16"/>
          <w:szCs w:val="16"/>
          <w:color w:val="auto"/>
        </w:rPr>
        <w:t>$215,185</w:t>
      </w:r>
    </w:p>
    <w:p>
      <w:pPr>
        <w:spacing w:after="0" w:line="63" w:lineRule="exact"/>
        <w:rPr>
          <w:sz w:val="20"/>
          <w:szCs w:val="20"/>
          <w:color w:val="auto"/>
        </w:rPr>
      </w:pPr>
    </w:p>
    <w:p>
      <w:pPr>
        <w:jc w:val="right"/>
        <w:ind w:right="699"/>
        <w:spacing w:after="0"/>
        <w:tabs>
          <w:tab w:leader="none" w:pos="4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38.2%</w:t>
      </w:r>
    </w:p>
    <w:p>
      <w:pPr>
        <w:spacing w:after="0" w:line="6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$137,327</w:t>
      </w:r>
      <w:r>
        <w:rPr>
          <w:sz w:val="20"/>
          <w:szCs w:val="20"/>
          <w:color w:val="auto"/>
        </w:rPr>
        <w:tab/>
      </w:r>
      <w:r>
        <w:rPr>
          <w:rFonts w:ascii="Arial" w:cs="Arial" w:eastAsia="Arial" w:hAnsi="Arial"/>
          <w:sz w:val="16"/>
          <w:szCs w:val="16"/>
          <w:color w:val="auto"/>
        </w:rPr>
        <w:t>$131,369</w:t>
      </w:r>
    </w:p>
    <w:p>
      <w:pPr>
        <w:spacing w:after="0" w:line="216" w:lineRule="exact"/>
        <w:rPr>
          <w:sz w:val="20"/>
          <w:szCs w:val="20"/>
          <w:color w:val="auto"/>
        </w:rPr>
      </w:pPr>
    </w:p>
    <w:p>
      <w:pPr>
        <w:sectPr>
          <w:pgSz w:w="11900" w:h="16838" w:orient="portrait"/>
          <w:cols w:equalWidth="0" w:num="2">
            <w:col w:w="7000" w:space="360"/>
            <w:col w:w="2779"/>
          </w:cols>
          <w:pgMar w:left="320" w:top="132"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December 31,</w:t>
            </w: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December 31,</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December 31,</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9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6"/>
                <w:szCs w:val="16"/>
                <w:color w:val="auto"/>
              </w:rPr>
            </w:pPr>
          </w:p>
        </w:tc>
        <w:tc>
          <w:tcPr>
            <w:tcW w:w="98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56"/>
        </w:trPr>
        <w:tc>
          <w:tcPr>
            <w:tcW w:w="4720" w:type="dxa"/>
            <w:vAlign w:val="bottom"/>
            <w:gridSpan w:val="3"/>
          </w:tcPr>
          <w:p>
            <w:pPr>
              <w:spacing w:after="0"/>
              <w:rPr>
                <w:sz w:val="20"/>
                <w:szCs w:val="20"/>
                <w:color w:val="auto"/>
              </w:rPr>
            </w:pPr>
            <w:r>
              <w:rPr>
                <w:rFonts w:ascii="Arial" w:cs="Arial" w:eastAsia="Arial" w:hAnsi="Arial"/>
                <w:sz w:val="18"/>
                <w:szCs w:val="18"/>
                <w:color w:val="auto"/>
              </w:rPr>
              <w:t>Average Daily Volumes: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$489,547</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$353,990</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$253,307</w:t>
            </w:r>
          </w:p>
        </w:tc>
        <w:tc>
          <w:tcPr>
            <w:tcW w:w="2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Credit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14,795</w:t>
            </w:r>
          </w:p>
        </w:tc>
        <w:tc>
          <w:tcPr>
            <w:tcW w:w="2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12,664</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0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Money markets</w:t>
            </w: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214,351</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174,085</w:t>
            </w: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132,134</w:t>
            </w:r>
          </w:p>
        </w:tc>
        <w:tc>
          <w:tcPr>
            <w:tcW w:w="200" w:type="dxa"/>
            <w:vAlign w:val="bottom"/>
            <w:tcBorders>
              <w:bottom w:val="single" w:sz="8" w:color="CCEEFF"/>
            </w:tcBorders>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$726,501</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$548,535</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$397,807</w:t>
            </w:r>
          </w:p>
        </w:tc>
        <w:tc>
          <w:tcPr>
            <w:tcW w:w="2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48" w:lineRule="exact"/>
        <w:rPr>
          <w:sz w:val="20"/>
          <w:szCs w:val="20"/>
          <w:color w:val="auto"/>
        </w:rPr>
      </w:pPr>
    </w:p>
    <w:p>
      <w:pPr>
        <w:ind w:left="1640" w:right="919" w:hanging="354"/>
        <w:spacing w:after="0" w:line="259"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5" w:lineRule="exact"/>
        <w:rPr>
          <w:rFonts w:ascii="Arial" w:cs="Arial" w:eastAsia="Arial" w:hAnsi="Arial"/>
          <w:sz w:val="18"/>
          <w:szCs w:val="18"/>
          <w:color w:val="auto"/>
        </w:rPr>
      </w:pPr>
    </w:p>
    <w:p>
      <w:pPr>
        <w:ind w:left="1640" w:right="679" w:hanging="354"/>
        <w:spacing w:after="0" w:line="259"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Subscription fees for the pro forma year ended December 31, 2019, the year ended December 31, 2019, the 2018 Successor Period, the 2018 Predecessor Period and the year ended December 31, 2017 include $55.6 million, $55.6 million, $13.5 million, $36.9 million and $50.1 million, respectively, of Refinitiv (formerly Thomson Reuters) market data fees.</w:t>
      </w:r>
    </w:p>
    <w:p>
      <w:pPr>
        <w:spacing w:after="0" w:line="119" w:lineRule="exact"/>
        <w:rPr>
          <w:rFonts w:ascii="Arial" w:cs="Arial" w:eastAsia="Arial" w:hAnsi="Arial"/>
          <w:sz w:val="18"/>
          <w:szCs w:val="18"/>
          <w:color w:val="auto"/>
        </w:rPr>
      </w:pPr>
    </w:p>
    <w:p>
      <w:pPr>
        <w:ind w:left="1640" w:right="819" w:hanging="354"/>
        <w:spacing w:after="0" w:line="257"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06" w:lineRule="exact"/>
        <w:rPr>
          <w:rFonts w:ascii="Arial" w:cs="Arial" w:eastAsia="Arial" w:hAnsi="Arial"/>
          <w:sz w:val="18"/>
          <w:szCs w:val="18"/>
          <w:color w:val="auto"/>
        </w:rPr>
      </w:pPr>
    </w:p>
    <w:p>
      <w:pPr>
        <w:ind w:left="1640" w:right="779" w:hanging="354"/>
        <w:spacing w:after="0" w:line="263"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assets and total equity do not reflect the cash dividend of $0.08 per share paid to holders of Class A common stock and Class B common stock on March 16, 2020. See “Dividend Policy.”</w:t>
      </w:r>
    </w:p>
    <w:p>
      <w:pPr>
        <w:spacing w:after="0" w:line="102" w:lineRule="exact"/>
        <w:rPr>
          <w:rFonts w:ascii="Arial" w:cs="Arial" w:eastAsia="Arial" w:hAnsi="Arial"/>
          <w:sz w:val="18"/>
          <w:szCs w:val="18"/>
          <w:color w:val="auto"/>
        </w:rPr>
      </w:pPr>
    </w:p>
    <w:p>
      <w:pPr>
        <w:ind w:left="1640" w:right="839" w:hanging="354"/>
        <w:spacing w:after="0" w:line="259"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71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99"/>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69" w:lineRule="exact"/>
        <w:rPr>
          <w:sz w:val="20"/>
          <w:szCs w:val="20"/>
          <w:color w:val="auto"/>
        </w:rPr>
      </w:pPr>
    </w:p>
    <w:p>
      <w:pPr>
        <w:jc w:val="both"/>
        <w:ind w:left="1640" w:right="959"/>
        <w:spacing w:after="0" w:line="263"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 ended December 31, 2017:</w:t>
      </w:r>
    </w:p>
    <w:p>
      <w:pPr>
        <w:spacing w:after="0" w:line="94" w:lineRule="exact"/>
        <w:rPr>
          <w:sz w:val="20"/>
          <w:szCs w:val="20"/>
          <w:color w:val="auto"/>
        </w:rPr>
      </w:pPr>
    </w:p>
    <w:tbl>
      <w:tblPr>
        <w:tblLayout w:type="fixed"/>
        <w:tblInd w:w="4440" w:type="dxa"/>
        <w:tblCellMar>
          <w:top w:w="0" w:type="dxa"/>
          <w:left w:w="0" w:type="dxa"/>
          <w:bottom w:w="0" w:type="dxa"/>
          <w:right w:w="0" w:type="dxa"/>
        </w:tblCellMar>
      </w:tblPr>
      <w:tr>
        <w:trPr>
          <w:trHeight w:val="36"/>
        </w:trPr>
        <w:tc>
          <w:tcPr>
            <w:tcW w:w="22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3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22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October 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January 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Year Ended</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2018 to</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2"/>
        </w:trPr>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December 31,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September 30,</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139"/>
          </w:cols>
          <w:pgMar w:left="320" w:top="132" w:right="1440" w:bottom="1440" w:gutter="0" w:footer="0" w:header="0"/>
          <w:type w:val="continuous"/>
        </w:sectPr>
      </w:pPr>
    </w:p>
    <w:p>
      <w:pPr>
        <w:spacing w:after="0" w:line="45" w:lineRule="exact"/>
        <w:rPr>
          <w:sz w:val="20"/>
          <w:szCs w:val="20"/>
          <w:color w:val="auto"/>
        </w:rPr>
      </w:pPr>
    </w:p>
    <w:tbl>
      <w:tblPr>
        <w:tblLayout w:type="fixed"/>
        <w:tblInd w:w="1640" w:type="dxa"/>
        <w:tblCellMar>
          <w:top w:w="0" w:type="dxa"/>
          <w:left w:w="0" w:type="dxa"/>
          <w:bottom w:w="0" w:type="dxa"/>
          <w:right w:w="0" w:type="dxa"/>
        </w:tblCellMar>
      </w:tblPr>
      <w:tr>
        <w:trPr>
          <w:trHeight w:val="221"/>
        </w:trPr>
        <w:tc>
          <w:tcPr>
            <w:tcW w:w="2960" w:type="dxa"/>
            <w:vAlign w:val="bottom"/>
            <w:gridSpan w:val="2"/>
          </w:tcPr>
          <w:p>
            <w:pPr>
              <w:spacing w:after="0"/>
              <w:rPr>
                <w:sz w:val="20"/>
                <w:szCs w:val="20"/>
                <w:color w:val="auto"/>
              </w:rPr>
            </w:pPr>
            <w:r>
              <w:rPr>
                <w:rFonts w:ascii="Arial" w:cs="Arial" w:eastAsia="Arial" w:hAnsi="Arial"/>
                <w:sz w:val="18"/>
                <w:szCs w:val="18"/>
                <w:color w:val="auto"/>
              </w:rPr>
              <w:t>Cash flow from operating</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r>
      <w:tr>
        <w:trPr>
          <w:trHeight w:val="230"/>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$311,003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$112,556</w:t>
            </w:r>
          </w:p>
        </w:tc>
        <w:tc>
          <w:tcPr>
            <w:tcW w:w="260" w:type="dxa"/>
            <w:vAlign w:val="bottom"/>
            <w:tcBorders>
              <w:right w:val="single" w:sz="8" w:color="auto"/>
            </w:tcBorders>
          </w:tcPr>
          <w:p>
            <w:pPr>
              <w:spacing w:after="0"/>
              <w:rPr>
                <w:sz w:val="20"/>
                <w:szCs w:val="20"/>
                <w:color w:val="auto"/>
              </w:rPr>
            </w:pPr>
          </w:p>
        </w:tc>
      </w:tr>
      <w:tr>
        <w:trPr>
          <w:trHeight w:val="242"/>
        </w:trPr>
        <w:tc>
          <w:tcPr>
            <w:tcW w:w="2960" w:type="dxa"/>
            <w:vAlign w:val="bottom"/>
            <w:gridSpan w:val="2"/>
          </w:tcPr>
          <w:p>
            <w:pPr>
              <w:spacing w:after="0"/>
              <w:rPr>
                <w:sz w:val="20"/>
                <w:szCs w:val="20"/>
                <w:color w:val="auto"/>
              </w:rPr>
            </w:pPr>
            <w:r>
              <w:rPr>
                <w:rFonts w:ascii="Arial" w:cs="Arial" w:eastAsia="Arial" w:hAnsi="Arial"/>
                <w:sz w:val="18"/>
                <w:szCs w:val="18"/>
                <w:color w:val="auto"/>
              </w:rPr>
              <w:t>Less: Capitalization of software</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development costs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(28,681)</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(7,156)</w:t>
            </w:r>
          </w:p>
        </w:tc>
      </w:tr>
      <w:tr>
        <w:trPr>
          <w:trHeight w:val="235"/>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leasehold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3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(15,781)</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(9,090)</w:t>
            </w:r>
          </w:p>
        </w:tc>
      </w:tr>
      <w:tr>
        <w:trPr>
          <w:trHeight w:val="27"/>
        </w:trPr>
        <w:tc>
          <w:tcPr>
            <w:tcW w:w="260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CCEEFF"/>
              <w:right w:val="single" w:sz="8" w:color="auto"/>
            </w:tcBorders>
          </w:tcPr>
          <w:p>
            <w:pPr>
              <w:spacing w:after="0"/>
              <w:rPr>
                <w:sz w:val="2"/>
                <w:szCs w:val="2"/>
                <w:color w:val="auto"/>
              </w:rPr>
            </w:pPr>
          </w:p>
        </w:tc>
      </w:tr>
      <w:tr>
        <w:trPr>
          <w:trHeight w:val="277"/>
        </w:trPr>
        <w:tc>
          <w:tcPr>
            <w:tcW w:w="296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$266,541</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$ 96,310</w:t>
            </w:r>
          </w:p>
        </w:tc>
        <w:tc>
          <w:tcPr>
            <w:tcW w:w="260" w:type="dxa"/>
            <w:vAlign w:val="bottom"/>
            <w:tcBorders>
              <w:right w:val="single" w:sz="8" w:color="auto"/>
            </w:tcBorders>
          </w:tcPr>
          <w:p>
            <w:pPr>
              <w:spacing w:after="0"/>
              <w:rPr>
                <w:sz w:val="24"/>
                <w:szCs w:val="24"/>
                <w:color w:val="auto"/>
              </w:rPr>
            </w:pPr>
          </w:p>
        </w:tc>
      </w:tr>
      <w:tr>
        <w:trPr>
          <w:trHeight w:val="20"/>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$164,828</w:t>
      </w:r>
      <w:r>
        <w:rPr>
          <w:sz w:val="20"/>
          <w:szCs w:val="20"/>
          <w:color w:val="auto"/>
        </w:rPr>
        <w:tab/>
      </w:r>
      <w:r>
        <w:rPr>
          <w:rFonts w:ascii="Arial" w:cs="Arial" w:eastAsia="Arial" w:hAnsi="Arial"/>
          <w:sz w:val="16"/>
          <w:szCs w:val="16"/>
          <w:color w:val="auto"/>
        </w:rPr>
        <w:t>$224,580</w:t>
      </w:r>
    </w:p>
    <w:p>
      <w:pPr>
        <w:spacing w:after="0" w:line="266"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6"/>
          <w:szCs w:val="16"/>
          <w:color w:val="auto"/>
        </w:rPr>
        <w:t>(19,523)</w:t>
      </w:r>
      <w:r>
        <w:rPr>
          <w:sz w:val="20"/>
          <w:szCs w:val="20"/>
          <w:color w:val="auto"/>
        </w:rPr>
        <w:tab/>
      </w:r>
      <w:r>
        <w:rPr>
          <w:rFonts w:ascii="Arial" w:cs="Arial" w:eastAsia="Arial" w:hAnsi="Arial"/>
          <w:sz w:val="16"/>
          <w:szCs w:val="16"/>
          <w:color w:val="auto"/>
        </w:rPr>
        <w:t>(27,157)</w:t>
      </w:r>
    </w:p>
    <w:p>
      <w:pPr>
        <w:spacing w:after="0" w:line="200" w:lineRule="exact"/>
        <w:rPr>
          <w:sz w:val="20"/>
          <w:szCs w:val="20"/>
          <w:color w:val="auto"/>
        </w:rPr>
      </w:pPr>
    </w:p>
    <w:p>
      <w:pPr>
        <w:spacing w:after="0" w:line="305" w:lineRule="exact"/>
        <w:rPr>
          <w:sz w:val="20"/>
          <w:szCs w:val="20"/>
          <w:color w:val="auto"/>
        </w:rPr>
      </w:pPr>
    </w:p>
    <w:p>
      <w:pPr>
        <w:jc w:val="both"/>
        <w:ind w:left="220"/>
        <w:spacing w:after="0"/>
        <w:tabs>
          <w:tab w:leader="none" w:pos="1360" w:val="left"/>
        </w:tabs>
        <w:rPr>
          <w:sz w:val="20"/>
          <w:szCs w:val="20"/>
          <w:color w:val="auto"/>
        </w:rPr>
      </w:pPr>
      <w:r>
        <w:rPr>
          <w:rFonts w:ascii="Arial" w:cs="Arial" w:eastAsia="Arial" w:hAnsi="Arial"/>
          <w:sz w:val="18"/>
          <w:szCs w:val="18"/>
          <w:color w:val="auto"/>
        </w:rPr>
        <w:t>(6,327)</w:t>
      </w:r>
      <w:r>
        <w:rPr>
          <w:sz w:val="20"/>
          <w:szCs w:val="20"/>
          <w:color w:val="auto"/>
        </w:rPr>
        <w:tab/>
      </w:r>
      <w:r>
        <w:rPr>
          <w:rFonts w:ascii="Arial" w:cs="Arial" w:eastAsia="Arial" w:hAnsi="Arial"/>
          <w:sz w:val="18"/>
          <w:szCs w:val="18"/>
          <w:color w:val="auto"/>
        </w:rPr>
        <w:t>(13,461)</w:t>
      </w:r>
    </w:p>
    <w:p>
      <w:pPr>
        <w:spacing w:after="0" w:line="9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$138,978</w:t>
      </w:r>
      <w:r>
        <w:rPr>
          <w:sz w:val="20"/>
          <w:szCs w:val="20"/>
          <w:color w:val="auto"/>
        </w:rPr>
        <w:tab/>
      </w:r>
      <w:r>
        <w:rPr>
          <w:rFonts w:ascii="Arial" w:cs="Arial" w:eastAsia="Arial" w:hAnsi="Arial"/>
          <w:sz w:val="16"/>
          <w:szCs w:val="16"/>
          <w:color w:val="auto"/>
        </w:rPr>
        <w:t>$183,962</w:t>
      </w:r>
    </w:p>
    <w:p>
      <w:pPr>
        <w:spacing w:after="0" w:line="238" w:lineRule="exact"/>
        <w:rPr>
          <w:sz w:val="20"/>
          <w:szCs w:val="20"/>
          <w:color w:val="auto"/>
        </w:rPr>
      </w:pPr>
    </w:p>
    <w:p>
      <w:pPr>
        <w:sectPr>
          <w:pgSz w:w="11900" w:h="16838" w:orient="portrait"/>
          <w:cols w:equalWidth="0" w:num="2">
            <w:col w:w="6740" w:space="240"/>
            <w:col w:w="3159"/>
          </w:cols>
          <w:pgMar w:left="320" w:top="132" w:right="1440" w:bottom="1440" w:gutter="0" w:footer="0" w:header="0"/>
          <w:type w:val="continuous"/>
        </w:sectPr>
      </w:pPr>
    </w:p>
    <w:p>
      <w:pPr>
        <w:ind w:left="1640" w:right="739" w:hanging="354"/>
        <w:spacing w:after="0" w:line="259" w:lineRule="auto"/>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w:t>
      </w:r>
    </w:p>
    <w:p>
      <w:pPr>
        <w:spacing w:after="0" w:line="78" w:lineRule="exact"/>
        <w:rPr>
          <w:rFonts w:ascii="Arial" w:cs="Arial" w:eastAsia="Arial" w:hAnsi="Arial"/>
          <w:sz w:val="18"/>
          <w:szCs w:val="18"/>
          <w:color w:val="auto"/>
        </w:rPr>
      </w:pPr>
    </w:p>
    <w:p>
      <w:pPr>
        <w:ind w:left="1640" w:right="659"/>
        <w:spacing w:after="0" w:line="267" w:lineRule="auto"/>
        <w:rPr>
          <w:rFonts w:ascii="Arial" w:cs="Arial" w:eastAsia="Arial" w:hAnsi="Arial"/>
          <w:sz w:val="18"/>
          <w:szCs w:val="18"/>
          <w:color w:val="auto"/>
        </w:rPr>
      </w:pPr>
      <w:r>
        <w:rPr>
          <w:rFonts w:ascii="Arial" w:cs="Arial" w:eastAsia="Arial" w:hAnsi="Arial"/>
          <w:sz w:val="17"/>
          <w:szCs w:val="17"/>
          <w:color w:val="auto"/>
        </w:rPr>
        <w:t>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options awarded to management and other employees prior to the IPO (the “Special Option Award”)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59"/>
        <w:spacing w:after="0" w:line="269" w:lineRule="auto"/>
        <w:rPr>
          <w:sz w:val="20"/>
          <w:szCs w:val="20"/>
          <w:color w:val="auto"/>
        </w:rPr>
      </w:pPr>
      <w:r>
        <w:rPr>
          <w:rFonts w:ascii="Arial" w:cs="Arial" w:eastAsia="Arial" w:hAnsi="Arial"/>
          <w:sz w:val="17"/>
          <w:szCs w:val="17"/>
          <w:color w:val="auto"/>
        </w:rPr>
        <w:t>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because we believe it is useful to exclude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which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71" w:lineRule="exact"/>
        <w:rPr>
          <w:sz w:val="20"/>
          <w:szCs w:val="20"/>
          <w:color w:val="auto"/>
        </w:rPr>
      </w:pPr>
    </w:p>
    <w:p>
      <w:pPr>
        <w:ind w:left="1640" w:right="659"/>
        <w:spacing w:after="0" w:line="255"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84" w:lineRule="exact"/>
        <w:rPr>
          <w:sz w:val="20"/>
          <w:szCs w:val="20"/>
          <w:color w:val="auto"/>
        </w:rPr>
      </w:pPr>
    </w:p>
    <w:p>
      <w:pPr>
        <w:ind w:left="1640" w:right="679"/>
        <w:spacing w:after="0" w:line="254"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87" w:lineRule="exact"/>
        <w:rPr>
          <w:sz w:val="20"/>
          <w:szCs w:val="20"/>
          <w:color w:val="auto"/>
        </w:rPr>
      </w:pPr>
    </w:p>
    <w:p>
      <w:pPr>
        <w:ind w:left="1640" w:right="659"/>
        <w:spacing w:after="0" w:line="252" w:lineRule="auto"/>
        <w:rPr>
          <w:sz w:val="20"/>
          <w:szCs w:val="20"/>
          <w:color w:val="auto"/>
        </w:rPr>
      </w:pPr>
      <w:r>
        <w:rPr>
          <w:rFonts w:ascii="Arial" w:cs="Arial" w:eastAsia="Arial" w:hAnsi="Arial"/>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85" w:lineRule="exact"/>
        <w:rPr>
          <w:sz w:val="20"/>
          <w:szCs w:val="20"/>
          <w:color w:val="auto"/>
        </w:rPr>
      </w:pPr>
    </w:p>
    <w:p>
      <w:pPr>
        <w:ind w:left="1640" w:right="699"/>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99"/>
        <w:spacing w:after="0" w:line="255" w:lineRule="auto"/>
        <w:rPr>
          <w:sz w:val="20"/>
          <w:szCs w:val="20"/>
          <w:color w:val="auto"/>
        </w:rPr>
      </w:pPr>
      <w:r>
        <w:rPr>
          <w:rFonts w:ascii="Arial" w:cs="Arial" w:eastAsia="Arial" w:hAnsi="Arial"/>
          <w:sz w:val="18"/>
          <w:szCs w:val="18"/>
          <w:color w:val="auto"/>
        </w:rPr>
        <w:t>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84" w:lineRule="exact"/>
        <w:rPr>
          <w:sz w:val="20"/>
          <w:szCs w:val="20"/>
          <w:color w:val="auto"/>
        </w:rPr>
      </w:pPr>
    </w:p>
    <w:p>
      <w:pPr>
        <w:ind w:left="1640" w:right="679"/>
        <w:spacing w:after="0" w:line="252"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For a discussion of these limitations, see “Use of Non-GAAP Financial Measures.”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87" w:lineRule="exact"/>
        <w:rPr>
          <w:sz w:val="20"/>
          <w:szCs w:val="20"/>
          <w:color w:val="auto"/>
        </w:rPr>
      </w:pPr>
    </w:p>
    <w:p>
      <w:pPr>
        <w:jc w:val="both"/>
        <w:ind w:left="1640" w:right="719"/>
        <w:spacing w:after="0" w:line="286" w:lineRule="auto"/>
        <w:rPr>
          <w:sz w:val="20"/>
          <w:szCs w:val="20"/>
          <w:color w:val="auto"/>
        </w:rPr>
      </w:pPr>
      <w:r>
        <w:rPr>
          <w:rFonts w:ascii="Arial" w:cs="Arial" w:eastAsia="Arial" w:hAnsi="Arial"/>
          <w:sz w:val="17"/>
          <w:szCs w:val="17"/>
          <w:color w:val="auto"/>
        </w:rPr>
        <w:t>The table set forth below presents a reconciliation of net income to Adjusted EBITDA, Adjusted EBIT, Adjusted EBITDA margin and Adjusted EBIT margin for the year ended December 31, 2019, the 2018 Successor Period, the 2018 Predecessor Period and the year ended December 31, 2017:</w:t>
      </w:r>
    </w:p>
    <w:p>
      <w:pPr>
        <w:spacing w:after="0" w:line="76" w:lineRule="exact"/>
        <w:rPr>
          <w:sz w:val="20"/>
          <w:szCs w:val="20"/>
          <w:color w:val="auto"/>
        </w:rPr>
      </w:pPr>
    </w:p>
    <w:tbl>
      <w:tblPr>
        <w:tblLayout w:type="fixed"/>
        <w:tblInd w:w="164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1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8"/>
              </w:rPr>
              <w:t>October 1,</w:t>
            </w:r>
          </w:p>
        </w:tc>
        <w:tc>
          <w:tcPr>
            <w:tcW w:w="80" w:type="dxa"/>
            <w:vAlign w:val="bottom"/>
            <w:tcBorders>
              <w:left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January 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left w:val="single" w:sz="8" w:color="auto"/>
            </w:tcBorders>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$ 173,024</w:t>
            </w:r>
          </w:p>
        </w:tc>
        <w:tc>
          <w:tcPr>
            <w:tcW w:w="104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$ 29,307</w:t>
            </w:r>
          </w:p>
        </w:tc>
        <w:tc>
          <w:tcPr>
            <w:tcW w:w="1140" w:type="dxa"/>
            <w:vAlign w:val="bottom"/>
            <w:tcBorders>
              <w:left w:val="single" w:sz="8" w:color="auto"/>
            </w:tcBorders>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$130,160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83,648</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26,830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interest income</w:t>
            </w:r>
          </w:p>
        </w:tc>
        <w:tc>
          <w:tcPr>
            <w:tcW w:w="116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(2,373)</w:t>
            </w:r>
          </w:p>
        </w:tc>
        <w:tc>
          <w:tcPr>
            <w:tcW w:w="1040" w:type="dxa"/>
            <w:vAlign w:val="bottom"/>
            <w:tcBorders>
              <w:right w:val="single" w:sz="8" w:color="CCEEFF"/>
            </w:tcBorders>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(787)</w:t>
            </w:r>
          </w:p>
        </w:tc>
        <w:tc>
          <w:tcPr>
            <w:tcW w:w="1140" w:type="dxa"/>
            <w:vAlign w:val="bottom"/>
            <w:tcBorders>
              <w:left w:val="single" w:sz="8" w:color="auto"/>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139,330</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33,020</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48,808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68,615</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Stock-based compensation expense</w:t>
            </w:r>
            <w:r>
              <w:rPr>
                <w:rFonts w:ascii="Arial" w:cs="Arial" w:eastAsia="Arial" w:hAnsi="Arial"/>
                <w:sz w:val="25"/>
                <w:szCs w:val="25"/>
                <w:color w:val="auto"/>
                <w:vertAlign w:val="superscript"/>
              </w:rPr>
              <w:t>(a)</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25,098</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52,302</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3,415</w:t>
            </w:r>
          </w:p>
        </w:tc>
        <w:tc>
          <w:tcPr>
            <w:tcW w:w="1140" w:type="dxa"/>
            <w:vAlign w:val="bottom"/>
            <w:tcBorders>
              <w:left w:val="single" w:sz="8" w:color="auto"/>
            </w:tcBorders>
            <w:gridSpan w:val="4"/>
          </w:tcPr>
          <w:p>
            <w:pPr>
              <w:jc w:val="right"/>
              <w:ind w:right="220"/>
              <w:spacing w:after="0" w:line="202" w:lineRule="exact"/>
              <w:rPr>
                <w:sz w:val="20"/>
                <w:szCs w:val="20"/>
                <w:color w:val="auto"/>
              </w:rPr>
            </w:pPr>
            <w:r>
              <w:rPr>
                <w:rFonts w:ascii="Arial" w:cs="Arial" w:eastAsia="Arial" w:hAnsi="Arial"/>
                <w:sz w:val="18"/>
                <w:szCs w:val="18"/>
                <w:color w:val="auto"/>
              </w:rPr>
              <w:t>11,900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Unrealized foreign exchange (gains)/losses</w:t>
            </w:r>
          </w:p>
        </w:tc>
        <w:tc>
          <w:tcPr>
            <w:tcW w:w="116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(2,310)</w:t>
            </w:r>
          </w:p>
        </w:tc>
        <w:tc>
          <w:tcPr>
            <w:tcW w:w="104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1140" w:type="dxa"/>
            <w:vAlign w:val="bottom"/>
            <w:tcBorders>
              <w:left w:val="single" w:sz="8" w:color="auto"/>
            </w:tcBorders>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65"/>
        </w:trPr>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(Gain)/loss from revaluation of 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denominated cash</w:t>
            </w:r>
            <w:r>
              <w:rPr>
                <w:rFonts w:ascii="Arial" w:cs="Arial" w:eastAsia="Arial" w:hAnsi="Arial"/>
                <w:sz w:val="26"/>
                <w:szCs w:val="26"/>
                <w:color w:val="auto"/>
                <w:vertAlign w:val="superscript"/>
              </w:rPr>
              <w:t>(b)</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1,225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114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65"/>
        </w:trPr>
        <w:tc>
          <w:tcPr>
            <w:tcW w:w="3440" w:type="dxa"/>
            <w:vAlign w:val="bottom"/>
            <w:gridSpan w:val="2"/>
            <w:shd w:val="clear" w:color="auto" w:fill="CCEEFF"/>
          </w:tcPr>
          <w:p>
            <w:pPr>
              <w:spacing w:after="0" w:line="164" w:lineRule="exact"/>
              <w:rPr>
                <w:sz w:val="20"/>
                <w:szCs w:val="20"/>
                <w:color w:val="auto"/>
              </w:rPr>
            </w:pPr>
            <w:r>
              <w:rPr>
                <w:rFonts w:ascii="Arial" w:cs="Arial" w:eastAsia="Arial" w:hAnsi="Arial"/>
                <w:sz w:val="18"/>
                <w:szCs w:val="18"/>
                <w:color w:val="auto"/>
              </w:rPr>
              <w:t>Tax receivable agreement liability</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(c)</w:t>
            </w: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(33,134)</w:t>
            </w:r>
          </w:p>
        </w:tc>
        <w:tc>
          <w:tcPr>
            <w:tcW w:w="16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$ 353,162</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$ 65,308</w:t>
            </w: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left w:val="single" w:sz="8" w:color="auto"/>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214,091</w:t>
            </w:r>
          </w:p>
        </w:tc>
        <w:tc>
          <w:tcPr>
            <w:tcW w:w="2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215,185</w:t>
            </w:r>
          </w:p>
        </w:tc>
        <w:tc>
          <w:tcPr>
            <w:tcW w:w="1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Less: Depreciation and amortization</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(139,330)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(33,020)</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(48,808)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3"/>
              </w:rPr>
              <w:t>(68,615)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40" w:type="dxa"/>
            <w:vAlign w:val="bottom"/>
            <w:gridSpan w:val="2"/>
          </w:tcPr>
          <w:p>
            <w:pPr>
              <w:spacing w:after="0" w:line="164" w:lineRule="exact"/>
              <w:rPr>
                <w:sz w:val="20"/>
                <w:szCs w:val="20"/>
                <w:color w:val="auto"/>
              </w:rPr>
            </w:pPr>
            <w:r>
              <w:rPr>
                <w:rFonts w:ascii="Arial" w:cs="Arial" w:eastAsia="Arial" w:hAnsi="Arial"/>
                <w:sz w:val="18"/>
                <w:szCs w:val="18"/>
                <w:color w:val="auto"/>
              </w:rPr>
              <w:t>Add: Acquisition and Refinitiv Transaction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(d)</w:t>
            </w:r>
          </w:p>
        </w:tc>
        <w:tc>
          <w:tcPr>
            <w:tcW w:w="200" w:type="dxa"/>
            <w:vAlign w:val="bottom"/>
            <w:gridSpan w:val="2"/>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97,565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22,413</w:t>
            </w:r>
          </w:p>
        </w:tc>
        <w:tc>
          <w:tcPr>
            <w:tcW w:w="1140" w:type="dxa"/>
            <w:vAlign w:val="bottom"/>
            <w:tcBorders>
              <w:lef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19,576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w:t>
            </w:r>
          </w:p>
        </w:tc>
        <w:tc>
          <w:tcPr>
            <w:tcW w:w="200" w:type="dxa"/>
            <w:vAlign w:val="bottom"/>
            <w:gridSpan w:val="2"/>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311,397</w:t>
            </w:r>
          </w:p>
        </w:tc>
        <w:tc>
          <w:tcPr>
            <w:tcW w:w="10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54,701</w:t>
            </w:r>
          </w:p>
        </w:tc>
        <w:tc>
          <w:tcPr>
            <w:tcW w:w="11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184,859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177,806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spacing w:after="0" w:line="23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(e)</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36.6%</w:t>
            </w:r>
          </w:p>
        </w:tc>
        <w:tc>
          <w:tcPr>
            <w:tcW w:w="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gridSpan w:val="2"/>
            <w:vMerge w:val="restart"/>
            <w:shd w:val="clear" w:color="auto" w:fill="CCEEFF"/>
          </w:tcPr>
          <w:p>
            <w:pPr>
              <w:spacing w:after="0" w:line="216" w:lineRule="exact"/>
              <w:rPr>
                <w:sz w:val="20"/>
                <w:szCs w:val="20"/>
                <w:color w:val="auto"/>
              </w:rPr>
            </w:pPr>
            <w:r>
              <w:rPr>
                <w:rFonts w:ascii="Arial" w:cs="Arial" w:eastAsia="Arial" w:hAnsi="Arial"/>
                <w:sz w:val="17"/>
                <w:szCs w:val="17"/>
                <w:color w:val="auto"/>
              </w:rPr>
              <w:t>Adjusted EBIT margin</w:t>
            </w:r>
            <w:r>
              <w:rPr>
                <w:rFonts w:ascii="Arial" w:cs="Arial" w:eastAsia="Arial" w:hAnsi="Arial"/>
                <w:sz w:val="25"/>
                <w:szCs w:val="25"/>
                <w:color w:val="auto"/>
                <w:vertAlign w:val="superscript"/>
              </w:rPr>
              <w:t>(e)</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auto"/>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40.2%</w:t>
            </w:r>
          </w:p>
        </w:tc>
        <w:tc>
          <w:tcPr>
            <w:tcW w:w="160" w:type="dxa"/>
            <w:vAlign w:val="bottom"/>
            <w:vMerge w:val="continue"/>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30.6%</w:t>
            </w:r>
          </w:p>
        </w:tc>
        <w:tc>
          <w:tcPr>
            <w:tcW w:w="80" w:type="dxa"/>
            <w:vAlign w:val="bottom"/>
            <w:tcBorders>
              <w:left w:val="single" w:sz="8" w:color="auto"/>
            </w:tcBorders>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29"/>
        </w:trPr>
        <w:tc>
          <w:tcPr>
            <w:tcW w:w="1940" w:type="dxa"/>
            <w:vAlign w:val="bottom"/>
            <w:tcBorders>
              <w:top w:val="single" w:sz="8" w:color="CCEEFF"/>
              <w:bottom w:val="single" w:sz="8" w:color="auto"/>
            </w:tcBorders>
          </w:tcPr>
          <w:p>
            <w:pPr>
              <w:spacing w:after="0"/>
              <w:rPr>
                <w:sz w:val="11"/>
                <w:szCs w:val="11"/>
                <w:color w:val="auto"/>
              </w:rPr>
            </w:pPr>
          </w:p>
        </w:tc>
        <w:tc>
          <w:tcPr>
            <w:tcW w:w="1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000" w:right="699" w:hanging="354"/>
        <w:spacing w:after="0" w:line="263" w:lineRule="auto"/>
        <w:tabs>
          <w:tab w:leader="none" w:pos="2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19" w:hanging="354"/>
        <w:spacing w:after="0" w:line="277"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000" w:right="919" w:hanging="354"/>
        <w:spacing w:after="0" w:line="259"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59" w:lineRule="exact"/>
        <w:rPr>
          <w:rFonts w:ascii="Arial" w:cs="Arial" w:eastAsia="Arial" w:hAnsi="Arial"/>
          <w:sz w:val="18"/>
          <w:szCs w:val="18"/>
          <w:color w:val="auto"/>
        </w:rPr>
      </w:pPr>
    </w:p>
    <w:p>
      <w:pPr>
        <w:ind w:left="2000" w:right="659" w:hanging="354"/>
        <w:spacing w:after="0" w:line="259"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32" w:lineRule="exact"/>
        <w:rPr>
          <w:rFonts w:ascii="Arial" w:cs="Arial" w:eastAsia="Arial" w:hAnsi="Arial"/>
          <w:sz w:val="18"/>
          <w:szCs w:val="18"/>
          <w:color w:val="auto"/>
        </w:rPr>
      </w:pPr>
    </w:p>
    <w:p>
      <w:pPr>
        <w:ind w:left="2000" w:right="1199" w:hanging="354"/>
        <w:spacing w:after="0" w:line="277" w:lineRule="auto"/>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and Adjusted EBIT margin are defined as Adjusted EBITDA and Adjusted EBIT, respectively, divided by gross revenue for the applicable period.</w:t>
      </w:r>
    </w:p>
    <w:p>
      <w:pPr>
        <w:spacing w:after="0" w:line="62" w:lineRule="exact"/>
        <w:rPr>
          <w:rFonts w:ascii="Arial" w:cs="Arial" w:eastAsia="Arial" w:hAnsi="Arial"/>
          <w:sz w:val="18"/>
          <w:szCs w:val="18"/>
          <w:color w:val="auto"/>
        </w:rPr>
      </w:pPr>
    </w:p>
    <w:p>
      <w:pPr>
        <w:ind w:left="2000" w:right="679"/>
        <w:spacing w:after="0" w:line="259" w:lineRule="auto"/>
        <w:rPr>
          <w:rFonts w:ascii="Arial" w:cs="Arial" w:eastAsia="Arial" w:hAnsi="Arial"/>
          <w:sz w:val="18"/>
          <w:szCs w:val="18"/>
          <w:color w:val="auto"/>
        </w:rPr>
      </w:pPr>
      <w:r>
        <w:rPr>
          <w:rFonts w:ascii="Arial" w:cs="Arial" w:eastAsia="Arial" w:hAnsi="Arial"/>
          <w:sz w:val="18"/>
          <w:szCs w:val="18"/>
          <w:color w:val="auto"/>
        </w:rPr>
        <w:t>The table set forth below provides a reconciliation of net income attributable to Tradeweb Markets Inc. and net income, as applicable, to Adjusted Net Income and Adjusted Diluted EPS for the year ended December 31, 2019, the 2018 Successor Period, the 2018 Predecessor Period and the year ended December 31, 2017:</w:t>
      </w:r>
    </w:p>
    <w:p>
      <w:pPr>
        <w:spacing w:after="0" w:line="84" w:lineRule="exact"/>
        <w:rPr>
          <w:sz w:val="20"/>
          <w:szCs w:val="20"/>
          <w:color w:val="auto"/>
        </w:rPr>
      </w:pPr>
    </w:p>
    <w:tbl>
      <w:tblPr>
        <w:tblLayout w:type="fixed"/>
        <w:tblInd w:w="4980" w:type="dxa"/>
        <w:tblCellMar>
          <w:top w:w="0" w:type="dxa"/>
          <w:left w:w="0" w:type="dxa"/>
          <w:bottom w:w="0" w:type="dxa"/>
          <w:right w:w="0" w:type="dxa"/>
        </w:tblCellMar>
      </w:tblPr>
      <w:tr>
        <w:trPr>
          <w:trHeight w:val="36"/>
        </w:trPr>
        <w:tc>
          <w:tcPr>
            <w:tcW w:w="22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21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6"/>
        </w:trPr>
        <w:tc>
          <w:tcPr>
            <w:tcW w:w="220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0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October 1,</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jc w:val="center"/>
              <w:ind w:right="48"/>
              <w:spacing w:after="0" w:line="139" w:lineRule="exact"/>
              <w:rPr>
                <w:sz w:val="20"/>
                <w:szCs w:val="20"/>
                <w:color w:val="auto"/>
              </w:rPr>
            </w:pPr>
            <w:r>
              <w:rPr>
                <w:rFonts w:ascii="Arial" w:cs="Arial" w:eastAsia="Arial" w:hAnsi="Arial"/>
                <w:sz w:val="14"/>
                <w:szCs w:val="14"/>
                <w:b w:val="1"/>
                <w:bCs w:val="1"/>
                <w:color w:val="auto"/>
                <w:w w:val="98"/>
              </w:rPr>
              <w:t>January 1,</w:t>
            </w: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2018 to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September 30,</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(in thousands except share and per share amounts)</w:t>
      </w:r>
    </w:p>
    <w:p>
      <w:pPr>
        <w:sectPr>
          <w:pgSz w:w="11900" w:h="16838" w:orient="portrait"/>
          <w:cols w:equalWidth="0" w:num="1">
            <w:col w:w="10139"/>
          </w:cols>
          <w:pgMar w:left="320" w:top="132" w:right="1440" w:bottom="1440" w:gutter="0" w:footer="0" w:header="0"/>
          <w:type w:val="continuous"/>
        </w:sectPr>
      </w:pPr>
    </w:p>
    <w:tbl>
      <w:tblPr>
        <w:tblLayout w:type="fixed"/>
        <w:tblInd w:w="2000" w:type="dxa"/>
        <w:tblCellMar>
          <w:top w:w="0" w:type="dxa"/>
          <w:left w:w="0" w:type="dxa"/>
          <w:bottom w:w="0" w:type="dxa"/>
          <w:right w:w="0" w:type="dxa"/>
        </w:tblCellMar>
      </w:tblPr>
      <w:tr>
        <w:trPr>
          <w:trHeight w:val="213"/>
        </w:trPr>
        <w:tc>
          <w:tcPr>
            <w:tcW w:w="298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12" w:lineRule="exact"/>
              <w:rPr>
                <w:sz w:val="20"/>
                <w:szCs w:val="20"/>
                <w:color w:val="auto"/>
              </w:rPr>
            </w:pPr>
            <w:r>
              <w:rPr>
                <w:rFonts w:ascii="Arial" w:cs="Arial" w:eastAsia="Arial" w:hAnsi="Arial"/>
                <w:sz w:val="17"/>
                <w:szCs w:val="17"/>
                <w:color w:val="auto"/>
              </w:rPr>
              <w:t>0.19</w:t>
            </w:r>
            <w:r>
              <w:rPr>
                <w:rFonts w:ascii="Arial" w:cs="Arial" w:eastAsia="Arial" w:hAnsi="Arial"/>
                <w:sz w:val="24"/>
                <w:szCs w:val="24"/>
                <w:color w:val="auto"/>
                <w:vertAlign w:val="superscript"/>
              </w:rPr>
              <w:t>(1)</w:t>
            </w: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Borders>
              <w:right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Earnings per diluted share</w:t>
            </w:r>
            <w:r>
              <w:rPr>
                <w:rFonts w:ascii="Arial" w:cs="Arial" w:eastAsia="Arial" w:hAnsi="Arial"/>
                <w:sz w:val="26"/>
                <w:szCs w:val="26"/>
                <w:color w:val="auto"/>
                <w:vertAlign w:val="superscript"/>
              </w:rPr>
              <w:t>(a)</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0.54</w:t>
            </w:r>
            <w:r>
              <w:rPr>
                <w:rFonts w:ascii="Arial" w:cs="Arial" w:eastAsia="Arial" w:hAnsi="Arial"/>
                <w:sz w:val="26"/>
                <w:szCs w:val="26"/>
                <w:color w:val="auto"/>
                <w:vertAlign w:val="superscript"/>
              </w:rPr>
              <w:t>(2)</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rPr>
              <w:t>Pre-IPO net income attributable to</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LLC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7"/>
              </w:rPr>
              <w:t>42,352</w:t>
            </w:r>
            <w:r>
              <w:rPr>
                <w:rFonts w:ascii="Arial" w:cs="Arial" w:eastAsia="Arial" w:hAnsi="Arial"/>
                <w:sz w:val="26"/>
                <w:szCs w:val="26"/>
                <w:color w:val="auto"/>
                <w:w w:val="97"/>
                <w:vertAlign w:val="superscript"/>
              </w:rPr>
              <w:t>(1)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1"/>
              </w:rPr>
              <w:t>29,307</w:t>
            </w:r>
            <w:r>
              <w:rPr>
                <w:rFonts w:ascii="Arial" w:cs="Arial" w:eastAsia="Arial" w:hAnsi="Arial"/>
                <w:sz w:val="26"/>
                <w:szCs w:val="26"/>
                <w:color w:val="auto"/>
                <w:w w:val="91"/>
                <w:vertAlign w:val="superscript"/>
              </w:rPr>
              <w:t>(1)</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Tradeweb Markets Inc.</w:t>
            </w:r>
            <w:r>
              <w:rPr>
                <w:rFonts w:ascii="Arial" w:cs="Arial" w:eastAsia="Arial" w:hAnsi="Arial"/>
                <w:sz w:val="26"/>
                <w:szCs w:val="26"/>
                <w:color w:val="auto"/>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6" w:lineRule="exact"/>
              <w:rPr>
                <w:sz w:val="20"/>
                <w:szCs w:val="20"/>
                <w:color w:val="auto"/>
              </w:rPr>
            </w:pPr>
            <w:r>
              <w:rPr>
                <w:rFonts w:ascii="Arial" w:cs="Arial" w:eastAsia="Arial" w:hAnsi="Arial"/>
                <w:sz w:val="18"/>
                <w:szCs w:val="18"/>
                <w:color w:val="auto"/>
                <w:w w:val="97"/>
              </w:rPr>
              <w:t>83,769</w:t>
            </w:r>
            <w:r>
              <w:rPr>
                <w:rFonts w:ascii="Arial" w:cs="Arial" w:eastAsia="Arial" w:hAnsi="Arial"/>
                <w:sz w:val="26"/>
                <w:szCs w:val="26"/>
                <w:color w:val="auto"/>
                <w:w w:val="97"/>
                <w:vertAlign w:val="superscript"/>
              </w:rPr>
              <w:t>(2)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Add: Net income attributable to non-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80" w:type="dxa"/>
            <w:vAlign w:val="bottom"/>
          </w:tcPr>
          <w:p>
            <w:pPr>
              <w:ind w:left="180"/>
              <w:spacing w:after="0" w:line="26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6"/>
                <w:szCs w:val="26"/>
                <w:color w:val="auto"/>
                <w:vertAlign w:val="superscript"/>
              </w:rPr>
              <w:t>(a)(b)</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7" w:lineRule="exact"/>
              <w:rPr>
                <w:sz w:val="20"/>
                <w:szCs w:val="20"/>
                <w:color w:val="auto"/>
              </w:rPr>
            </w:pPr>
            <w:r>
              <w:rPr>
                <w:rFonts w:ascii="Arial" w:cs="Arial" w:eastAsia="Arial" w:hAnsi="Arial"/>
                <w:sz w:val="18"/>
                <w:szCs w:val="18"/>
                <w:color w:val="auto"/>
                <w:w w:val="97"/>
              </w:rPr>
              <w:t>46,903</w:t>
            </w:r>
            <w:r>
              <w:rPr>
                <w:rFonts w:ascii="Arial" w:cs="Arial" w:eastAsia="Arial" w:hAnsi="Arial"/>
                <w:sz w:val="26"/>
                <w:szCs w:val="26"/>
                <w:color w:val="auto"/>
                <w:w w:val="97"/>
                <w:vertAlign w:val="superscript"/>
              </w:rPr>
              <w:t>(2)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173,024</w:t>
            </w:r>
          </w:p>
        </w:tc>
        <w:tc>
          <w:tcPr>
            <w:tcW w:w="400" w:type="dxa"/>
            <w:vAlign w:val="bottom"/>
            <w:gridSpan w:val="2"/>
          </w:tcPr>
          <w:p>
            <w:pPr>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29,307</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Acquisition and Refinitiv Transaction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line="243" w:lineRule="exact"/>
              <w:rPr>
                <w:sz w:val="20"/>
                <w:szCs w:val="20"/>
                <w:color w:val="auto"/>
              </w:rPr>
            </w:pPr>
            <w:r>
              <w:rPr>
                <w:rFonts w:ascii="Arial" w:cs="Arial" w:eastAsia="Arial" w:hAnsi="Arial"/>
                <w:sz w:val="18"/>
                <w:szCs w:val="18"/>
                <w:color w:val="auto"/>
              </w:rPr>
              <w:t>related D&amp;A</w:t>
            </w:r>
            <w:r>
              <w:rPr>
                <w:rFonts w:ascii="Arial" w:cs="Arial" w:eastAsia="Arial" w:hAnsi="Arial"/>
                <w:sz w:val="26"/>
                <w:szCs w:val="26"/>
                <w:color w:val="auto"/>
                <w:vertAlign w:val="superscript"/>
              </w:rPr>
              <w:t>(c)</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97,565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980" w:type="dxa"/>
            <w:vAlign w:val="bottom"/>
          </w:tcPr>
          <w:p>
            <w:pPr>
              <w:spacing w:after="0" w:line="266" w:lineRule="exact"/>
              <w:rPr>
                <w:sz w:val="20"/>
                <w:szCs w:val="20"/>
                <w:color w:val="auto"/>
              </w:rPr>
            </w:pPr>
            <w:r>
              <w:rPr>
                <w:rFonts w:ascii="Arial" w:cs="Arial" w:eastAsia="Arial" w:hAnsi="Arial"/>
                <w:sz w:val="18"/>
                <w:szCs w:val="18"/>
                <w:color w:val="auto"/>
                <w:w w:val="94"/>
              </w:rPr>
              <w:t>Stock-based compensation expense</w:t>
            </w:r>
            <w:r>
              <w:rPr>
                <w:rFonts w:ascii="Arial" w:cs="Arial" w:eastAsia="Arial" w:hAnsi="Arial"/>
                <w:sz w:val="26"/>
                <w:szCs w:val="26"/>
                <w:color w:val="auto"/>
                <w:w w:val="94"/>
                <w:vertAlign w:val="superscript"/>
              </w:rPr>
              <w:t>(d)</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25,098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9"/>
              </w:rPr>
              <w:t>Unrealized foreign exchange (gains)/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rPr>
              <w:t>(2,310)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(Gain)/loss from revaluation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80" w:type="dxa"/>
            <w:vAlign w:val="bottom"/>
          </w:tcPr>
          <w:p>
            <w:pPr>
              <w:ind w:left="180"/>
              <w:spacing w:after="0" w:line="266" w:lineRule="exact"/>
              <w:rPr>
                <w:sz w:val="20"/>
                <w:szCs w:val="20"/>
                <w:color w:val="auto"/>
              </w:rPr>
            </w:pPr>
            <w:r>
              <w:rPr>
                <w:rFonts w:ascii="Arial" w:cs="Arial" w:eastAsia="Arial" w:hAnsi="Arial"/>
                <w:sz w:val="18"/>
                <w:szCs w:val="18"/>
                <w:color w:val="auto"/>
              </w:rPr>
              <w:t>foreign denominated cash</w:t>
            </w:r>
            <w:r>
              <w:rPr>
                <w:rFonts w:ascii="Arial" w:cs="Arial" w:eastAsia="Arial" w:hAnsi="Arial"/>
                <w:sz w:val="26"/>
                <w:szCs w:val="26"/>
                <w:color w:val="auto"/>
                <w:vertAlign w:val="superscript"/>
              </w:rPr>
              <w:t>(e)</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Tax receivable agreement liability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80" w:type="dxa"/>
            <w:vAlign w:val="bottom"/>
          </w:tcPr>
          <w:p>
            <w:pPr>
              <w:ind w:left="180"/>
              <w:spacing w:after="0" w:line="267" w:lineRule="exact"/>
              <w:rPr>
                <w:sz w:val="20"/>
                <w:szCs w:val="20"/>
                <w:color w:val="auto"/>
              </w:rPr>
            </w:pPr>
            <w:r>
              <w:rPr>
                <w:rFonts w:ascii="Arial" w:cs="Arial" w:eastAsia="Arial" w:hAnsi="Arial"/>
                <w:sz w:val="18"/>
                <w:szCs w:val="18"/>
                <w:color w:val="auto"/>
              </w:rPr>
              <w:t>adjustment</w:t>
            </w:r>
            <w:r>
              <w:rPr>
                <w:rFonts w:ascii="Arial" w:cs="Arial" w:eastAsia="Arial" w:hAnsi="Arial"/>
                <w:sz w:val="26"/>
                <w:szCs w:val="26"/>
                <w:color w:val="auto"/>
                <w:vertAlign w:val="superscript"/>
              </w:rPr>
              <w:t>(f)</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w w:val="95"/>
              </w:rPr>
              <w:t>(33,134)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Adjusted Net Income before income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313,770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55,488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Pr>
          <w:p>
            <w:pPr>
              <w:spacing w:after="0" w:line="256"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6"/>
                <w:szCs w:val="26"/>
                <w:color w:val="auto"/>
                <w:vertAlign w:val="superscript"/>
              </w:rPr>
              <w:t>(g)</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8"/>
                <w:szCs w:val="18"/>
                <w:color w:val="auto"/>
                <w:w w:val="95"/>
              </w:rPr>
              <w:t>(82,835)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3"/>
              <w:spacing w:after="0"/>
              <w:rPr>
                <w:sz w:val="20"/>
                <w:szCs w:val="20"/>
                <w:color w:val="auto"/>
              </w:rPr>
            </w:pPr>
            <w:r>
              <w:rPr>
                <w:rFonts w:ascii="Arial" w:cs="Arial" w:eastAsia="Arial" w:hAnsi="Arial"/>
                <w:sz w:val="18"/>
                <w:szCs w:val="18"/>
                <w:color w:val="auto"/>
                <w:w w:val="89"/>
              </w:rPr>
              <w:t>(14,649)</w:t>
            </w:r>
          </w:p>
        </w:tc>
        <w:tc>
          <w:tcPr>
            <w:tcW w:w="0" w:type="dxa"/>
            <w:vAlign w:val="bottom"/>
          </w:tcPr>
          <w:p>
            <w:pPr>
              <w:spacing w:after="0"/>
              <w:rPr>
                <w:sz w:val="1"/>
                <w:szCs w:val="1"/>
                <w:color w:val="auto"/>
              </w:rPr>
            </w:pPr>
          </w:p>
        </w:tc>
      </w:tr>
      <w:tr>
        <w:trPr>
          <w:trHeight w:val="250"/>
        </w:trPr>
        <w:tc>
          <w:tcPr>
            <w:tcW w:w="2980" w:type="dxa"/>
            <w:vAlign w:val="bottom"/>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230,935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40,839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39" w:lineRule="exact"/>
              <w:rPr>
                <w:sz w:val="20"/>
                <w:szCs w:val="20"/>
                <w:color w:val="auto"/>
              </w:rPr>
            </w:pPr>
            <w:r>
              <w:rPr>
                <w:rFonts w:ascii="Arial" w:cs="Arial" w:eastAsia="Arial" w:hAnsi="Arial"/>
                <w:sz w:val="12"/>
                <w:szCs w:val="12"/>
                <w:color w:val="auto"/>
                <w:w w:val="91"/>
              </w:rPr>
              <w:t>(1)</w:t>
            </w:r>
            <w:r>
              <w:rPr>
                <w:rFonts w:ascii="Arial" w:cs="Arial" w:eastAsia="Arial" w:hAnsi="Arial"/>
                <w:sz w:val="27"/>
                <w:szCs w:val="27"/>
                <w:color w:val="auto"/>
                <w:w w:val="91"/>
                <w:vertAlign w:val="subscript"/>
              </w:rPr>
              <w:t>/</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0.23</w:t>
            </w: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80" w:type="dxa"/>
            <w:vAlign w:val="bottom"/>
          </w:tcPr>
          <w:p>
            <w:pPr>
              <w:spacing w:after="0" w:line="267"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6"/>
                <w:szCs w:val="26"/>
                <w:color w:val="auto"/>
                <w:vertAlign w:val="superscript"/>
              </w:rPr>
              <w:t>(a)(h)</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67" w:lineRule="exact"/>
              <w:rPr>
                <w:sz w:val="20"/>
                <w:szCs w:val="20"/>
                <w:color w:val="auto"/>
              </w:rPr>
            </w:pPr>
            <w:r>
              <w:rPr>
                <w:rFonts w:ascii="Arial" w:cs="Arial" w:eastAsia="Arial" w:hAnsi="Arial"/>
                <w:sz w:val="18"/>
                <w:szCs w:val="18"/>
                <w:color w:val="auto"/>
              </w:rPr>
              <w:t>0.77</w:t>
            </w:r>
            <w:r>
              <w:rPr>
                <w:rFonts w:ascii="Arial" w:cs="Arial" w:eastAsia="Arial" w:hAnsi="Arial"/>
                <w:sz w:val="26"/>
                <w:szCs w:val="26"/>
                <w:color w:val="auto"/>
                <w:vertAlign w:val="superscript"/>
              </w:rPr>
              <w:t>(2)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line="267" w:lineRule="exact"/>
              <w:rPr>
                <w:sz w:val="20"/>
                <w:szCs w:val="20"/>
                <w:color w:val="auto"/>
              </w:rPr>
            </w:pPr>
            <w:r>
              <w:rPr>
                <w:rFonts w:ascii="Arial" w:cs="Arial" w:eastAsia="Arial" w:hAnsi="Arial"/>
                <w:sz w:val="18"/>
                <w:szCs w:val="18"/>
                <w:color w:val="auto"/>
              </w:rPr>
              <w:t>0.18</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33"/>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r>
              <w:rPr>
                <w:rFonts w:ascii="Arial" w:cs="Arial" w:eastAsia="Arial" w:hAnsi="Arial"/>
                <w:sz w:val="26"/>
                <w:szCs w:val="2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r>
              <w:rPr>
                <w:rFonts w:ascii="Arial" w:cs="Arial" w:eastAsia="Arial" w:hAnsi="Arial"/>
                <w:sz w:val="26"/>
                <w:szCs w:val="26"/>
                <w:color w:val="auto"/>
                <w:vertAlign w:val="superscript"/>
              </w:rPr>
              <w:t>(1)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4"/>
        </w:trPr>
        <w:tc>
          <w:tcPr>
            <w:tcW w:w="120" w:type="dxa"/>
            <w:vAlign w:val="bottom"/>
          </w:tcPr>
          <w:p>
            <w:pPr>
              <w:spacing w:after="0"/>
              <w:rPr>
                <w:sz w:val="24"/>
                <w:szCs w:val="24"/>
                <w:color w:val="auto"/>
              </w:rPr>
            </w:pPr>
          </w:p>
        </w:tc>
        <w:tc>
          <w:tcPr>
            <w:tcW w:w="1040" w:type="dxa"/>
            <w:vAlign w:val="bottom"/>
            <w:gridSpan w:val="2"/>
          </w:tcPr>
          <w:p>
            <w:pPr>
              <w:jc w:val="right"/>
              <w:ind w:right="233"/>
              <w:spacing w:after="0"/>
              <w:rPr>
                <w:sz w:val="20"/>
                <w:szCs w:val="20"/>
                <w:color w:val="auto"/>
              </w:rPr>
            </w:pPr>
            <w:r>
              <w:rPr>
                <w:rFonts w:ascii="Arial" w:cs="Arial" w:eastAsia="Arial" w:hAnsi="Arial"/>
                <w:sz w:val="18"/>
                <w:szCs w:val="18"/>
                <w:color w:val="auto"/>
                <w:w w:val="83"/>
              </w:rPr>
              <w:t>130,160</w:t>
            </w:r>
            <w:r>
              <w:rPr>
                <w:rFonts w:ascii="Arial" w:cs="Arial" w:eastAsia="Arial" w:hAnsi="Arial"/>
                <w:sz w:val="26"/>
                <w:szCs w:val="26"/>
                <w:color w:val="auto"/>
                <w:w w:val="83"/>
                <w:vertAlign w:val="superscript"/>
              </w:rPr>
              <w:t>(1)</w:t>
            </w:r>
          </w:p>
        </w:tc>
        <w:tc>
          <w:tcPr>
            <w:tcW w:w="1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9"/>
              </w:rPr>
              <w:t>83,648</w:t>
            </w:r>
            <w:r>
              <w:rPr>
                <w:rFonts w:ascii="Arial" w:cs="Arial" w:eastAsia="Arial" w:hAnsi="Arial"/>
                <w:sz w:val="26"/>
                <w:szCs w:val="26"/>
                <w:color w:val="auto"/>
                <w:w w:val="89"/>
                <w:vertAlign w:val="superscript"/>
              </w:rPr>
              <w:t>(1)</w:t>
            </w:r>
          </w:p>
        </w:tc>
      </w:tr>
      <w:tr>
        <w:trPr>
          <w:trHeight w:val="374"/>
        </w:trPr>
        <w:tc>
          <w:tcPr>
            <w:tcW w:w="120" w:type="dxa"/>
            <w:vAlign w:val="bottom"/>
          </w:tcPr>
          <w:p>
            <w:pPr>
              <w:spacing w:after="0"/>
              <w:rPr>
                <w:sz w:val="24"/>
                <w:szCs w:val="24"/>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r>
        <w:trPr>
          <w:trHeight w:val="459"/>
        </w:trPr>
        <w:tc>
          <w:tcPr>
            <w:tcW w:w="120" w:type="dxa"/>
            <w:vAlign w:val="bottom"/>
          </w:tcPr>
          <w:p>
            <w:pPr>
              <w:spacing w:after="0"/>
              <w:rPr>
                <w:sz w:val="24"/>
                <w:szCs w:val="24"/>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r>
        <w:trPr>
          <w:trHeight w:val="249"/>
        </w:trPr>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130,160</w:t>
            </w:r>
          </w:p>
        </w:tc>
        <w:tc>
          <w:tcPr>
            <w:tcW w:w="460" w:type="dxa"/>
            <w:vAlign w:val="bottom"/>
          </w:tcPr>
          <w:p>
            <w:pPr>
              <w:jc w:val="right"/>
              <w:ind w:right="233"/>
              <w:spacing w:after="0"/>
              <w:rPr>
                <w:sz w:val="20"/>
                <w:szCs w:val="20"/>
                <w:color w:val="auto"/>
              </w:rPr>
            </w:pPr>
            <w:r>
              <w:rPr>
                <w:rFonts w:ascii="Arial" w:cs="Arial" w:eastAsia="Arial" w:hAnsi="Arial"/>
                <w:sz w:val="13"/>
                <w:szCs w:val="13"/>
                <w:color w:val="auto"/>
                <w:w w:val="87"/>
              </w:rPr>
              <w:t>(1)</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83,648</w:t>
            </w:r>
          </w:p>
        </w:tc>
        <w:tc>
          <w:tcPr>
            <w:tcW w:w="20" w:type="dxa"/>
            <w:vAlign w:val="bottom"/>
            <w:tcBorders>
              <w:top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5"/>
              </w:rPr>
              <w:t>(1)</w:t>
            </w:r>
          </w:p>
        </w:tc>
      </w:tr>
      <w:tr>
        <w:trPr>
          <w:trHeight w:val="229"/>
        </w:trPr>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26,830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58,520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19,576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31,236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040" w:type="dxa"/>
            <w:vAlign w:val="bottom"/>
            <w:gridSpan w:val="2"/>
          </w:tcPr>
          <w:p>
            <w:pPr>
              <w:jc w:val="right"/>
              <w:ind w:right="3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1520" w:hanging="1142"/>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(364)</w:t>
      </w:r>
    </w:p>
    <w:p>
      <w:pPr>
        <w:spacing w:after="0" w:line="252" w:lineRule="exact"/>
        <w:rPr>
          <w:sz w:val="20"/>
          <w:szCs w:val="20"/>
          <w:color w:val="auto"/>
        </w:rPr>
      </w:pPr>
    </w:p>
    <w:p>
      <w:pPr>
        <w:ind w:left="1520" w:hanging="1142"/>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(678)</w:t>
      </w:r>
    </w:p>
    <w:p>
      <w:pPr>
        <w:spacing w:after="0" w:line="25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186,585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178,491</w:t>
            </w:r>
          </w:p>
        </w:tc>
        <w:tc>
          <w:tcPr>
            <w:tcW w:w="160" w:type="dxa"/>
            <w:vAlign w:val="bottom"/>
          </w:tcPr>
          <w:p>
            <w:pPr>
              <w:spacing w:after="0"/>
              <w:rPr>
                <w:sz w:val="20"/>
                <w:szCs w:val="20"/>
                <w:color w:val="auto"/>
              </w:rPr>
            </w:pPr>
          </w:p>
        </w:tc>
      </w:tr>
      <w:tr>
        <w:trPr>
          <w:trHeight w:val="256"/>
        </w:trPr>
        <w:tc>
          <w:tcPr>
            <w:tcW w:w="120" w:type="dxa"/>
            <w:vAlign w:val="bottom"/>
          </w:tcPr>
          <w:p>
            <w:pPr>
              <w:spacing w:after="0"/>
              <w:rPr>
                <w:sz w:val="22"/>
                <w:szCs w:val="2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(49,258)</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(47,122)</w:t>
            </w: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137,327</w:t>
            </w:r>
          </w:p>
        </w:tc>
        <w:tc>
          <w:tcPr>
            <w:tcW w:w="4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131,369</w:t>
            </w:r>
          </w:p>
        </w:tc>
        <w:tc>
          <w:tcPr>
            <w:tcW w:w="160" w:type="dxa"/>
            <w:vAlign w:val="bottom"/>
          </w:tcPr>
          <w:p>
            <w:pPr>
              <w:spacing w:after="0"/>
              <w:rPr>
                <w:sz w:val="21"/>
                <w:szCs w:val="2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62</w:t>
            </w:r>
            <w:r>
              <w:rPr>
                <w:rFonts w:ascii="Arial" w:cs="Arial" w:eastAsia="Arial" w:hAnsi="Arial"/>
                <w:sz w:val="26"/>
                <w:szCs w:val="26"/>
                <w:color w:val="auto"/>
                <w:vertAlign w:val="superscript"/>
              </w:rPr>
              <w:t>(1)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36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60" w:right="659" w:hanging="354"/>
        <w:spacing w:after="0" w:line="263" w:lineRule="auto"/>
        <w:tabs>
          <w:tab w:leader="none" w:pos="2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April 2019, we completed the Reorganization Transactions and the IPO. As a result, certain earnings information is being presented separately for Tradeweb Markets LLC and Tradeweb Markets Inc.</w:t>
      </w:r>
    </w:p>
    <w:p>
      <w:pPr>
        <w:spacing w:after="0" w:line="156" w:lineRule="exact"/>
        <w:rPr>
          <w:rFonts w:ascii="Arial" w:cs="Arial" w:eastAsia="Arial" w:hAnsi="Arial"/>
          <w:sz w:val="18"/>
          <w:szCs w:val="18"/>
          <w:color w:val="auto"/>
        </w:rPr>
      </w:pPr>
    </w:p>
    <w:p>
      <w:pPr>
        <w:ind w:left="2720" w:hanging="354"/>
        <w:spacing w:after="0"/>
        <w:tabs>
          <w:tab w:leader="none" w:pos="2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84" w:lineRule="exact"/>
        <w:rPr>
          <w:rFonts w:ascii="Arial" w:cs="Arial" w:eastAsia="Arial" w:hAnsi="Arial"/>
          <w:sz w:val="18"/>
          <w:szCs w:val="18"/>
          <w:color w:val="auto"/>
        </w:rPr>
      </w:pPr>
    </w:p>
    <w:p>
      <w:pPr>
        <w:ind w:left="2720" w:hanging="354"/>
        <w:spacing w:after="0"/>
        <w:tabs>
          <w:tab w:leader="none" w:pos="2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212" w:lineRule="exact"/>
        <w:rPr>
          <w:sz w:val="20"/>
          <w:szCs w:val="20"/>
          <w:color w:val="auto"/>
        </w:rPr>
      </w:pPr>
    </w:p>
    <w:p>
      <w:pPr>
        <w:jc w:val="both"/>
        <w:ind w:left="2360" w:right="979"/>
        <w:spacing w:after="0" w:line="263" w:lineRule="auto"/>
        <w:rPr>
          <w:sz w:val="20"/>
          <w:szCs w:val="20"/>
          <w:color w:val="auto"/>
        </w:rPr>
      </w:pPr>
      <w:r>
        <w:rPr>
          <w:rFonts w:ascii="Arial" w:cs="Arial" w:eastAsia="Arial" w:hAnsi="Arial"/>
          <w:sz w:val="18"/>
          <w:szCs w:val="18"/>
          <w:color w:val="auto"/>
        </w:rPr>
        <w:t>See “Basis of Presentation” elsewhere herein and “Note 18 — Earnings Per Share” to the audited consolidated financial statements of Tradeweb Markets Inc. appearing in the 2019 Form 10-K, incorporated by reference in this prospectus.</w:t>
      </w:r>
    </w:p>
    <w:p>
      <w:pPr>
        <w:spacing w:after="0" w:line="143" w:lineRule="exact"/>
        <w:rPr>
          <w:sz w:val="20"/>
          <w:szCs w:val="20"/>
          <w:color w:val="auto"/>
        </w:rPr>
      </w:pPr>
    </w:p>
    <w:p>
      <w:pPr>
        <w:jc w:val="both"/>
        <w:ind w:left="2360" w:right="699" w:hanging="354"/>
        <w:spacing w:after="0" w:line="263"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43" w:lineRule="exact"/>
        <w:rPr>
          <w:rFonts w:ascii="Arial" w:cs="Arial" w:eastAsia="Arial" w:hAnsi="Arial"/>
          <w:sz w:val="18"/>
          <w:szCs w:val="18"/>
          <w:color w:val="auto"/>
        </w:rPr>
      </w:pPr>
    </w:p>
    <w:p>
      <w:pPr>
        <w:ind w:left="2360" w:right="739" w:hanging="354"/>
        <w:spacing w:after="0" w:line="259"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jc w:val="both"/>
        <w:ind w:left="2360" w:right="839" w:hanging="354"/>
        <w:spacing w:after="0" w:line="263"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56" w:lineRule="exact"/>
        <w:rPr>
          <w:rFonts w:ascii="Arial" w:cs="Arial" w:eastAsia="Arial" w:hAnsi="Arial"/>
          <w:sz w:val="18"/>
          <w:szCs w:val="18"/>
          <w:color w:val="auto"/>
        </w:rPr>
      </w:pPr>
    </w:p>
    <w:p>
      <w:pPr>
        <w:ind w:left="2360" w:right="1159" w:hanging="354"/>
        <w:spacing w:after="0" w:line="277"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2360" w:right="879" w:hanging="354"/>
        <w:spacing w:after="0" w:line="259"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46" w:lineRule="exact"/>
        <w:rPr>
          <w:rFonts w:ascii="Arial" w:cs="Arial" w:eastAsia="Arial" w:hAnsi="Arial"/>
          <w:sz w:val="18"/>
          <w:szCs w:val="18"/>
          <w:color w:val="auto"/>
        </w:rPr>
      </w:pPr>
    </w:p>
    <w:p>
      <w:pPr>
        <w:ind w:left="2360" w:right="659" w:hanging="354"/>
        <w:spacing w:after="0" w:line="259"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59" w:lineRule="exact"/>
        <w:rPr>
          <w:rFonts w:ascii="Arial" w:cs="Arial" w:eastAsia="Arial" w:hAnsi="Arial"/>
          <w:sz w:val="18"/>
          <w:szCs w:val="18"/>
          <w:color w:val="auto"/>
        </w:rPr>
      </w:pPr>
    </w:p>
    <w:p>
      <w:pPr>
        <w:ind w:left="2360" w:right="899" w:hanging="354"/>
        <w:spacing w:after="0" w:line="259" w:lineRule="auto"/>
        <w:tabs>
          <w:tab w:leader="none" w:pos="2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60" w:right="1159"/>
        <w:spacing w:after="0" w:line="277" w:lineRule="auto"/>
        <w:rPr>
          <w:sz w:val="20"/>
          <w:szCs w:val="20"/>
          <w:color w:val="auto"/>
        </w:rPr>
      </w:pPr>
      <w:r>
        <w:rPr>
          <w:rFonts w:ascii="Arial" w:cs="Arial" w:eastAsia="Arial" w:hAnsi="Arial"/>
          <w:sz w:val="18"/>
          <w:szCs w:val="18"/>
          <w:color w:val="auto"/>
        </w:rPr>
        <w:t>The following table summarizes the calculation of Adjusted Diluted EPS for all periods presented:</w:t>
      </w:r>
    </w:p>
    <w:p>
      <w:pPr>
        <w:spacing w:after="0" w:line="85" w:lineRule="exact"/>
        <w:rPr>
          <w:sz w:val="20"/>
          <w:szCs w:val="20"/>
          <w:color w:val="auto"/>
        </w:rPr>
      </w:pPr>
    </w:p>
    <w:tbl>
      <w:tblPr>
        <w:tblLayout w:type="fixed"/>
        <w:tblInd w:w="236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82"/>
              </w:rPr>
              <w:t>Successor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gridSpan w:val="4"/>
            <w:vMerge w:val="restart"/>
          </w:tcPr>
          <w:p>
            <w:pPr>
              <w:jc w:val="right"/>
              <w:ind w:right="469"/>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92"/>
              <w:spacing w:after="0" w:line="144" w:lineRule="exact"/>
              <w:rPr>
                <w:sz w:val="20"/>
                <w:szCs w:val="20"/>
                <w:color w:val="auto"/>
              </w:rPr>
            </w:pPr>
            <w:r>
              <w:rPr>
                <w:rFonts w:ascii="Arial" w:cs="Arial" w:eastAsia="Arial" w:hAnsi="Arial"/>
                <w:sz w:val="13"/>
                <w:szCs w:val="13"/>
                <w:b w:val="1"/>
                <w:bCs w:val="1"/>
                <w:color w:val="auto"/>
                <w:w w:val="96"/>
              </w:rPr>
              <w:t>Pre-IPO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72"/>
              <w:spacing w:after="0" w:line="144" w:lineRule="exact"/>
              <w:rPr>
                <w:sz w:val="20"/>
                <w:szCs w:val="20"/>
                <w:color w:val="auto"/>
              </w:rPr>
            </w:pPr>
            <w:r>
              <w:rPr>
                <w:rFonts w:ascii="Arial" w:cs="Arial" w:eastAsia="Arial" w:hAnsi="Arial"/>
                <w:sz w:val="13"/>
                <w:szCs w:val="13"/>
                <w:b w:val="1"/>
                <w:bCs w:val="1"/>
                <w:color w:val="auto"/>
                <w:w w:val="94"/>
              </w:rPr>
              <w:t>Post-IPO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3"/>
              </w:rPr>
              <w:t>Period</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3"/>
              </w:rPr>
              <w:t>Period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Three Months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Nine Months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tcPr>
          <w:p>
            <w:pPr>
              <w:jc w:val="center"/>
              <w:ind w:right="131"/>
              <w:spacing w:after="0" w:line="144"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72"/>
              <w:spacing w:after="0" w:line="144" w:lineRule="exact"/>
              <w:rPr>
                <w:sz w:val="20"/>
                <w:szCs w:val="20"/>
                <w:color w:val="auto"/>
              </w:rPr>
            </w:pPr>
            <w:r>
              <w:rPr>
                <w:rFonts w:ascii="Arial" w:cs="Arial" w:eastAsia="Arial" w:hAnsi="Arial"/>
                <w:sz w:val="13"/>
                <w:szCs w:val="13"/>
                <w:b w:val="1"/>
                <w:bCs w:val="1"/>
                <w:color w:val="auto"/>
                <w:w w:val="93"/>
              </w:rPr>
              <w:t>January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tcPr>
          <w:p>
            <w:pPr>
              <w:jc w:val="center"/>
              <w:ind w:right="111"/>
              <w:spacing w:after="0" w:line="135" w:lineRule="exact"/>
              <w:rPr>
                <w:sz w:val="20"/>
                <w:szCs w:val="20"/>
                <w:color w:val="auto"/>
              </w:rPr>
            </w:pPr>
            <w:r>
              <w:rPr>
                <w:rFonts w:ascii="Arial" w:cs="Arial" w:eastAsia="Arial" w:hAnsi="Arial"/>
                <w:sz w:val="13"/>
                <w:szCs w:val="13"/>
                <w:b w:val="1"/>
                <w:bCs w:val="1"/>
                <w:color w:val="auto"/>
                <w:w w:val="89"/>
              </w:rPr>
              <w:t>2018 to</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89"/>
              </w:rPr>
              <w:t>2018 to</w:t>
            </w:r>
          </w:p>
        </w:tc>
        <w:tc>
          <w:tcPr>
            <w:tcW w:w="80" w:type="dxa"/>
            <w:vAlign w:val="bottom"/>
          </w:tcPr>
          <w:p>
            <w:pPr>
              <w:spacing w:after="0"/>
              <w:rPr>
                <w:sz w:val="11"/>
                <w:szCs w:val="11"/>
                <w:color w:val="auto"/>
              </w:rPr>
            </w:pPr>
          </w:p>
        </w:tc>
        <w:tc>
          <w:tcPr>
            <w:tcW w:w="820" w:type="dxa"/>
            <w:vAlign w:val="bottom"/>
            <w:gridSpan w:val="2"/>
          </w:tcPr>
          <w:p>
            <w:pPr>
              <w:jc w:val="right"/>
              <w:ind w:right="29"/>
              <w:spacing w:after="0" w:line="135" w:lineRule="exact"/>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92"/>
              <w:spacing w:after="0" w:line="135" w:lineRule="exact"/>
              <w:rPr>
                <w:sz w:val="20"/>
                <w:szCs w:val="20"/>
                <w:color w:val="auto"/>
              </w:rPr>
            </w:pPr>
            <w:r>
              <w:rPr>
                <w:rFonts w:ascii="Arial" w:cs="Arial" w:eastAsia="Arial" w:hAnsi="Arial"/>
                <w:sz w:val="13"/>
                <w:szCs w:val="13"/>
                <w:b w:val="1"/>
                <w:bCs w:val="1"/>
                <w:color w:val="auto"/>
                <w:w w:val="96"/>
              </w:rPr>
              <w:t>March 31,</w:t>
            </w:r>
          </w:p>
        </w:tc>
        <w:tc>
          <w:tcPr>
            <w:tcW w:w="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1"/>
                <w:szCs w:val="11"/>
                <w:color w:val="auto"/>
              </w:rPr>
            </w:pPr>
          </w:p>
        </w:tc>
        <w:tc>
          <w:tcPr>
            <w:tcW w:w="880" w:type="dxa"/>
            <w:vAlign w:val="bottom"/>
            <w:tcBorders>
              <w:right w:val="single" w:sz="8" w:color="auto"/>
            </w:tcBorders>
            <w:gridSpan w:val="3"/>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December 31,</w:t>
            </w:r>
          </w:p>
        </w:tc>
        <w:tc>
          <w:tcPr>
            <w:tcW w:w="8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9"/>
              </w:rPr>
              <w:t>September 30,</w:t>
            </w:r>
          </w:p>
        </w:tc>
        <w:tc>
          <w:tcPr>
            <w:tcW w:w="8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Diluted weighted average TWM LLC</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shares outstanding</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223,320,457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222,243,851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212,568,635</w:t>
            </w:r>
          </w:p>
        </w:tc>
        <w:tc>
          <w:tcPr>
            <w:tcW w:w="0" w:type="dxa"/>
            <w:vAlign w:val="bottom"/>
          </w:tcPr>
          <w:p>
            <w:pPr>
              <w:spacing w:after="0"/>
              <w:rPr>
                <w:sz w:val="1"/>
                <w:szCs w:val="1"/>
                <w:color w:val="auto"/>
              </w:rPr>
            </w:pPr>
          </w:p>
        </w:tc>
      </w:tr>
      <w:tr>
        <w:trPr>
          <w:trHeight w:val="184"/>
        </w:trPr>
        <w:tc>
          <w:tcPr>
            <w:tcW w:w="2680" w:type="dxa"/>
            <w:vAlign w:val="bottom"/>
            <w:gridSpan w:val="3"/>
          </w:tcPr>
          <w:p>
            <w:pPr>
              <w:spacing w:after="0"/>
              <w:rPr>
                <w:sz w:val="20"/>
                <w:szCs w:val="20"/>
                <w:color w:val="auto"/>
              </w:rPr>
            </w:pPr>
            <w:r>
              <w:rPr>
                <w:rFonts w:ascii="Arial" w:cs="Arial" w:eastAsia="Arial" w:hAnsi="Arial"/>
                <w:sz w:val="14"/>
                <w:szCs w:val="14"/>
                <w:color w:val="auto"/>
                <w:w w:val="97"/>
              </w:rPr>
              <w:t>Diluted weighted average shares of Class A</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gridSpan w:val="2"/>
          </w:tcPr>
          <w:p>
            <w:pPr>
              <w:ind w:left="160"/>
              <w:spacing w:after="0"/>
              <w:rPr>
                <w:sz w:val="20"/>
                <w:szCs w:val="20"/>
                <w:color w:val="auto"/>
              </w:rPr>
            </w:pPr>
            <w:r>
              <w:rPr>
                <w:rFonts w:ascii="Arial" w:cs="Arial" w:eastAsia="Arial" w:hAnsi="Arial"/>
                <w:sz w:val="14"/>
                <w:szCs w:val="14"/>
                <w:color w:val="auto"/>
              </w:rPr>
              <w:t>and Class B common stock outstanding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156,540,246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exchange of LLC interests for</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60" w:type="dxa"/>
            <w:vAlign w:val="bottom"/>
            <w:gridSpan w:val="2"/>
            <w:shd w:val="clear" w:color="auto" w:fill="CCEEFF"/>
          </w:tcPr>
          <w:p>
            <w:pPr>
              <w:ind w:left="160"/>
              <w:spacing w:after="0" w:line="141" w:lineRule="exact"/>
              <w:rPr>
                <w:sz w:val="20"/>
                <w:szCs w:val="20"/>
                <w:color w:val="auto"/>
              </w:rPr>
            </w:pPr>
            <w:r>
              <w:rPr>
                <w:rFonts w:ascii="Arial" w:cs="Arial" w:eastAsia="Arial" w:hAnsi="Arial"/>
                <w:sz w:val="14"/>
                <w:szCs w:val="14"/>
                <w:color w:val="auto"/>
              </w:rPr>
              <w:t>shares of Class A or Class B common</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160"/>
              <w:spacing w:after="0" w:line="230" w:lineRule="exact"/>
              <w:rPr>
                <w:sz w:val="20"/>
                <w:szCs w:val="20"/>
                <w:color w:val="auto"/>
              </w:rPr>
            </w:pPr>
            <w:r>
              <w:rPr>
                <w:rFonts w:ascii="Arial" w:cs="Arial" w:eastAsia="Arial" w:hAnsi="Arial"/>
                <w:sz w:val="14"/>
                <w:szCs w:val="14"/>
                <w:color w:val="auto"/>
              </w:rPr>
              <w:t>stock</w:t>
            </w:r>
            <w:r>
              <w:rPr>
                <w:rFonts w:ascii="Arial" w:cs="Arial" w:eastAsia="Arial" w:hAnsi="Arial"/>
                <w:sz w:val="21"/>
                <w:szCs w:val="21"/>
                <w:color w:val="auto"/>
                <w:vertAlign w:val="superscript"/>
              </w:rPr>
              <w:t>(1)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74,279,741</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680" w:type="dxa"/>
            <w:vAlign w:val="bottom"/>
            <w:gridSpan w:val="3"/>
          </w:tcPr>
          <w:p>
            <w:pPr>
              <w:spacing w:after="0"/>
              <w:rPr>
                <w:sz w:val="20"/>
                <w:szCs w:val="20"/>
                <w:color w:val="auto"/>
              </w:rPr>
            </w:pPr>
            <w:r>
              <w:rPr>
                <w:rFonts w:ascii="Arial" w:cs="Arial" w:eastAsia="Arial" w:hAnsi="Arial"/>
                <w:sz w:val="14"/>
                <w:szCs w:val="14"/>
                <w:color w:val="auto"/>
              </w:rPr>
              <w:t>Adjusted diluted weighted average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outstanding</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223,320,457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230,819,987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w w:val="89"/>
              </w:rPr>
              <w:t>222,243,851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215,365,920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212,568,635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Income (in thousands)</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178,745</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40,839</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137,327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gridSpan w:val="3"/>
          </w:tcPr>
          <w:p>
            <w:pPr>
              <w:spacing w:after="0"/>
              <w:rPr>
                <w:sz w:val="20"/>
                <w:szCs w:val="20"/>
                <w:color w:val="auto"/>
              </w:rPr>
            </w:pPr>
            <w:r>
              <w:rPr>
                <w:rFonts w:ascii="Arial" w:cs="Arial" w:eastAsia="Arial" w:hAnsi="Arial"/>
                <w:sz w:val="14"/>
                <w:szCs w:val="14"/>
                <w:color w:val="auto"/>
              </w:rPr>
              <w:t>Adjusted Diluted EPS</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0.23</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0.77</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0.64</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20" w:right="839" w:hanging="354"/>
        <w:spacing w:after="0" w:line="259" w:lineRule="auto"/>
        <w:tabs>
          <w:tab w:leader="none" w:pos="2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or incorporated by reference in this prospectus, including the information set forth in “Prospectus Summary — Recent Developments — COVID-19,”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105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93" w:lineRule="exact"/>
        <w:rPr>
          <w:sz w:val="20"/>
          <w:szCs w:val="20"/>
          <w:color w:val="auto"/>
        </w:rPr>
      </w:pPr>
    </w:p>
    <w:p>
      <w:pPr>
        <w:ind w:left="1980" w:right="799" w:hanging="352"/>
        <w:spacing w:after="0" w:line="25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political and social conditions in the United States, the United Kingdom, the European Union and/or its member states, China or other major economies around the world, including, among other things, the strength and direction of the U.S. and/or global economy, the exit by the United Kingdom from the European Union (“Brexit”), the prolonged shutdown of the U.S. government and the upcoming 2020 U.S. presidential election;</w:t>
      </w:r>
    </w:p>
    <w:p>
      <w:pPr>
        <w:spacing w:after="0" w:line="79" w:lineRule="exact"/>
        <w:rPr>
          <w:rFonts w:ascii="Arial" w:cs="Arial" w:eastAsia="Arial" w:hAnsi="Arial"/>
          <w:sz w:val="18"/>
          <w:szCs w:val="18"/>
          <w:color w:val="auto"/>
        </w:rPr>
      </w:pPr>
    </w:p>
    <w:p>
      <w:pPr>
        <w:ind w:left="1980" w:right="979" w:hanging="352"/>
        <w:spacing w:after="0" w:line="308"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 of Federal Reserve Board and other central banks’ monetary policy, increased capital requirements for banks and other financial institutions and other regulatory requirements;</w:t>
      </w:r>
    </w:p>
    <w:p>
      <w:pPr>
        <w:spacing w:after="0" w:line="38" w:lineRule="exact"/>
        <w:rPr>
          <w:rFonts w:ascii="Arial" w:cs="Arial" w:eastAsia="Arial" w:hAnsi="Arial"/>
          <w:sz w:val="17"/>
          <w:szCs w:val="17"/>
          <w:color w:val="auto"/>
        </w:rPr>
      </w:pPr>
    </w:p>
    <w:p>
      <w:pPr>
        <w:ind w:left="1980" w:hanging="352"/>
        <w:spacing w:after="0"/>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121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17" w:lineRule="exact"/>
        <w:rPr>
          <w:rFonts w:ascii="Arial" w:cs="Arial" w:eastAsia="Arial" w:hAnsi="Arial"/>
          <w:sz w:val="18"/>
          <w:szCs w:val="18"/>
          <w:color w:val="auto"/>
        </w:rPr>
      </w:pPr>
    </w:p>
    <w:p>
      <w:pPr>
        <w:ind w:left="1980" w:right="125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concerns over a potential recession (in the United States or globally), inflation and weakening consumer and investor confidence levels;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spacing w:after="0" w:line="62" w:lineRule="exact"/>
        <w:rPr>
          <w:rFonts w:ascii="Arial" w:cs="Arial" w:eastAsia="Arial" w:hAnsi="Arial"/>
          <w:sz w:val="18"/>
          <w:szCs w:val="18"/>
          <w:color w:val="auto"/>
        </w:rPr>
      </w:pPr>
    </w:p>
    <w:p>
      <w:pPr>
        <w:ind w:left="1980" w:right="1019" w:hanging="352"/>
        <w:spacing w:after="0" w:line="263"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regulatory or government policy changes, including changes to financial industry regulations and tax laws that could limit the ability of market participants to engage in a wider array of trading activities;</w:t>
      </w:r>
    </w:p>
    <w:p>
      <w:pPr>
        <w:spacing w:after="0" w:line="89" w:lineRule="exact"/>
        <w:rPr>
          <w:rFonts w:ascii="Arial" w:cs="Arial" w:eastAsia="Arial" w:hAnsi="Arial"/>
          <w:sz w:val="18"/>
          <w:szCs w:val="18"/>
          <w:color w:val="auto"/>
        </w:rPr>
      </w:pPr>
    </w:p>
    <w:p>
      <w:pPr>
        <w:ind w:left="1980" w:right="1319" w:hanging="352"/>
        <w:spacing w:after="0" w:line="308"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threatened trade war, including between the United States and China, or other governmental action related to tariffs, international trade agreements or trade policies; and</w:t>
      </w:r>
    </w:p>
    <w:p>
      <w:pPr>
        <w:spacing w:after="0" w:line="38" w:lineRule="exact"/>
        <w:rPr>
          <w:rFonts w:ascii="Arial" w:cs="Arial" w:eastAsia="Arial" w:hAnsi="Arial"/>
          <w:sz w:val="17"/>
          <w:szCs w:val="17"/>
          <w:color w:val="auto"/>
        </w:rPr>
      </w:pPr>
    </w:p>
    <w:p>
      <w:pPr>
        <w:ind w:left="1980" w:right="779" w:hanging="352"/>
        <w:spacing w:after="0" w:line="279"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catastrophic events, such as natural disasters, extreme weather events, actual or threatened acts of war, terrorism or other armed hostilities or outbreaks of pandemic or contagious diseases, such as Ebola, Zika, avian flu, severe acute respiratory syndrome (SARS), H1N1 (swine flu), the novel coronavirus (COVID-19), and Middle East Respiratory Syndrome (MERS).</w:t>
      </w:r>
    </w:p>
    <w:p>
      <w:pPr>
        <w:spacing w:after="0" w:line="63"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7"/>
          <w:szCs w:val="17"/>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w:t>
      </w:r>
    </w:p>
    <w:p>
      <w:pPr>
        <w:sectPr>
          <w:pgSz w:w="11900" w:h="16838" w:orient="portrait"/>
          <w:cols w:equalWidth="0" w:num="1">
            <w:col w:w="10139"/>
          </w:cols>
          <w:pgMar w:left="320" w:top="132" w:right="1440" w:bottom="1440" w:gutter="0" w:footer="0" w:header="0"/>
        </w:sect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7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7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70"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91"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7"/>
          <w:szCs w:val="17"/>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w:t>
      </w:r>
    </w:p>
    <w:p>
      <w:pPr>
        <w:sectPr>
          <w:pgSz w:w="11900" w:h="16838" w:orient="portrait"/>
          <w:cols w:equalWidth="0" w:num="1">
            <w:col w:w="10139"/>
          </w:cols>
          <w:pgMar w:left="320" w:top="132" w:right="1440" w:bottom="1440" w:gutter="0" w:footer="0" w:header="0"/>
        </w:sectPr>
      </w:pP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79" w:lineRule="exact"/>
        <w:rPr>
          <w:sz w:val="20"/>
          <w:szCs w:val="20"/>
          <w:color w:val="auto"/>
        </w:rPr>
      </w:pPr>
    </w:p>
    <w:p>
      <w:pPr>
        <w:ind w:left="1260" w:right="799" w:firstLine="360"/>
        <w:spacing w:after="0" w:line="252" w:lineRule="auto"/>
        <w:rPr>
          <w:sz w:val="20"/>
          <w:szCs w:val="20"/>
          <w:color w:val="auto"/>
        </w:rPr>
      </w:pPr>
      <w:r>
        <w:rPr>
          <w:rFonts w:ascii="Arial" w:cs="Arial" w:eastAsia="Arial" w:hAnsi="Arial"/>
          <w:sz w:val="18"/>
          <w:szCs w:val="18"/>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9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5"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0"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84"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49" w:lineRule="exact"/>
        <w:rPr>
          <w:sz w:val="20"/>
          <w:szCs w:val="20"/>
          <w:color w:val="auto"/>
        </w:rPr>
      </w:pPr>
    </w:p>
    <w:p>
      <w:pPr>
        <w:ind w:left="1980" w:right="73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35" w:lineRule="exact"/>
        <w:rPr>
          <w:rFonts w:ascii="Arial" w:cs="Arial" w:eastAsia="Arial" w:hAnsi="Arial"/>
          <w:sz w:val="18"/>
          <w:szCs w:val="18"/>
          <w:color w:val="auto"/>
        </w:rPr>
      </w:pPr>
    </w:p>
    <w:p>
      <w:pPr>
        <w:ind w:left="1980" w:right="919" w:hanging="352"/>
        <w:spacing w:after="0" w:line="286"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43" w:lineRule="exact"/>
        <w:rPr>
          <w:rFonts w:ascii="Arial" w:cs="Arial" w:eastAsia="Arial" w:hAnsi="Arial"/>
          <w:sz w:val="17"/>
          <w:szCs w:val="17"/>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0" w:lineRule="exact"/>
        <w:rPr>
          <w:rFonts w:ascii="Arial" w:cs="Arial" w:eastAsia="Arial" w:hAnsi="Arial"/>
          <w:sz w:val="18"/>
          <w:szCs w:val="18"/>
          <w:color w:val="auto"/>
        </w:rPr>
      </w:pPr>
    </w:p>
    <w:p>
      <w:pPr>
        <w:ind w:left="1980" w:right="719" w:hanging="352"/>
        <w:spacing w:after="0" w:line="26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respond to competitive pressures, technological advances, including new or disruptive technology, emerging industry standards and practices and regulatory requirements and changes on a cost-effective and timely basis;</w:t>
      </w:r>
    </w:p>
    <w:p>
      <w:pPr>
        <w:sectPr>
          <w:pgSz w:w="11900" w:h="16838" w:orient="portrait"/>
          <w:cols w:equalWidth="0" w:num="1">
            <w:col w:w="10139"/>
          </w:cols>
          <w:pgMar w:left="320" w:top="132" w:right="1440" w:bottom="1440" w:gutter="0" w:footer="0" w:header="0"/>
        </w:sect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117"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87"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8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78"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ectPr>
          <w:pgSz w:w="11900" w:h="16838" w:orient="portrait"/>
          <w:cols w:equalWidth="0" w:num="1">
            <w:col w:w="10139"/>
          </w:cols>
          <w:pgMar w:left="320" w:top="132"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78"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75"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For the year ended December 31, 2019, the combined year ended December 31, 2018 and the year ended December 31, 2017, 44.8%, 42.2% and 41.3%, respectively, of our revenues were generated by the pre-IPO Bank Stockholders and their affiliates. Market knowledge and feedback from these stockholders have been important factors in the development of many of our offerings and solutions.</w:t>
      </w:r>
    </w:p>
    <w:p>
      <w:pPr>
        <w:spacing w:after="0" w:line="73"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the pre-IPO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Although we have established and maintain significant long-term relationships with our key dealer clients, we cannot assure you that all of these relationships will continue or will not diminish. In addition, it is possible that the pre-IPO Bank Stockholders and their affiliates may reduce their use of our trading platforms or their engagement with us in the future due to reductions in the level of their equity ownership following the completion of this or any completed or future offering. Any reduction in the use of our trading platforms by our key dealer clients, including certain of the pre-IPO Bank Stockholders and their affiliates,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ectPr>
          <w:pgSz w:w="11900" w:h="16838" w:orient="portrait"/>
          <w:cols w:equalWidth="0" w:num="1">
            <w:col w:w="10139"/>
          </w:cols>
          <w:pgMar w:left="320" w:top="132" w:right="1440" w:bottom="1440" w:gutter="0" w:footer="0" w:header="0"/>
        </w:sect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3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81"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4"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71"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73" w:lineRule="exact"/>
        <w:rPr>
          <w:sz w:val="20"/>
          <w:szCs w:val="20"/>
          <w:color w:val="auto"/>
        </w:rPr>
      </w:pPr>
    </w:p>
    <w:p>
      <w:pPr>
        <w:ind w:left="1260" w:right="919"/>
        <w:spacing w:after="0" w:line="274" w:lineRule="auto"/>
        <w:rPr>
          <w:sz w:val="20"/>
          <w:szCs w:val="20"/>
          <w:color w:val="auto"/>
        </w:rPr>
      </w:pPr>
      <w:r>
        <w:rPr>
          <w:rFonts w:ascii="Arial" w:cs="Arial" w:eastAsia="Arial" w:hAnsi="Arial"/>
          <w:sz w:val="17"/>
          <w:szCs w:val="17"/>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53"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6" w:lineRule="exact"/>
        <w:rPr>
          <w:sz w:val="20"/>
          <w:szCs w:val="20"/>
          <w:color w:val="auto"/>
        </w:rPr>
      </w:pPr>
    </w:p>
    <w:p>
      <w:pPr>
        <w:ind w:left="1260" w:right="879" w:firstLine="360"/>
        <w:spacing w:after="0" w:line="253" w:lineRule="auto"/>
        <w:rPr>
          <w:sz w:val="20"/>
          <w:szCs w:val="20"/>
          <w:color w:val="auto"/>
        </w:rPr>
      </w:pPr>
      <w:r>
        <w:rPr>
          <w:rFonts w:ascii="Arial" w:cs="Arial" w:eastAsia="Arial" w:hAnsi="Arial"/>
          <w:sz w:val="18"/>
          <w:szCs w:val="18"/>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86"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the ongoing COVID-19 pandemic could potentially disrupt the supply chain of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77"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In addition, high-profile system failures in the electronic financial services industry, whether or not involving us directly, could negatively impact our business. In recent years, U.S. and foreign regulators have</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81" w:lineRule="exact"/>
        <w:rPr>
          <w:sz w:val="20"/>
          <w:szCs w:val="20"/>
          <w:color w:val="auto"/>
        </w:rPr>
      </w:pPr>
    </w:p>
    <w:p>
      <w:pPr>
        <w:jc w:val="both"/>
        <w:ind w:left="1260" w:right="111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0"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business relies on technology and automation to perform significant functions within our firm. Because of our reliance on technology,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provider, and can include unauthorized attempts to access, disable, improperly modify or degrade our information, systems, networks and infrastructure or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significant delays, failures or malfunctions in our systems, networks, infrastructure and other operations, in particular our platforms and solutions, which could result in reputational damage, financial losses, client dissatisfaction and/or regulatory fines and penalties, which may not in all cases be covered by insurance.</w:t>
      </w:r>
    </w:p>
    <w:p>
      <w:pPr>
        <w:spacing w:after="0" w:line="8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security breaches or other security vulnerabilities and to protect against damage caused by cyber-attacks, security breaches or other disruptions that may occur.</w:t>
      </w:r>
    </w:p>
    <w:p>
      <w:pPr>
        <w:spacing w:after="0" w:line="71"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We have a Risk Steering Committee that includes the heads of Risk Management, Information/Cyber Security, Regulatory Compliance and Human Resources. Our information/cyber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87"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platforms and solutions, security measures and reliability,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72" w:lineRule="exact"/>
        <w:rPr>
          <w:sz w:val="20"/>
          <w:szCs w:val="20"/>
          <w:color w:val="auto"/>
        </w:rPr>
      </w:pPr>
    </w:p>
    <w:p>
      <w:pPr>
        <w:jc w:val="both"/>
        <w:ind w:left="1260" w:right="95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87"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7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115"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87"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10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“Quantitative and Qualitative Disclosures about Market Risk — Credit Risk” in the 2019 Form 10-K, incorporated by reference in this prospectus.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global health issues (including the ongoing COVID-19 pandemic),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8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our asset classes, including the number of products we offer across those asset classes, by investing in our development efforts and increasing our revenues by growing our market share in our existing markets and entering into new markets. Although our long-term growth plan includes entering into new asset classes, we may not enter into new asset classes in the near term.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7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w:t>
      </w:r>
    </w:p>
    <w:p>
      <w:pPr>
        <w:sectPr>
          <w:pgSz w:w="11900" w:h="16838" w:orient="portrait"/>
          <w:cols w:equalWidth="0" w:num="1">
            <w:col w:w="10139"/>
          </w:cols>
          <w:pgMar w:left="320" w:top="132" w:right="1440" w:bottom="1440" w:gutter="0" w:footer="0" w:header="0"/>
        </w:sect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5" w:lineRule="auto"/>
        <w:rPr>
          <w:sz w:val="20"/>
          <w:szCs w:val="20"/>
          <w:color w:val="auto"/>
        </w:rPr>
      </w:pPr>
      <w:r>
        <w:rPr>
          <w:rFonts w:ascii="Arial" w:cs="Arial" w:eastAsia="Arial" w:hAnsi="Arial"/>
          <w:sz w:val="18"/>
          <w:szCs w:val="18"/>
          <w:color w:val="auto"/>
        </w:rPr>
        <w:t>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79"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7"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5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97" w:lineRule="exact"/>
        <w:rPr>
          <w:sz w:val="20"/>
          <w:szCs w:val="20"/>
          <w:color w:val="auto"/>
        </w:rPr>
      </w:pPr>
    </w:p>
    <w:p>
      <w:pPr>
        <w:ind w:left="1980" w:right="799" w:hanging="352"/>
        <w:spacing w:after="0" w:line="25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Ebola, Zika, avian flu, severe acute respiratory syndrome (SARS), H1N1 (swine flu), the novel coronavirus (COVID-19), and Middle East Respiratory Syndrome (MERS);</w:t>
      </w:r>
    </w:p>
    <w:p>
      <w:pPr>
        <w:spacing w:after="0" w:line="9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11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9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999" w:hanging="352"/>
        <w:spacing w:after="0" w:line="342" w:lineRule="auto"/>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varying tax regimes, including with respect to imposition or increase of taxes on financial transactions or withholding and other taxes on remittances and other payments by subsidiaries;</w:t>
      </w:r>
    </w:p>
    <w:p>
      <w:pPr>
        <w:spacing w:after="0" w:line="29" w:lineRule="exact"/>
        <w:rPr>
          <w:rFonts w:ascii="Arial" w:cs="Arial" w:eastAsia="Arial" w:hAnsi="Arial"/>
          <w:sz w:val="16"/>
          <w:szCs w:val="16"/>
          <w:color w:val="auto"/>
        </w:rPr>
      </w:pPr>
    </w:p>
    <w:p>
      <w:pPr>
        <w:jc w:val="both"/>
        <w:ind w:left="1980" w:right="1579" w:hanging="352"/>
        <w:spacing w:after="0" w:line="308"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threatened trade war, including between the United States and China, or other governmental action related to tariffs, international trade agreements or trade policies;</w:t>
      </w:r>
    </w:p>
    <w:p>
      <w:pPr>
        <w:spacing w:after="0" w:line="51"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30"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117"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64"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 Union (the “Withdrawal Agreement”). The United Kingdom withdrew from the European Union on January 31, 2020 (the “exit date”). As part of the negotiations with the European Union, a transitional period has been agreed which extends to the United Kingdom the application of European Union law, and provides for continuing access to the European Union market, until the end of 2020. The future relationship between the United Kingdom and the European Union will be negotiated between both parties during 2020 and if an agreement is reached — which may or may not include terms of access to each other’s financial markets — it is anticipated under the Withdrawal Agreement that the terms of any such agreement would apply upon expiry of the transitional period. The transitional period is due to expire on December 31, 2020, unless extended by the UK/EU Joint Committee established under the Withdrawal Agreement. The maximum possible extension under the Withdrawal Agreement is two years and Prime Minister Johnson of the United Kingdom has indicated that he does not intend to seek, nor agree to, such an extension.</w:t>
      </w:r>
    </w:p>
    <w:p>
      <w:pPr>
        <w:spacing w:after="0" w:line="74"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The United Kingdom’s departure from the European Union and the terms of the future relationship between the United Kingdom and the European Union could significantly impact the business environment in which we and our clients operate, increase the costs of conducting business in both the European Union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which could have a materially adverse impact on us despite our international client-base. Until the terms of the future relationship are known, volatility in exchange rates may continue and it will remain unclear how Brexit may ultimately affect liquidity in our marketplaces.</w:t>
      </w:r>
    </w:p>
    <w:p>
      <w:pPr>
        <w:spacing w:after="0" w:line="69"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Significantly, the effects of Brexit on our business will depend on any agreements the United Kingdom makes to retain access to the European Union single market and vice versa. Negotiations between the United Kingdom and the European Union on their future relationship will continue during 2020, will be complex and will be politically uncertain. Until such an agreement is reached the post-transitional period conditions of UK and EU market access are not known. With a loss of “passporting” rights, which allow financial services firms to operate throughout the European Union, and with no equivalent agreement in place between the United Kingdom and the European Union, our UK authorized subsidiary will no longer be able to provide services to EU clients other than in limited circumstances. As a result of the uncertainty related to Brexit, we have established a new regulated subsidiary in the Netherlands that has started to serve clients in the European Union, and for which we have incurred, and expect to continue to incur, increased regulatory and operational costs. These costs result from having established a new regulated subsidiary in the European Union and the management of a client and employee base that is less centralized in London.</w:t>
      </w:r>
    </w:p>
    <w:p>
      <w:pPr>
        <w:spacing w:after="0" w:line="6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With Brexit, the United Kingdom has ended the supremacy of EU law in the United Kingdom by repealing the European Communities Act 1972, and by “on-shoring” EU law as it stands at exit into domestic law. With the exception that the United Kingdom has made secondary legislation to enable correction to be made to EU laws as they are on-shored — and where they would otherwise have no longer operated appropriately following Brexit — the UK and EU laws are substantively the same. Over time however, EU and UK laws may diverge, the pace and extent of which will be political and uncertain. The cost and complexity of operating across increasingly divergent regulatory regimes could increase following Brexit, and this could have a material adverse effect on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pound sterling and the euro.</w:t>
      </w:r>
    </w:p>
    <w:p>
      <w:pPr>
        <w:spacing w:after="0" w:line="71"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75"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7" w:lineRule="auto"/>
        <w:rPr>
          <w:sz w:val="20"/>
          <w:szCs w:val="20"/>
          <w:color w:val="auto"/>
        </w:rPr>
      </w:pPr>
      <w:r>
        <w:rPr>
          <w:rFonts w:ascii="Arial" w:cs="Arial" w:eastAsia="Arial" w:hAnsi="Arial"/>
          <w:sz w:val="18"/>
          <w:szCs w:val="18"/>
          <w:color w:val="auto"/>
        </w:rPr>
        <w:t>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80"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w:t>
      </w:r>
    </w:p>
    <w:p>
      <w:pPr>
        <w:spacing w:after="0" w:line="3" w:lineRule="exact"/>
        <w:rPr>
          <w:sz w:val="20"/>
          <w:szCs w:val="20"/>
          <w:color w:val="auto"/>
        </w:rPr>
      </w:pPr>
    </w:p>
    <w:p>
      <w:pPr>
        <w:ind w:left="1260" w:right="679" w:firstLine="8"/>
        <w:spacing w:after="0" w:line="271" w:lineRule="auto"/>
        <w:tabs>
          <w:tab w:leader="none" w:pos="16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7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9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w:t>
      </w:r>
    </w:p>
    <w:p>
      <w:pPr>
        <w:spacing w:after="0" w:line="3" w:lineRule="exact"/>
        <w:rPr>
          <w:sz w:val="20"/>
          <w:szCs w:val="20"/>
          <w:color w:val="auto"/>
        </w:rPr>
      </w:pPr>
    </w:p>
    <w:p>
      <w:pPr>
        <w:ind w:left="1260" w:right="739" w:firstLine="8"/>
        <w:spacing w:after="0" w:line="277" w:lineRule="auto"/>
        <w:tabs>
          <w:tab w:leader="none" w:pos="15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6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ectPr>
          <w:pgSz w:w="11900" w:h="16838" w:orient="portrait"/>
          <w:cols w:equalWidth="0" w:num="1">
            <w:col w:w="10139"/>
          </w:cols>
          <w:pgMar w:left="320" w:top="132" w:right="1440" w:bottom="1440" w:gutter="0" w:footer="0" w:header="0"/>
        </w:sect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64"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83" w:lineRule="exact"/>
        <w:rPr>
          <w:sz w:val="20"/>
          <w:szCs w:val="20"/>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30"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75"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and timing of expenses, including those related to the maintenance and expansion of our business, operations and infrastructure;</w:t>
      </w:r>
    </w:p>
    <w:p>
      <w:pPr>
        <w:spacing w:after="0" w:line="62" w:lineRule="exact"/>
        <w:rPr>
          <w:rFonts w:ascii="Arial" w:cs="Arial" w:eastAsia="Arial" w:hAnsi="Arial"/>
          <w:sz w:val="18"/>
          <w:szCs w:val="18"/>
          <w:color w:val="auto"/>
        </w:rPr>
      </w:pPr>
    </w:p>
    <w:p>
      <w:pPr>
        <w:ind w:left="1980" w:right="13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17" w:lineRule="exact"/>
        <w:rPr>
          <w:rFonts w:ascii="Arial" w:cs="Arial" w:eastAsia="Arial" w:hAnsi="Arial"/>
          <w:sz w:val="18"/>
          <w:szCs w:val="18"/>
          <w:color w:val="auto"/>
        </w:rPr>
      </w:pPr>
    </w:p>
    <w:p>
      <w:pPr>
        <w:ind w:left="1980" w:right="1099" w:hanging="352"/>
        <w:spacing w:after="0" w:line="279"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76" w:lineRule="exact"/>
        <w:rPr>
          <w:rFonts w:ascii="Arial" w:cs="Arial" w:eastAsia="Arial" w:hAnsi="Arial"/>
          <w:sz w:val="17"/>
          <w:szCs w:val="17"/>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30"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spacing w:after="0" w:line="89"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spacing w:after="0" w:line="75"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ectPr>
          <w:pgSz w:w="11900" w:h="16838" w:orient="portrait"/>
          <w:cols w:equalWidth="0" w:num="1">
            <w:col w:w="10139"/>
          </w:cols>
          <w:pgMar w:left="320" w:top="132" w:right="1440" w:bottom="1440" w:gutter="0" w:footer="0" w:header="0"/>
        </w:sect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307" w:lineRule="auto"/>
        <w:rPr>
          <w:sz w:val="20"/>
          <w:szCs w:val="20"/>
          <w:color w:val="auto"/>
        </w:rPr>
      </w:pPr>
      <w:r>
        <w:rPr>
          <w:rFonts w:ascii="Arial" w:cs="Arial" w:eastAsia="Arial" w:hAnsi="Arial"/>
          <w:sz w:val="16"/>
          <w:szCs w:val="16"/>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success of our business depends upon the skills, experience and efforts of our executive officers,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particularly Lee Olesky, our Chief Executive Officer, and Billy Hult, our President. The terms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Messrs. Olesky’s and Hult’s employment agreements with us do not require them to continue to work for us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allow them to terminate their employment at any time, subject to certain notice requirements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forfeiture of non-vested equity awards. Although we have invested in succession planning, the loss of key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members of our senior management team could nevertheless have a material adverse effect on our business,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condition and results of operations. Should we lose the services of any member of our senior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management team, we would have to conduct a search for a qualified replacement. This search may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prolonged, and we may not be able to locate and hire a qualified replacement.</w:t>
      </w:r>
    </w:p>
    <w:p>
      <w:pPr>
        <w:spacing w:after="0" w:line="103"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84" w:lineRule="exact"/>
        <w:rPr>
          <w:sz w:val="20"/>
          <w:szCs w:val="20"/>
          <w:color w:val="auto"/>
        </w:rPr>
      </w:pPr>
    </w:p>
    <w:p>
      <w:pPr>
        <w:ind w:left="1260" w:right="75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69"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87"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73"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9" w:lineRule="auto"/>
        <w:rPr>
          <w:sz w:val="20"/>
          <w:szCs w:val="20"/>
          <w:color w:val="auto"/>
        </w:rPr>
      </w:pPr>
      <w:r>
        <w:rPr>
          <w:rFonts w:ascii="Arial" w:cs="Arial" w:eastAsia="Arial" w:hAnsi="Arial"/>
          <w:sz w:val="17"/>
          <w:szCs w:val="17"/>
          <w:color w:val="auto"/>
        </w:rPr>
        <w:t>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77"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65" w:lineRule="exact"/>
        <w:rPr>
          <w:sz w:val="20"/>
          <w:szCs w:val="20"/>
          <w:color w:val="auto"/>
        </w:rPr>
      </w:pPr>
    </w:p>
    <w:p>
      <w:pPr>
        <w:ind w:left="1260" w:right="91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0"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69"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65" w:lineRule="exact"/>
        <w:rPr>
          <w:sz w:val="20"/>
          <w:szCs w:val="20"/>
          <w:color w:val="auto"/>
        </w:rPr>
      </w:pPr>
    </w:p>
    <w:p>
      <w:pPr>
        <w:ind w:left="1260" w:right="107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color w:val="auto"/>
        </w:rPr>
        <w:t>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70"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“Business</w:t>
      </w:r>
    </w:p>
    <w:p>
      <w:pPr>
        <w:spacing w:after="0" w:line="2"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 Regulation” in the 2019 Form 10-K, incorporated by reference in this prospectus,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84" w:lineRule="exact"/>
        <w:rPr>
          <w:sz w:val="20"/>
          <w:szCs w:val="20"/>
          <w:color w:val="auto"/>
        </w:rPr>
      </w:pPr>
    </w:p>
    <w:p>
      <w:pPr>
        <w:ind w:left="1260" w:right="939" w:firstLine="360"/>
        <w:spacing w:after="0" w:line="275" w:lineRule="auto"/>
        <w:rPr>
          <w:sz w:val="20"/>
          <w:szCs w:val="20"/>
          <w:color w:val="auto"/>
        </w:rPr>
      </w:pPr>
      <w:r>
        <w:rPr>
          <w:rFonts w:ascii="Arial" w:cs="Arial" w:eastAsia="Arial" w:hAnsi="Arial"/>
          <w:sz w:val="17"/>
          <w:szCs w:val="17"/>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8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87"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57"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4"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jc w:val="both"/>
        <w:ind w:left="1260" w:right="8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0"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86"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any financial instruments we hold.</w:t>
      </w:r>
    </w:p>
    <w:p>
      <w:pPr>
        <w:spacing w:after="0" w:line="74"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w:t>
      </w:r>
    </w:p>
    <w:p>
      <w:pPr>
        <w:sectPr>
          <w:pgSz w:w="11900" w:h="16838" w:orient="portrait"/>
          <w:cols w:equalWidth="0" w:num="1">
            <w:col w:w="10139"/>
          </w:cols>
          <w:pgMar w:left="320" w:top="132"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69" w:lineRule="auto"/>
        <w:rPr>
          <w:sz w:val="20"/>
          <w:szCs w:val="20"/>
          <w:color w:val="auto"/>
        </w:rPr>
      </w:pPr>
      <w:r>
        <w:rPr>
          <w:rFonts w:ascii="Arial" w:cs="Arial" w:eastAsia="Arial" w:hAnsi="Arial"/>
          <w:sz w:val="17"/>
          <w:szCs w:val="17"/>
          <w:color w:val="auto"/>
        </w:rPr>
        <w:t>financial markets designed to facilitate more efficient markets and greater transparency for participants. MiFID II and MiFIR may have an adverse effect on our operations and our ability to offer our trading platforms and related solutions in a manner that can successfully compete against other methods of trading and related solutions.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77"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86"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75"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countries or conflict with other law, rules or regulations. We are also subject to the terms of our privacy policies and obligations to third parties related to applicable privacy, data protection and information security.</w:t>
      </w:r>
    </w:p>
    <w:p>
      <w:pPr>
        <w:spacing w:after="0" w:line="69"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86"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New U.S. tax legislation may materially adversely affect our financial condition, results of operations and cash flows.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w:t>
      </w:r>
    </w:p>
    <w:p>
      <w:pPr>
        <w:spacing w:after="0" w:line="181" w:lineRule="exact"/>
        <w:rPr>
          <w:sz w:val="20"/>
          <w:szCs w:val="20"/>
          <w:color w:val="auto"/>
        </w:rPr>
      </w:pPr>
    </w:p>
    <w:p>
      <w:pPr>
        <w:ind w:left="1260" w:right="859"/>
        <w:spacing w:after="0" w:line="274"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77"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69"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“Legal Proceedings” in the 2019 Form 10-K, incorporated by reference in this prospectus and “Prospectus Summary — Recent Developments — IDC Matter.”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73"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81" w:lineRule="exact"/>
        <w:rPr>
          <w:sz w:val="20"/>
          <w:szCs w:val="20"/>
          <w:color w:val="auto"/>
        </w:rPr>
      </w:pPr>
    </w:p>
    <w:p>
      <w:pPr>
        <w:ind w:left="1260" w:right="979"/>
        <w:spacing w:after="0" w:line="231" w:lineRule="auto"/>
        <w:rPr>
          <w:sz w:val="20"/>
          <w:szCs w:val="20"/>
          <w:color w:val="auto"/>
        </w:rPr>
      </w:pPr>
      <w:r>
        <w:rPr>
          <w:rFonts w:ascii="Arial" w:cs="Arial" w:eastAsia="Arial" w:hAnsi="Arial"/>
          <w:sz w:val="18"/>
          <w:szCs w:val="18"/>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20" w:lineRule="exact"/>
        <w:rPr>
          <w:sz w:val="20"/>
          <w:szCs w:val="20"/>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7"/>
          <w:szCs w:val="17"/>
          <w:color w:val="auto"/>
        </w:rPr>
        <w:t>In addition, the credit agreement that governs our Revolving Credit Facility requires us to maintain a maximum total net leverage ratio and a minimum cash interest coverage ratio. See “Management’s Discussion and Analysis of Financial Condition and Results of Operations — Liquidity and Capital Resources” in the 2019 Form 10-K, incorporated by reference in this prospectus.</w:t>
      </w:r>
    </w:p>
    <w:p>
      <w:pPr>
        <w:spacing w:after="0" w:line="6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8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ectPr>
          <w:pgSz w:w="11900" w:h="16838" w:orient="portrait"/>
          <w:cols w:equalWidth="0" w:num="1">
            <w:col w:w="10139"/>
          </w:cols>
          <w:pgMar w:left="320" w:top="132" w:right="1440" w:bottom="1440" w:gutter="0" w:footer="0" w:header="0"/>
        </w:sect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4" w:lineRule="exact"/>
        <w:rPr>
          <w:sz w:val="20"/>
          <w:szCs w:val="20"/>
          <w:color w:val="auto"/>
        </w:rPr>
      </w:pPr>
    </w:p>
    <w:p>
      <w:pPr>
        <w:ind w:left="1260" w:right="1139"/>
        <w:spacing w:after="0" w:line="246"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Revolving Credit Facility will increase even though the amount borrowed may remain the same, and our net income and cash flows will correspondingly decrease. Assuming that the</w:t>
      </w:r>
    </w:p>
    <w:p>
      <w:pPr>
        <w:spacing w:after="0" w:line="3"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8"/>
          <w:szCs w:val="18"/>
          <w:color w:val="auto"/>
        </w:rPr>
        <w:t>$500.0 million Revolving Credit Facility was fully drawn, each 0.125% change in interest rates would result in an approximate change of $0.6 million in annual interest expense on the borrowings under the Revolving Credit Facility.</w:t>
      </w:r>
    </w:p>
    <w:p>
      <w:pPr>
        <w:spacing w:after="0" w:line="176" w:lineRule="exact"/>
        <w:rPr>
          <w:sz w:val="20"/>
          <w:szCs w:val="20"/>
          <w:color w:val="auto"/>
        </w:rPr>
      </w:pPr>
    </w:p>
    <w:p>
      <w:pPr>
        <w:ind w:left="1260" w:right="1099"/>
        <w:spacing w:after="0" w:line="246" w:lineRule="auto"/>
        <w:rPr>
          <w:sz w:val="20"/>
          <w:szCs w:val="20"/>
          <w:color w:val="auto"/>
        </w:rPr>
      </w:pPr>
      <w:r>
        <w:rPr>
          <w:rFonts w:ascii="Arial" w:cs="Arial" w:eastAsia="Arial" w:hAnsi="Arial"/>
          <w:sz w:val="18"/>
          <w:szCs w:val="18"/>
          <w:b w:val="1"/>
          <w:bCs w:val="1"/>
          <w:i w:val="1"/>
          <w:iCs w:val="1"/>
          <w:color w:val="auto"/>
        </w:rPr>
        <w:t>The phase-out, replacement or unavailability of LIBOR and/or other interest rate benchmarks could adversely affect our indebtedness.</w:t>
      </w:r>
    </w:p>
    <w:p>
      <w:pPr>
        <w:spacing w:after="0" w:line="75"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interest rates applicable to the Revolving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85" w:lineRule="exact"/>
        <w:rPr>
          <w:sz w:val="20"/>
          <w:szCs w:val="20"/>
          <w:color w:val="auto"/>
        </w:rPr>
      </w:pPr>
    </w:p>
    <w:p>
      <w:pPr>
        <w:ind w:left="1260" w:right="105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7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w:t>
      </w:r>
    </w:p>
    <w:p>
      <w:pPr>
        <w:sectPr>
          <w:pgSz w:w="11900" w:h="16838" w:orient="portrait"/>
          <w:cols w:equalWidth="0" w:num="1">
            <w:col w:w="10139"/>
          </w:cols>
          <w:pgMar w:left="320" w:top="132" w:right="1440" w:bottom="1440" w:gutter="0" w:footer="0" w:header="0"/>
        </w:sectPr>
      </w:pP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color w:val="auto"/>
        </w:rPr>
        <w:t>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63"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5"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As of December 31, 2019, we had goodwill of $2,694.8 million and indefinite-lived intangible assets of $323.1 million, which relate to the Refinitiv Transaction.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02" w:lineRule="exact"/>
        <w:rPr>
          <w:sz w:val="20"/>
          <w:szCs w:val="20"/>
          <w:color w:val="auto"/>
        </w:rPr>
      </w:pPr>
    </w:p>
    <w:p>
      <w:pPr>
        <w:ind w:left="1260" w:right="679"/>
        <w:spacing w:after="0" w:line="307" w:lineRule="auto"/>
        <w:rPr>
          <w:sz w:val="20"/>
          <w:szCs w:val="20"/>
          <w:color w:val="auto"/>
        </w:rPr>
      </w:pPr>
      <w:r>
        <w:rPr>
          <w:rFonts w:ascii="Arial" w:cs="Arial" w:eastAsia="Arial" w:hAnsi="Arial"/>
          <w:sz w:val="16"/>
          <w:szCs w:val="16"/>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29"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87"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We also incur expenses related to our operations, including payments under the Tax Receivable Agreement, which we expect could be significant. See “Certain Relationships and Related Party Transactions — Related Party Transactions Entered Into in Connection With the IPO — Tax Receivable Agreement.” We intend, as its sole manager,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the IPO — Tax Receivable Agreement” and “Certain</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Relationships and Related Party Transactions — Related Party Transactions Entered Into in Connection With the IPO — TWM LLC Agreement.” In addition, if TWM LLC does not have sufficient funds to make distributions, our ability to declare and pay cash dividends will also be restricted or impaired. See “—Risks Relating to Ownership of Our Class A Common Stock” and “Dividend Policy.”</w:t>
      </w:r>
    </w:p>
    <w:p>
      <w:pPr>
        <w:spacing w:after="0" w:line="173" w:lineRule="exact"/>
        <w:rPr>
          <w:sz w:val="20"/>
          <w:szCs w:val="20"/>
          <w:color w:val="auto"/>
        </w:rPr>
      </w:pPr>
    </w:p>
    <w:p>
      <w:pPr>
        <w:ind w:left="1260" w:right="71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67"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0"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this offering and any future offerings or (b) redemptions or exchanges by such Continuing LLC Owner of LLC Interests for shares of our Class A common stock or Class B Common Stock or for cash, as applicable, as described under “The IPO and Reorganization Transactions,”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the case of an acquirer that cannot use some or all of the tax benefits that are the subject of the Tax Receivable Agreement. For more information, see “Certain Relationships and Related Party Transactions — Related Party Transactions Entered Into in Connection With the IPO — Tax Receivable Agreement.”</w:t>
      </w:r>
    </w:p>
    <w:p>
      <w:pPr>
        <w:spacing w:after="0" w:line="57" w:lineRule="exact"/>
        <w:rPr>
          <w:sz w:val="20"/>
          <w:szCs w:val="20"/>
          <w:color w:val="auto"/>
        </w:rPr>
      </w:pPr>
    </w:p>
    <w:p>
      <w:pPr>
        <w:ind w:left="1260" w:right="659" w:firstLine="36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Assuming (i) that the Continuing LLC Owners redeemed or exchanged all of their LLC Interests immediately after the completion of this offering (including the LLC Interests we expect to purchase using the net proceeds of this offering), (ii) no material changes in relevant tax law, and (iii) that we earn sufficient taxable income in each year to realize on a current basis all tax benefits that are subject to the Tax Receivable Agreement, based on the public offering price of $50.25 per share we expect that the tax savings we would be deemed to realize would aggregate approximately $1,220.1 million over the 15-year period from the assumed date of such redemption or exchange, and over such period we would be required to pay the Continuing LLC Owners 50% of such amount, or approximately $610.1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 Connection With the IPO — Tax Receivable Agreement”).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80"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80" w:lineRule="exact"/>
        <w:rPr>
          <w:sz w:val="20"/>
          <w:szCs w:val="20"/>
          <w:color w:val="auto"/>
        </w:rPr>
      </w:pPr>
    </w:p>
    <w:p>
      <w:pPr>
        <w:ind w:left="1260" w:right="859" w:firstLine="360"/>
        <w:spacing w:after="0" w:line="267"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this offering and any future offerings or</w:t>
      </w:r>
    </w:p>
    <w:p>
      <w:pPr>
        <w:spacing w:after="0" w:line="3" w:lineRule="exact"/>
        <w:rPr>
          <w:sz w:val="20"/>
          <w:szCs w:val="20"/>
          <w:color w:val="auto"/>
        </w:rPr>
      </w:pPr>
    </w:p>
    <w:p>
      <w:pPr>
        <w:ind w:left="1260" w:right="979" w:firstLine="8"/>
        <w:spacing w:after="0" w:line="290" w:lineRule="auto"/>
        <w:tabs>
          <w:tab w:leader="none" w:pos="15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redemptions or exchanges by the Continuing LLC Owners of LLC Interests for shares of our Class A common stock or Class B Common Stock or for cash, as applicable, as described under “The IPO and</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73"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0"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6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72" w:lineRule="exact"/>
        <w:rPr>
          <w:sz w:val="20"/>
          <w:szCs w:val="20"/>
          <w:color w:val="auto"/>
        </w:rPr>
      </w:pPr>
    </w:p>
    <w:p>
      <w:pPr>
        <w:ind w:left="1260" w:right="141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8" w:lineRule="exact"/>
        <w:rPr>
          <w:sz w:val="20"/>
          <w:szCs w:val="20"/>
          <w:color w:val="auto"/>
        </w:rPr>
      </w:pPr>
    </w:p>
    <w:p>
      <w:pPr>
        <w:jc w:val="both"/>
        <w:ind w:left="1260" w:right="1119"/>
        <w:spacing w:after="0" w:line="235"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30" w:lineRule="exact"/>
        <w:rPr>
          <w:sz w:val="20"/>
          <w:szCs w:val="20"/>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ectPr>
          <w:pgSz w:w="11900" w:h="16838" w:orient="portrait"/>
          <w:cols w:equalWidth="0" w:num="1">
            <w:col w:w="10139"/>
          </w:cols>
          <w:pgMar w:left="320" w:top="132" w:right="1440" w:bottom="1440" w:gutter="0" w:footer="0" w:header="0"/>
        </w:sect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6"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70" w:lineRule="exact"/>
        <w:rPr>
          <w:sz w:val="20"/>
          <w:szCs w:val="20"/>
          <w:color w:val="auto"/>
        </w:rPr>
      </w:pPr>
    </w:p>
    <w:p>
      <w:pPr>
        <w:ind w:left="1260" w:right="819"/>
        <w:spacing w:after="0" w:line="231"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8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8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02" w:lineRule="exact"/>
        <w:rPr>
          <w:sz w:val="20"/>
          <w:szCs w:val="20"/>
          <w:color w:val="auto"/>
        </w:rPr>
      </w:pPr>
    </w:p>
    <w:p>
      <w:pPr>
        <w:ind w:left="1260" w:right="75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The Refinitiv Owners and their affiliates currently control approximately 77.6% of the combined voting power of our common stock, and, immediately following this offering and the application of the net proceeds from this offering, the Refinitiv Owners and their affiliates will control approximately 83.0% of the combined voting power of our common stock (or 83.8%,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Related Party Transactions Entered Into in Connection With the IPO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continue to have significant influence with respect to our management, business plans and policies. In particular, the Refinitiv Owners and their</w:t>
      </w: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affiliates are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8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provides that none of the Refinitiv Owners, any of their affiliates or any director who is not employed by us (including any non-employee director who serves as one of our officers in both his director and officer capacities) or his or her affiliates has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86"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The Refinitiv Direct Owner and Continuing LLC Owners may require us to issue additional shares of our Class A common stock.</w:t>
      </w:r>
    </w:p>
    <w:p>
      <w:pPr>
        <w:spacing w:after="0" w:line="75"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After giving effect to this offering, we will have an aggregate of more than 918,096,664 shares of Class A common stock authorized but unissued, including approximately 143,551,943 shares of Class A common stock (or 141,955,579 shares, if the underwriters exercise in full their option to purchase additional shares of Class A common stock) issuable upon the redemption or exchange of LLC Interests that are held by the Continuing LLC Owners or the exchange of shares of Class B common stock that are held by the Refinitiv Direct Owner and any other future holders of Class B common stock. Subject to certain restrictions set forth in the TWM LLC Agreement and as described elsewhere in this prospectus,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7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63" w:lineRule="exact"/>
        <w:rPr>
          <w:sz w:val="20"/>
          <w:szCs w:val="20"/>
          <w:color w:val="auto"/>
        </w:rPr>
      </w:pPr>
    </w:p>
    <w:p>
      <w:pPr>
        <w:jc w:val="both"/>
        <w:ind w:left="1260" w:right="9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2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1" w:lineRule="exact"/>
        <w:rPr>
          <w:sz w:val="20"/>
          <w:szCs w:val="20"/>
          <w:color w:val="auto"/>
        </w:rPr>
      </w:pPr>
    </w:p>
    <w:p>
      <w:pPr>
        <w:ind w:left="1980" w:hanging="352"/>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342"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Prior to the IPO, there was no public market for our Class A common stock. Given our limited trading history, an active trading market for our Class A common stock may not be sustained, which could adversely affect your ability to sell your shares and the market price for your shares. Further, 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11" w:lineRule="exact"/>
        <w:rPr>
          <w:sz w:val="20"/>
          <w:szCs w:val="20"/>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44" w:lineRule="exact"/>
        <w:rPr>
          <w:rFonts w:ascii="Arial" w:cs="Arial" w:eastAsia="Arial" w:hAnsi="Arial"/>
          <w:sz w:val="18"/>
          <w:szCs w:val="18"/>
          <w:color w:val="auto"/>
        </w:rPr>
      </w:pPr>
    </w:p>
    <w:p>
      <w:pPr>
        <w:ind w:left="1980" w:right="115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89"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spacing w:after="0" w:line="102"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44" w:lineRule="exact"/>
        <w:rPr>
          <w:rFonts w:ascii="Arial" w:cs="Arial" w:eastAsia="Arial" w:hAnsi="Arial"/>
          <w:sz w:val="18"/>
          <w:szCs w:val="18"/>
          <w:color w:val="auto"/>
        </w:rPr>
      </w:pPr>
    </w:p>
    <w:p>
      <w:pPr>
        <w:ind w:left="1980" w:right="1039" w:hanging="352"/>
        <w:spacing w:after="0" w:line="308"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 or failure to meet guidance given by us or any change in guidance given by us or in our guidance practices;</w:t>
      </w:r>
    </w:p>
    <w:p>
      <w:pPr>
        <w:spacing w:after="0" w:line="78" w:lineRule="exact"/>
        <w:rPr>
          <w:rFonts w:ascii="Arial" w:cs="Arial" w:eastAsia="Arial" w:hAnsi="Arial"/>
          <w:sz w:val="17"/>
          <w:szCs w:val="17"/>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57"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44"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157" w:lineRule="exact"/>
        <w:rPr>
          <w:rFonts w:ascii="Arial" w:cs="Arial" w:eastAsia="Arial" w:hAnsi="Arial"/>
          <w:sz w:val="18"/>
          <w:szCs w:val="18"/>
          <w:color w:val="auto"/>
        </w:rPr>
      </w:pPr>
    </w:p>
    <w:p>
      <w:pPr>
        <w:ind w:left="1980" w:right="1279" w:hanging="352"/>
        <w:spacing w:after="0" w:line="308" w:lineRule="auto"/>
        <w:tabs>
          <w:tab w:leader="none" w:pos="1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adverse consequences related to our multi-class capital structure, such as stock index providers excluding companies with multi-class capital structures from certain indices; and</w:t>
      </w:r>
    </w:p>
    <w:p>
      <w:pPr>
        <w:spacing w:after="0" w:line="65" w:lineRule="exact"/>
        <w:rPr>
          <w:rFonts w:ascii="Arial" w:cs="Arial" w:eastAsia="Arial" w:hAnsi="Arial"/>
          <w:sz w:val="17"/>
          <w:szCs w:val="17"/>
          <w:color w:val="auto"/>
        </w:rPr>
      </w:pPr>
    </w:p>
    <w:p>
      <w:pPr>
        <w:ind w:left="1980" w:hanging="352"/>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ectPr>
          <w:pgSz w:w="11900" w:h="16838" w:orient="portrait"/>
          <w:cols w:equalWidth="0" w:num="1">
            <w:col w:w="10139"/>
          </w:cols>
          <w:pgMar w:left="320" w:top="131" w:right="1440" w:bottom="1440" w:gutter="0" w:footer="0" w:header="0"/>
        </w:sect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 have 81,903,336 outstanding shares of Class A common stock (or 83,499,700 shares, if the underwriters exercise in full their option to purchase additional shares of Class A common stock) and 143,551,943 shares of Class A common stock that are authorized but unissued that would be issuable upon redemption or exchange of LLC Interests or exchange of shares of our Class B common stock.</w:t>
      </w:r>
    </w:p>
    <w:p>
      <w:pPr>
        <w:spacing w:after="0" w:line="6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We and each of our directors and executive officers and the Refinitiv Owners and Bank Stockholders that continue to own LLC Interests or shares of Class A common stock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 Class B common stock) during the period from the date of this prospectus continuing through the date 60 days after the date of this prospectus, except with the prior written consent of the representatives. 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or early release of such lock-up period, subject to applicable limitations imposed under federal securities laws. Sales of a substantial number of Class A common stock upon expiration of such lock-up period, the perception that such sales may occur, or early release of such lock-up period, could cause the market price of our shares of Class A common stock to fall or make it more difficult for you to sell your Class A common stock at a time and price that you deem appropriate. See “Shares Eligible for Future Sale.”</w:t>
      </w:r>
    </w:p>
    <w:p>
      <w:pPr>
        <w:spacing w:after="0" w:line="7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the expiration or waiver of any applicable lockup period and subject to Rule 144 limitations applicable to affiliates.</w:t>
      </w:r>
    </w:p>
    <w:p>
      <w:pPr>
        <w:spacing w:after="0" w:line="8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addition,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64" w:lineRule="exact"/>
        <w:rPr>
          <w:sz w:val="20"/>
          <w:szCs w:val="20"/>
          <w:color w:val="auto"/>
        </w:rPr>
      </w:pPr>
    </w:p>
    <w:p>
      <w:pPr>
        <w:ind w:left="1260" w:right="1019"/>
        <w:spacing w:after="0" w:line="231"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81"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trading volumes to materially decline.</w:t>
      </w:r>
    </w:p>
    <w:p>
      <w:pPr>
        <w:spacing w:after="0" w:line="173"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b w:val="1"/>
          <w:bCs w:val="1"/>
          <w:i w:val="1"/>
          <w:iCs w:val="1"/>
          <w:color w:val="auto"/>
        </w:rPr>
        <w:t>We intend to continue to pay regular dividends on our Class A common stock and Class B common stock, but our ability to do so may be limited.</w:t>
      </w:r>
    </w:p>
    <w:p>
      <w:pPr>
        <w:spacing w:after="0" w:line="7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80"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IPO and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89"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7" w:lineRule="exact"/>
        <w:rPr>
          <w:sz w:val="20"/>
          <w:szCs w:val="20"/>
          <w:color w:val="auto"/>
        </w:rPr>
      </w:pPr>
    </w:p>
    <w:p>
      <w:pPr>
        <w:ind w:left="1980" w:right="87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29" w:lineRule="exact"/>
        <w:rPr>
          <w:rFonts w:ascii="Arial" w:cs="Arial" w:eastAsia="Arial" w:hAnsi="Arial"/>
          <w:sz w:val="18"/>
          <w:szCs w:val="18"/>
          <w:color w:val="auto"/>
        </w:rPr>
      </w:pPr>
    </w:p>
    <w:p>
      <w:pPr>
        <w:ind w:left="1980" w:right="879" w:hanging="352"/>
        <w:spacing w:after="0" w:line="25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47" w:lineRule="exact"/>
        <w:rPr>
          <w:rFonts w:ascii="Arial" w:cs="Arial" w:eastAsia="Arial" w:hAnsi="Arial"/>
          <w:sz w:val="18"/>
          <w:szCs w:val="18"/>
          <w:color w:val="auto"/>
        </w:rPr>
      </w:pPr>
    </w:p>
    <w:p>
      <w:pPr>
        <w:ind w:left="1980" w:right="979" w:hanging="352"/>
        <w:spacing w:after="0" w:line="286"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59" w:hanging="352"/>
        <w:spacing w:after="0" w:line="261"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16"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1419" w:hanging="352"/>
        <w:spacing w:after="0" w:line="308"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78"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ind w:left="1980" w:right="839" w:hanging="352"/>
        <w:spacing w:after="0" w:line="271"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68"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6"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w:t>
      </w:r>
    </w:p>
    <w:p>
      <w:pPr>
        <w:sectPr>
          <w:pgSz w:w="11900" w:h="16838" w:orient="portrait"/>
          <w:cols w:equalWidth="0" w:num="1">
            <w:col w:w="10139"/>
          </w:cols>
          <w:pgMar w:left="320" w:top="131" w:right="1440" w:bottom="1440" w:gutter="0" w:footer="0" w:header="0"/>
        </w:sect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76" w:lineRule="exact"/>
        <w:rPr>
          <w:sz w:val="20"/>
          <w:szCs w:val="20"/>
          <w:color w:val="auto"/>
        </w:rPr>
      </w:pPr>
    </w:p>
    <w:p>
      <w:pPr>
        <w:ind w:left="1980" w:right="73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89"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75"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89" w:lineRule="exact"/>
        <w:rPr>
          <w:rFonts w:ascii="Arial" w:cs="Arial" w:eastAsia="Arial" w:hAnsi="Arial"/>
          <w:sz w:val="18"/>
          <w:szCs w:val="18"/>
          <w:color w:val="auto"/>
        </w:rPr>
      </w:pPr>
    </w:p>
    <w:p>
      <w:pPr>
        <w:jc w:val="both"/>
        <w:ind w:left="1980" w:right="1119" w:hanging="352"/>
        <w:spacing w:after="0" w:line="263"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We intend to continue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the IPO. We cannot predict if investors will find our Class A common stock less attractive because we rely on these exemptions, or if taking advantage of these exemptions will result in less active trading or more volatility in the market price of our Class A common stock.</w:t>
      </w:r>
    </w:p>
    <w:p>
      <w:pPr>
        <w:spacing w:after="0" w:line="173" w:lineRule="exact"/>
        <w:rPr>
          <w:sz w:val="20"/>
          <w:szCs w:val="20"/>
          <w:color w:val="auto"/>
        </w:rPr>
      </w:pPr>
    </w:p>
    <w:p>
      <w:pPr>
        <w:ind w:left="1260" w:right="1259"/>
        <w:spacing w:after="0" w:line="274"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53"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We are not currently required to make a formal assessment of the effectiveness of our internal control over financial reporting for purposes of the rules of the SEC implementing Section 404 of the Sarbanes-Oxley Act. We are required to comply with the SEC’s rules implementing Sections 302 and 906 of the Sarbanes-Oxley Act, which require management to certify financial and other information in our quarterly and annual reports and provide an annual management report on the effectiveness of control over financial reporting. Although we are required to disclose changes made in our internal controls and procedures on a quarterly basis, we are not required to make our first annual assessment of our internal control over financial reporting pursuant to Section 404 until our annual report on Form 10-K for the year ending December 31, 2020. As an emerging growth company, our independent registered public accounting firm will not be required to formally attest to the effectiveness of our internal control over financial reporting in our annual report on Form 10-K at the later of the year following our first annual report required to be filed with the SEC or the date on which we are no longer an emerging growth company. At such time, our independent registered public accounting firm may issue a report that is adverse in the event that in its opinion we have not maintained effective internal control over financial reporting based on criteria established in Internal Control — Integrated Framework (2013) issued by the Committee of Sponsoring Organizations of the Treadway Commission.</w:t>
      </w:r>
    </w:p>
    <w:p>
      <w:pPr>
        <w:spacing w:after="0" w:line="7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As a private company, we did not have any internal audit function. To comply with the requirements of being a public company, we have undertaken various actions, and will need to take additional actions, such as implementing new internal controls and procedures and hiring additional accounting or internal audit</w:t>
      </w:r>
    </w:p>
    <w:p>
      <w:pPr>
        <w:sectPr>
          <w:pgSz w:w="11900" w:h="16838" w:orient="portrait"/>
          <w:cols w:equalWidth="0" w:num="1">
            <w:col w:w="10139"/>
          </w:cols>
          <w:pgMar w:left="320" w:top="131" w:right="1440" w:bottom="1440" w:gutter="0" w:footer="0" w:header="0"/>
        </w:sect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management assessment and auditor attestation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71" w:lineRule="exact"/>
        <w:rPr>
          <w:sz w:val="20"/>
          <w:szCs w:val="20"/>
          <w:color w:val="auto"/>
        </w:rPr>
      </w:pPr>
    </w:p>
    <w:p>
      <w:pPr>
        <w:ind w:left="1260" w:right="659"/>
        <w:spacing w:after="0" w:line="231"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8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76"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prospectus under the headings “Prospectus Summary,” “Risk Factors” and “Dividend Policy,” are forward-looking statements. In addition, statements in this prospectus relating to the COVID-19 pandemic, the potential impacts of which remain inherently uncertain, are forward-looking statements.</w:t>
      </w:r>
    </w:p>
    <w:p>
      <w:pPr>
        <w:spacing w:after="0" w:line="7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contained in this prospectus under the headings “Prospectus Summary,” “Risk Factors” and “Dividend Policy,”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02" w:lineRule="exact"/>
        <w:rPr>
          <w:sz w:val="20"/>
          <w:szCs w:val="20"/>
          <w:color w:val="auto"/>
        </w:rPr>
      </w:pPr>
    </w:p>
    <w:p>
      <w:pPr>
        <w:ind w:left="1980" w:right="89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dependence on dealer clients, including those that are also current or former stockholders;</w:t>
      </w:r>
    </w:p>
    <w:p>
      <w:pPr>
        <w:spacing w:after="0" w:line="142" w:lineRule="exact"/>
        <w:rPr>
          <w:rFonts w:ascii="Arial" w:cs="Arial" w:eastAsia="Arial" w:hAnsi="Arial"/>
          <w:sz w:val="17"/>
          <w:szCs w:val="17"/>
          <w:color w:val="auto"/>
        </w:rPr>
      </w:pPr>
    </w:p>
    <w:p>
      <w:pPr>
        <w:ind w:left="1980" w:right="173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30" w:lineRule="exact"/>
        <w:rPr>
          <w:rFonts w:ascii="Arial" w:cs="Arial" w:eastAsia="Arial" w:hAnsi="Arial"/>
          <w:sz w:val="18"/>
          <w:szCs w:val="18"/>
          <w:color w:val="auto"/>
        </w:rPr>
      </w:pPr>
    </w:p>
    <w:p>
      <w:pPr>
        <w:ind w:left="1980" w:right="127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30"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the Revolving Credit Facility and certain Refinitiv indebtedness;</w:t>
      </w:r>
    </w:p>
    <w:p>
      <w:pPr>
        <w:spacing w:after="0" w:line="62" w:lineRule="exact"/>
        <w:rPr>
          <w:rFonts w:ascii="Arial" w:cs="Arial" w:eastAsia="Arial" w:hAnsi="Arial"/>
          <w:sz w:val="18"/>
          <w:szCs w:val="18"/>
          <w:color w:val="auto"/>
        </w:rPr>
      </w:pPr>
    </w:p>
    <w:p>
      <w:pPr>
        <w:ind w:left="1980" w:right="839" w:hanging="352"/>
        <w:spacing w:after="0" w:line="308"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dependence on distributions from TWM LLC to fund our expected dividend payments and to pay our taxes and expenses, including payments under the Tax Receivable Agreement;</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“Risk Factors.”</w:t>
      </w:r>
    </w:p>
    <w:p>
      <w:pPr>
        <w:spacing w:after="0" w:line="11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or incorporated by reference in this prospectus are not guarantees of future performance and our actual results of operations, financial condition or liquidity, and the development of the industry and markets in which we operate, may differ materially from the forward-looking statements contained or incorporated by reference in this prospectus. In addition, even if our results of operations, financial condition or liquidity, and events in the industry and markets in which we operate, are consistent with the forward-looking statements contained or incorporated by reference in this prospectus, they may not be predictive of results or developments in future periods.</w:t>
      </w:r>
    </w:p>
    <w:p>
      <w:pPr>
        <w:spacing w:after="0" w:line="70"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Any forward-looking statement speaks only as of the date of such statement. Except as required by law, we do not undertake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Pre-IPO Organization</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Prior to the completion of the IPO and the Reorganization Transactions described below, the Original LLC Owners were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IPO and Reorganization Transactions</w:t>
      </w:r>
    </w:p>
    <w:p>
      <w:pPr>
        <w:spacing w:after="0" w:line="108"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color w:val="auto"/>
        </w:rPr>
        <w:t>On April 8, 2019, we completed our IPO of 46,000,000 shares of Class A common stock at a public offering price of $27.00 per share, which included 6,000,000 shares of Class A common stock issued pursuant to the underwriters’ option to purchase additional shares of Class A common stock. We received $1,161.3 million in net proceeds, after deducting underwriting discounts and commissions, but before deducting offering expenses of $15.9 million, which we used to purchase 46,000,000 LLC Interests from certain of the Bank Stockholders (and the corresponding shares of common stock held by such Bank Stockholders were cancelled), at a purchase price per interest equal to the public offering price of $27.00, less the underwriting discounts and commissions payable thereon, collectively representing a 20.7% economic interest in TWM LLC.</w:t>
      </w:r>
    </w:p>
    <w:p>
      <w:pPr>
        <w:spacing w:after="0" w:line="8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Prior to the closing of the IPO, we consummated the Reorganization Transactions. In connection with the Reorganization Transactions, the following steps occurred:</w:t>
      </w:r>
    </w:p>
    <w:p>
      <w:pPr>
        <w:spacing w:after="0" w:line="143" w:lineRule="exact"/>
        <w:rPr>
          <w:sz w:val="20"/>
          <w:szCs w:val="20"/>
          <w:color w:val="auto"/>
        </w:rPr>
      </w:pPr>
    </w:p>
    <w:p>
      <w:pPr>
        <w:ind w:left="1980" w:right="719" w:hanging="352"/>
        <w:spacing w:after="0" w:line="259"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amended and restated the TWM LLC Agreement to, among other things, (i) provide for LLC Interests that are the single class of common membership interests in TWM LLC, (ii) exchange all of the existing membership interests in TWM LLC for LLC Interests and (iii) appoint us as the sole manager of TWM LLC;</w:t>
      </w:r>
    </w:p>
    <w:p>
      <w:pPr>
        <w:spacing w:after="0" w:line="146" w:lineRule="exact"/>
        <w:rPr>
          <w:rFonts w:ascii="Arial" w:cs="Arial" w:eastAsia="Arial" w:hAnsi="Arial"/>
          <w:sz w:val="18"/>
          <w:szCs w:val="18"/>
          <w:color w:val="auto"/>
        </w:rPr>
      </w:pPr>
    </w:p>
    <w:p>
      <w:pPr>
        <w:ind w:left="1980" w:right="759" w:hanging="352"/>
        <w:spacing w:after="0" w:line="25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among other things, provide for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have no economic interests in Tradeweb (where “economic interests” means the right to receive any dividends or distributions, whether cash or stock, in connection with common stock). These attributes are summarized in the following table:</w:t>
      </w:r>
    </w:p>
    <w:p>
      <w:pPr>
        <w:spacing w:after="0" w:line="120"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Economic</w:t>
            </w:r>
          </w:p>
        </w:tc>
      </w:tr>
      <w:tr>
        <w:trPr>
          <w:trHeight w:val="18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Rights</w:t>
            </w:r>
          </w:p>
        </w:tc>
      </w:tr>
      <w:tr>
        <w:trPr>
          <w:trHeight w:val="25"/>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538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7"/>
        </w:trPr>
        <w:tc>
          <w:tcPr>
            <w:tcW w:w="538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-659765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-659765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980" w:right="679"/>
        <w:spacing w:after="0" w:line="259"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46" w:lineRule="exact"/>
        <w:rPr>
          <w:sz w:val="20"/>
          <w:szCs w:val="20"/>
          <w:color w:val="auto"/>
        </w:rPr>
      </w:pPr>
    </w:p>
    <w:p>
      <w:pPr>
        <w:ind w:left="1980" w:right="719" w:hanging="352"/>
        <w:spacing w:after="0" w:line="263"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assumed sponsorship of the Option Plan and the PRSU Plan that were previously sponsored by TWM LLC. Accordingly, all options and PRSUs granted under such plans were converted into economically equivalent awards of Tradeweb;</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79" w:hanging="352"/>
        <w:spacing w:after="0" w:line="254"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issued an aggregate of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(we subsequently canceled 9,993,731 shares of such Class C common stock and 36,006,269 shares of such Class D common stock in connection with our purchase of LLC Interests from certain of the Bank Stockholders using the net proceeds of the IPO);</w:t>
      </w:r>
    </w:p>
    <w:p>
      <w:pPr>
        <w:spacing w:after="0" w:line="100"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received 96,933,192 shares of Class B common stock and we received 96,933,192 LLC Interests;</w:t>
      </w:r>
    </w:p>
    <w:p>
      <w:pPr>
        <w:spacing w:after="0" w:line="62"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Continuing LLC Owners continued to own the LLC Interests they received in exchange for their existing membership interests in TWM LLC and had no economic interests in Tradeweb despite their ownership of Class C common stock and/or Class D common stock, as the case may be; and</w:t>
      </w:r>
    </w:p>
    <w:p>
      <w:pPr>
        <w:spacing w:after="0" w:line="92" w:lineRule="exact"/>
        <w:rPr>
          <w:rFonts w:ascii="Arial" w:cs="Arial" w:eastAsia="Arial" w:hAnsi="Arial"/>
          <w:sz w:val="18"/>
          <w:szCs w:val="18"/>
          <w:color w:val="auto"/>
        </w:rPr>
      </w:pPr>
    </w:p>
    <w:p>
      <w:pPr>
        <w:ind w:left="1980" w:right="819" w:hanging="352"/>
        <w:spacing w:after="0" w:line="275" w:lineRule="auto"/>
        <w:tabs>
          <w:tab w:leader="none" w:pos="1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entered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the IPO and Reorganization Transactions</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and the IPO and the application of the net proceeds therefrom as described above:</w:t>
      </w:r>
    </w:p>
    <w:p>
      <w:pPr>
        <w:spacing w:after="0" w:line="76" w:lineRule="exact"/>
        <w:rPr>
          <w:sz w:val="20"/>
          <w:szCs w:val="20"/>
          <w:color w:val="auto"/>
        </w:rPr>
      </w:pPr>
    </w:p>
    <w:p>
      <w:pPr>
        <w:ind w:left="1980" w:right="699" w:hanging="352"/>
        <w:spacing w:after="0" w:line="259"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Tradeweb became a holding company whose principal assets consist of its equity interest in TWM LLC that it acquired from certain of the Bank Stockholders using the net proceeds from the IPO and the LLC Interests that it received as a result of the Refinitiv Contribution, and related deferred tax assets;</w:t>
      </w:r>
    </w:p>
    <w:p>
      <w:pPr>
        <w:spacing w:after="0" w:line="9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Tradeweb became the sole manager of TWM LLC and operates and controls all of the business and affairs of TWM LLC and its subsidiaries;</w:t>
      </w:r>
    </w:p>
    <w:p>
      <w:pPr>
        <w:spacing w:after="0" w:line="62" w:lineRule="exact"/>
        <w:rPr>
          <w:rFonts w:ascii="Arial" w:cs="Arial" w:eastAsia="Arial" w:hAnsi="Arial"/>
          <w:sz w:val="18"/>
          <w:szCs w:val="18"/>
          <w:color w:val="auto"/>
        </w:rPr>
      </w:pPr>
    </w:p>
    <w:p>
      <w:pPr>
        <w:ind w:left="1980" w:right="799" w:hanging="352"/>
        <w:spacing w:after="0" w:line="275"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TWM LLC Agreement requires that TWM LLC at all times maintain (i) a one-to-one ratio between the number of shares of Class A common stock and Class B common stock issued by us and the number of LLC Interests owned by us and (ii) a one-to-one ratio between the number of shares of Class C common stock and Class D common stock issued by us and the number of LLC Interests owned by the holders of such Class C common stock and Class D common stock;</w:t>
      </w:r>
    </w:p>
    <w:p>
      <w:pPr>
        <w:spacing w:after="0" w:line="81" w:lineRule="exact"/>
        <w:rPr>
          <w:rFonts w:ascii="Arial" w:cs="Arial" w:eastAsia="Arial" w:hAnsi="Arial"/>
          <w:sz w:val="17"/>
          <w:szCs w:val="17"/>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Tradeweb owned LLC Interests representing 64.3% of the economic interest in TWM LLC;</w:t>
      </w:r>
    </w:p>
    <w:p>
      <w:pPr>
        <w:spacing w:after="0" w:line="130" w:lineRule="exact"/>
        <w:rPr>
          <w:rFonts w:ascii="Arial" w:cs="Arial" w:eastAsia="Arial" w:hAnsi="Arial"/>
          <w:sz w:val="18"/>
          <w:szCs w:val="18"/>
          <w:color w:val="auto"/>
        </w:rPr>
      </w:pPr>
    </w:p>
    <w:p>
      <w:pPr>
        <w:ind w:left="1980" w:right="659" w:hanging="352"/>
        <w:spacing w:after="0" w:line="25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purchasers in the IPO (i) owned shares of Class A common stock representing (x) 2.7% of the combined voting power of all of Tradeweb’s common stock and (y) 32.2% of the economic interest in Tradeweb and (ii) through Tradeweb’s ownership of LLC Interests, indirectly held (applying the percentage in the preceding clause (i)(y) to Tradeweb’s percentage economic interest in TWM LLC) 20.7% of the economic interest in TWM LLC;</w:t>
      </w:r>
    </w:p>
    <w:p>
      <w:pPr>
        <w:spacing w:after="0" w:line="93" w:lineRule="exact"/>
        <w:rPr>
          <w:rFonts w:ascii="Arial" w:cs="Arial" w:eastAsia="Arial" w:hAnsi="Arial"/>
          <w:sz w:val="18"/>
          <w:szCs w:val="18"/>
          <w:color w:val="auto"/>
        </w:rPr>
      </w:pPr>
    </w:p>
    <w:p>
      <w:pPr>
        <w:jc w:val="both"/>
        <w:ind w:left="1980" w:right="859" w:hanging="352"/>
        <w:spacing w:after="0" w:line="259"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Refinitiv Owners collectively owned shares of Class B common stock and Class D common stock representing 69.8% of the combined voting power of all of Tradeweb’s common stock and shares of Class B common stock and LLC Interests, respectively, representing 54.0% of the total economic interest in TWM LLC;</w:t>
      </w:r>
    </w:p>
    <w:p>
      <w:pPr>
        <w:spacing w:after="0" w:line="78" w:lineRule="exact"/>
        <w:rPr>
          <w:rFonts w:ascii="Arial" w:cs="Arial" w:eastAsia="Arial" w:hAnsi="Arial"/>
          <w:sz w:val="18"/>
          <w:szCs w:val="18"/>
          <w:color w:val="auto"/>
        </w:rPr>
      </w:pPr>
    </w:p>
    <w:p>
      <w:pPr>
        <w:ind w:left="1980" w:right="959" w:hanging="352"/>
        <w:spacing w:after="0" w:line="259"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Other LLC Owners owned (i) LLC Interests representing 25.3% of the economic interest in TWM LLC and (ii) through their ownership of shares of Class C common stock and/or Class D common stock, as the case may be, 27.5% of the combined voting power of all of Tradeweb’s common stock;</w:t>
      </w:r>
    </w:p>
    <w:p>
      <w:pPr>
        <w:spacing w:after="0" w:line="92" w:lineRule="exact"/>
        <w:rPr>
          <w:rFonts w:ascii="Arial" w:cs="Arial" w:eastAsia="Arial" w:hAnsi="Arial"/>
          <w:sz w:val="18"/>
          <w:szCs w:val="18"/>
          <w:color w:val="auto"/>
        </w:rPr>
      </w:pPr>
    </w:p>
    <w:p>
      <w:pPr>
        <w:jc w:val="both"/>
        <w:ind w:left="1980" w:right="1039" w:hanging="352"/>
        <w:spacing w:after="0" w:line="308" w:lineRule="auto"/>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LLC Interests held by the Continuing LLC Owners are redeemable in accordance with the terms of the TWM LLC Agreement, at the election of such holders, for newly issued shares of</w:t>
      </w:r>
    </w:p>
    <w:p>
      <w:pPr>
        <w:sectPr>
          <w:pgSz w:w="11900" w:h="16838" w:orient="portrait"/>
          <w:cols w:equalWidth="0" w:num="1">
            <w:col w:w="10139"/>
          </w:cols>
          <w:pgMar w:left="320" w:top="131"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679"/>
        <w:spacing w:after="0" w:line="252" w:lineRule="auto"/>
        <w:rPr>
          <w:sz w:val="20"/>
          <w:szCs w:val="20"/>
          <w:color w:val="auto"/>
        </w:rPr>
      </w:pPr>
      <w:r>
        <w:rPr>
          <w:rFonts w:ascii="Arial" w:cs="Arial" w:eastAsia="Arial" w:hAnsi="Arial"/>
          <w:sz w:val="18"/>
          <w:szCs w:val="18"/>
          <w:color w:val="auto"/>
        </w:rPr>
        <w:t>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72" w:lineRule="exact"/>
        <w:rPr>
          <w:sz w:val="20"/>
          <w:szCs w:val="20"/>
          <w:color w:val="auto"/>
        </w:rPr>
      </w:pPr>
    </w:p>
    <w:p>
      <w:pPr>
        <w:ind w:left="1980" w:right="679" w:hanging="352"/>
        <w:spacing w:after="0" w:line="269"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event of such election by a Continuing LLC Owner, we may, at our option, effect a direct exchange of Class A common stock or Class B common stock, as the case may be, for such LLC Interests of such Continuing LLC Owner in lieu of such redemption. In addition, Tradeweb’s board of directors, which includes directors who hold LLC Interests or are affiliated with holders of LLC Interests and may include such directors in the future, may, at its option, instead of the foregoing redemptions or exchanges of LLC Interests, cause the Company to make a cash payment equal to a volume weighted average market price of one share of Class A common stock for each LLC Interest redeemed or exchanged (subject to customary adjustments, including for stock splits, stock dividends and reclassifications) in accordance with the terms of the TWM LLC Agreement. See “Certain Relationships and Related Party Transactions — Related Party Transactions Entered Into in Connection With the IPO — TWM LLC Agreement;”</w:t>
      </w:r>
    </w:p>
    <w:p>
      <w:pPr>
        <w:spacing w:after="0" w:line="141" w:lineRule="exact"/>
        <w:rPr>
          <w:rFonts w:ascii="Arial" w:cs="Arial" w:eastAsia="Arial" w:hAnsi="Arial"/>
          <w:sz w:val="17"/>
          <w:szCs w:val="17"/>
          <w:color w:val="auto"/>
        </w:rPr>
      </w:pPr>
    </w:p>
    <w:p>
      <w:pPr>
        <w:ind w:left="1980" w:right="67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146" w:lineRule="exact"/>
        <w:rPr>
          <w:rFonts w:ascii="Arial" w:cs="Arial" w:eastAsia="Arial" w:hAnsi="Arial"/>
          <w:sz w:val="18"/>
          <w:szCs w:val="18"/>
          <w:color w:val="auto"/>
        </w:rPr>
      </w:pPr>
    </w:p>
    <w:p>
      <w:pPr>
        <w:ind w:left="1980" w:right="679" w:hanging="352"/>
        <w:spacing w:after="0" w:line="269"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7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As the sole manager of TWM LLC, we operate and control all of the business and affairs of TWM LLC and, through TWM LLC and its subsidiaries, conduct our business. As a result of this control, and because we have a substantial financial interest in TWM LLC, we consolidate TWM LLC in our consolidated financial statements and report a non-controlling interest related to the LLC Interests held by the Continuing LLC Owners on our consolidated financial statements. Tradeweb has a board of directors and executive officers, but has no employees. The functions of all of our employees reside at TWM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estimate that the net proceeds to us from our sale of 11,161,083 shares of Class A common stock in this offering will be approximately $544.6 million, and after deducting underwriting discounts and commissions, but before deducting estimated offering expenses payable by us. If the underwriters exercise in full their option to purchase additional shares of Class A common stock, we expect to receive approximately $626.3 million of net proceeds.</w:t>
      </w:r>
    </w:p>
    <w:p>
      <w:pPr>
        <w:spacing w:after="0" w:line="80"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We estimate that the offering expenses will be approximately $3.1 million. All of such offering expenses will be paid for or otherwise borne by TWM LLC using cash on hand.</w:t>
      </w:r>
    </w:p>
    <w:p>
      <w:pPr>
        <w:spacing w:after="0" w:line="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intend to use the net proceeds to us from this offering to purchase (i) 10,642,463 issued and outstanding LLC Interests (or 12,238,827 LLC Interests, if the underwriters exercise in full their option to purchase additional shares of Class A common stock) from the Selling LLC Owners (and cancel the corresponding shares of common stock held by such holders) and (ii) 518,620 issued and outstanding shares of Class A common stock (or 596,418 shares of Class A common stock, if the underwriters exercise in full their option to purchase additional shares of Class A common stock) from certain of our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See “Certain Relationships and Related Party Transactions — Transactions With Certain Original LLC Owners.” Certain of the Bank Stockholders are affiliates of the underwriters. As a result of the purchases of LLC Interests (together with the cancellation of the corresponding shares of common stock) described above, the number of outstanding shares of Class C common stock and Class D common stock, as the case may be, will be reduced. Because we will hold the LLC Interests that we purchase (and thereby increase our ownership position in TWM LLC), the number of outstanding LLC Interests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w:t>
      </w:r>
    </w:p>
    <w:p>
      <w:pPr>
        <w:spacing w:after="0" w:line="69"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IPO and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7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6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See “Risk Factors — Risks Relating to the Company and Our Organizational Structure — Our principal asset is our equity interest in TWM LLC, and, accordingly, we depend on distributions from TWM LLC to pay our taxes and expenses, including payments under the Tax Receivable Agreement” and “Risk Factors</w:t>
      </w:r>
    </w:p>
    <w:p>
      <w:pPr>
        <w:ind w:left="1260" w:right="1119"/>
        <w:spacing w:after="0" w:line="255" w:lineRule="auto"/>
        <w:rPr>
          <w:sz w:val="20"/>
          <w:szCs w:val="20"/>
          <w:color w:val="auto"/>
        </w:rPr>
      </w:pPr>
      <w:r>
        <w:rPr>
          <w:rFonts w:ascii="Arial" w:cs="Arial" w:eastAsia="Arial" w:hAnsi="Arial"/>
          <w:sz w:val="18"/>
          <w:szCs w:val="18"/>
          <w:color w:val="auto"/>
        </w:rPr>
        <w:t>— Risks Relating to Ownership of our Class A Common Stock — We intend to continue to pay regular dividends on our Class A common stock and Class B common stock, but our ability to do so may be limited.”</w:t>
      </w:r>
    </w:p>
    <w:p>
      <w:pPr>
        <w:spacing w:after="0" w:line="82"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In June, September and December 2019 and in March 2020, Tradeweb Markets Inc. paid quarterly cash dividends to the holders of Class A common stock and Class B common stock in aggregate amounts of $11.4 million, $11.4 million, $13.1 million and $13.4 million, respectively.</w:t>
      </w:r>
    </w:p>
    <w:p>
      <w:pPr>
        <w:spacing w:after="0" w:line="76"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March and April 2019, TWM LLC made pre-IPO cash distributions to the Original LLC Owners in aggregate amounts of $20.0 million and $100.0 million, respectively. In May, September and December 2019, TWM LLC made quarterly cash distributions to its equityholders, including Tradeweb Markets Inc., in aggregate amounts of $33.4 million, $33.0 million and $45.8 million, respectively. For the first quarter of 2020, no cash distribution was made by TWM LLC to its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following table sets forth our cash and cash equivalents and total capitalization as of December 31, 2019:</w:t>
      </w:r>
    </w:p>
    <w:p>
      <w:pPr>
        <w:spacing w:after="0" w:line="49" w:lineRule="exact"/>
        <w:rPr>
          <w:sz w:val="20"/>
          <w:szCs w:val="20"/>
          <w:color w:val="auto"/>
        </w:rPr>
      </w:pPr>
    </w:p>
    <w:p>
      <w:pPr>
        <w:ind w:left="1980" w:hanging="352"/>
        <w:spacing w:after="0"/>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pro forma basis to give effect to the Net Exercise and this offering after (i) deducting the estimated underwriting discounts and commissions and estimated offering expenses payable by us and (ii) the application of the proceeds from this offering, each as described under “Use of Proceeds.”</w:t>
      </w:r>
    </w:p>
    <w:p>
      <w:pPr>
        <w:spacing w:after="0" w:line="7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For more information, please see “Use of Proceeds,” “Dividend Policy” and “Unaudited Pro Forma Consolidated Financial Information.” You should read this information in conjunction with “Management’s Discussion and Analysis of Financial Condition and Results of Operations ” and our audited consolidated financial statements and related notes thereto appearing in the 2019 Form 10-K, incorporated by reference in this prospectus.</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96"/>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6"/>
        </w:trPr>
        <w:tc>
          <w:tcPr>
            <w:tcW w:w="5940" w:type="dxa"/>
            <w:vAlign w:val="bottom"/>
            <w:tcBorders>
              <w:top w:val="single" w:sz="8" w:color="auto"/>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6"/>
                <w:szCs w:val="26"/>
                <w:color w:val="auto"/>
                <w:vertAlign w:val="superscript"/>
              </w:rPr>
              <w:t>(1)</w:t>
            </w: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460,711</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457,658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gridSpan w:val="3"/>
            <w:vMerge w:val="restart"/>
          </w:tcPr>
          <w:p>
            <w:pPr>
              <w:spacing w:after="0" w:line="263"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Borders>
              <w:top w:val="single" w:sz="8" w:color="CCEEFF"/>
              <w:right w:val="single" w:sz="8" w:color="CCEEFF"/>
            </w:tcBorders>
            <w:gridSpan w:val="3"/>
            <w:shd w:val="clear" w:color="auto" w:fill="CCEEFF"/>
          </w:tcPr>
          <w:p>
            <w:pPr>
              <w:spacing w:after="0" w:line="236"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6"/>
                <w:szCs w:val="26"/>
                <w:color w:val="auto"/>
                <w:vertAlign w:val="superscript"/>
              </w:rPr>
              <w:t>(3)</w:t>
            </w: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gridSpan w:val="3"/>
          </w:tcPr>
          <w:p>
            <w:pPr>
              <w:ind w:left="180"/>
              <w:spacing w:after="0"/>
              <w:rPr>
                <w:sz w:val="20"/>
                <w:szCs w:val="20"/>
                <w:color w:val="auto"/>
              </w:rPr>
            </w:pPr>
            <w:r>
              <w:rPr>
                <w:rFonts w:ascii="Arial" w:cs="Arial" w:eastAsia="Arial" w:hAnsi="Arial"/>
                <w:sz w:val="18"/>
                <w:szCs w:val="18"/>
                <w:color w:val="auto"/>
                <w:w w:val="97"/>
              </w:rPr>
              <w:t>Class A common stock, par value $0.00001 per share; 1,000,000,000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authorized; 66,408,328 issued and outstanding, actual, and 77,646,428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 pro forma</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B common stock, par value $0.00001 per share; 450,000,000 shares</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authorized; 96,933,192 shares issued and outstanding, actual and pro</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forma</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60" w:type="dxa"/>
            <w:vAlign w:val="bottom"/>
            <w:gridSpan w:val="3"/>
          </w:tcPr>
          <w:p>
            <w:pPr>
              <w:ind w:left="180"/>
              <w:spacing w:after="0"/>
              <w:rPr>
                <w:sz w:val="20"/>
                <w:szCs w:val="20"/>
                <w:color w:val="auto"/>
              </w:rPr>
            </w:pPr>
            <w:r>
              <w:rPr>
                <w:rFonts w:ascii="Arial" w:cs="Arial" w:eastAsia="Arial" w:hAnsi="Arial"/>
                <w:sz w:val="18"/>
                <w:szCs w:val="18"/>
                <w:color w:val="auto"/>
                <w:w w:val="99"/>
              </w:rPr>
              <w:t>Class C common stock, par value $0.00001 per share; 350,000,000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authorized; 8,328,983 shares issued and outstanding, actual,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8,928,983 shares issued and outstanding, pro forma</w:t>
            </w:r>
          </w:p>
        </w:tc>
        <w:tc>
          <w:tcPr>
            <w:tcW w:w="100" w:type="dxa"/>
            <w:vAlign w:val="bottom"/>
          </w:tcPr>
          <w:p>
            <w:pPr>
              <w:spacing w:after="0"/>
              <w:rPr>
                <w:sz w:val="20"/>
                <w:szCs w:val="20"/>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Class D common stock, par value $0.00001 per share; 300,000,000 shares</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authorized; 50,853,172 shares issued and outstanding, actual, and</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39,610,709 shares issued and outstanding, pro forma</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3,329,386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3,606,019</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56"/>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47,833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 attributable to Tradeweb Markets Inc.</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3,378,588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3,655,221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1,214,157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994,396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4,592,745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4,649,617</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4,592,745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4,649,617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-788035</wp:posOffset>
            </wp:positionV>
            <wp:extent cx="5212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-1104900</wp:posOffset>
            </wp:positionV>
            <wp:extent cx="52120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-3145155</wp:posOffset>
            </wp:positionV>
            <wp:extent cx="5212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-3496945</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-3496945</wp:posOffset>
            </wp:positionV>
            <wp:extent cx="120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ind w:left="1620" w:right="879" w:hanging="352"/>
        <w:spacing w:after="0" w:line="263"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Historical and pro forma cash and cash equivalents, total equity and total capitalization do not reflect the cash dividend of $0.08 per share paid to holders of Class A common stock and Class B common stock on March 16, 2020. See “Dividend Policy.”</w:t>
      </w:r>
    </w:p>
    <w:p>
      <w:pPr>
        <w:spacing w:after="0" w:line="62" w:lineRule="exact"/>
        <w:rPr>
          <w:rFonts w:ascii="Arial" w:cs="Arial" w:eastAsia="Arial" w:hAnsi="Arial"/>
          <w:sz w:val="18"/>
          <w:szCs w:val="18"/>
          <w:color w:val="auto"/>
        </w:rPr>
      </w:pPr>
    </w:p>
    <w:p>
      <w:pPr>
        <w:ind w:left="1620" w:right="939" w:hanging="352"/>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December 31, 2019, we had $500.0 million of availability under the Revolving Credit Facility and no letters of credit outstanding.</w:t>
      </w:r>
    </w:p>
    <w:p>
      <w:pPr>
        <w:spacing w:after="0" w:line="35"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March 31, 2020, we had 70,670,440 shares of Class A common stock issued and outstanding, 96,933,192 shares of Class B common stock issued and outstanding, 7,389,983 shares of Class C common stock issued and outstanding and 49,871,231 shares of Class D common stock issued and outstanding. For information regarding shares outstanding as of March 31, 2020, after giving effect to the Net Exercise and the completion of this offering and the application of the net proceeds therefrom, see “Prospectus Summary — The Offering.”</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The following unaudited pro forma consolidated statement of income for the year ended December 31, 2019 gives effect to the Transactions as if the same had occurred on January 1, 2019. The unaudited</w:t>
      </w:r>
    </w:p>
    <w:p>
      <w:pPr>
        <w:ind w:left="1260" w:right="699"/>
        <w:spacing w:after="0" w:line="267" w:lineRule="auto"/>
        <w:rPr>
          <w:sz w:val="20"/>
          <w:szCs w:val="20"/>
          <w:color w:val="auto"/>
        </w:rPr>
      </w:pPr>
      <w:r>
        <w:rPr>
          <w:rFonts w:ascii="Arial" w:cs="Arial" w:eastAsia="Arial" w:hAnsi="Arial"/>
          <w:sz w:val="17"/>
          <w:szCs w:val="17"/>
          <w:color w:val="auto"/>
        </w:rPr>
        <w:t>pro forma consolidated statement of financial condition as of December 31, 2019 gives effect to this offering as if the same had occurred on December 31, 2019. Tradeweb Markets LLC is the predecessor of the issuer,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 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the predecessor of Tradeweb Markets Inc. for financial reporting purposes,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7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2019 from the consolidated financial statements of Tradeweb Markets Inc. incorporated by reference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elsewhere herein and “Management’s Discussion and Analysis of Financial Condition and Results of Operations” and our consolidated financial statements and related notes thereto appearing in the 2019 Form 10-K, incorporated by reference in this prospectus.</w:t>
      </w:r>
    </w:p>
    <w:p>
      <w:pPr>
        <w:spacing w:after="0" w:line="77"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pro forma adjustments related to the IPO and Reorganization Transactions, which we refer to as the “IPO and Reorganization Adjustments,” are described in the notes to the unaudited pro forma consolidated financial information, and principally include the following:</w:t>
      </w:r>
    </w:p>
    <w:p>
      <w:pPr>
        <w:spacing w:after="0" w:line="157" w:lineRule="exact"/>
        <w:rPr>
          <w:sz w:val="20"/>
          <w:szCs w:val="20"/>
          <w:color w:val="auto"/>
        </w:rPr>
      </w:pPr>
    </w:p>
    <w:p>
      <w:pPr>
        <w:ind w:left="1980" w:right="859" w:hanging="352"/>
        <w:spacing w:after="0" w:line="274" w:lineRule="auto"/>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are the single class of common membership interests in TWM LLC,</w:t>
      </w:r>
    </w:p>
    <w:p>
      <w:pPr>
        <w:ind w:left="2280" w:hanging="292"/>
        <w:spacing w:after="0"/>
        <w:tabs>
          <w:tab w:leader="none" w:pos="2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exchange all of the existing membership interests in TWM LLC for LLC Interests and</w:t>
      </w:r>
    </w:p>
    <w:p>
      <w:pPr>
        <w:spacing w:after="0" w:line="9" w:lineRule="exact"/>
        <w:rPr>
          <w:rFonts w:ascii="Arial" w:cs="Arial" w:eastAsia="Arial" w:hAnsi="Arial"/>
          <w:sz w:val="18"/>
          <w:szCs w:val="18"/>
          <w:color w:val="auto"/>
        </w:rPr>
      </w:pPr>
    </w:p>
    <w:p>
      <w:pPr>
        <w:ind w:left="2320" w:hanging="332"/>
        <w:spacing w:after="0"/>
        <w:tabs>
          <w:tab w:leader="none" w:pos="2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appoint Tradeweb as the sole manager of TWM LLC;</w:t>
      </w:r>
    </w:p>
    <w:p>
      <w:pPr>
        <w:spacing w:after="0" w:line="170" w:lineRule="exact"/>
        <w:rPr>
          <w:rFonts w:ascii="Arial" w:cs="Arial" w:eastAsia="Arial" w:hAnsi="Arial"/>
          <w:sz w:val="18"/>
          <w:szCs w:val="18"/>
          <w:color w:val="auto"/>
        </w:rPr>
      </w:pPr>
    </w:p>
    <w:p>
      <w:pPr>
        <w:ind w:left="1980" w:hanging="352"/>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ind w:left="1980" w:right="699" w:firstLine="8"/>
        <w:spacing w:after="0" w:line="253" w:lineRule="auto"/>
        <w:tabs>
          <w:tab w:leader="none" w:pos="2209"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provide for Class A common stock, Class B common stock, Class C common stock and Class D common stock and (ii) issue shares of Class C common stock and/or Class D common stock to the Original LLC Owners that received LLC Interests, on a one-to-one basis with the number of LLC Interests they owned immediately following the amendment and restatement of the TWM LLC Agreement for nominal consideration;</w:t>
      </w:r>
    </w:p>
    <w:p>
      <w:pPr>
        <w:spacing w:after="0" w:line="150"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of 96,933,192 shares of Class B common stock by the Refinitiv Direct Owner and 96,933,192 LLC Interests by Tradeweb as a result of the Refinitiv Contribution;</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provision for federal and state income taxes of Tradeweb as a taxable corporation at an effective rate of 25.5% for the year ended December 31, 2019;</w:t>
      </w:r>
    </w:p>
    <w:p>
      <w:pPr>
        <w:spacing w:after="0" w:line="129"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issuance of shares of our Class A common stock to the purchasers in the IPO in exchange for net proceeds of approximately $1,161.3 million, after deducting underwriting discounts and commissions but before deducting offering expenses;</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hanging="352"/>
        <w:spacing w:after="0" w:line="259"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the IPO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146" w:lineRule="exact"/>
        <w:rPr>
          <w:rFonts w:ascii="Arial" w:cs="Arial" w:eastAsia="Arial" w:hAnsi="Arial"/>
          <w:sz w:val="18"/>
          <w:szCs w:val="18"/>
          <w:color w:val="auto"/>
        </w:rPr>
      </w:pPr>
    </w:p>
    <w:p>
      <w:pPr>
        <w:ind w:left="1980" w:right="699" w:hanging="352"/>
        <w:spacing w:after="0" w:line="25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effects of the Tax Receivable Agreement that provides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including with the net proceeds from the IPO and this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payment of fees and expenses related to the IPO.</w:t>
      </w:r>
    </w:p>
    <w:p>
      <w:pPr>
        <w:spacing w:after="0" w:line="117"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pro forma adjustments related to the October 2019 follow-on offering, which we refer to as the “2019 Offering Adjustments,” are described in the notes to the unaudited pro forma consolidated financial information, and principally include the following:</w:t>
      </w:r>
    </w:p>
    <w:p>
      <w:pPr>
        <w:spacing w:after="0" w:line="143" w:lineRule="exact"/>
        <w:rPr>
          <w:sz w:val="20"/>
          <w:szCs w:val="20"/>
          <w:color w:val="auto"/>
        </w:rPr>
      </w:pPr>
    </w:p>
    <w:p>
      <w:pPr>
        <w:ind w:left="1980" w:right="679" w:hanging="352"/>
        <w:spacing w:after="0" w:line="259"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net exercise by certain of our executive officers immediately prior to the pricing of the October 2019 follow-on offering of vested options and the issuance of Class A common stock upon such net exercise, which shares of Class A common stock were purchased by us with the net proceeds of the October 2019 follow-on offering;</w:t>
      </w:r>
    </w:p>
    <w:p>
      <w:pPr>
        <w:spacing w:after="0" w:line="132" w:lineRule="exact"/>
        <w:rPr>
          <w:rFonts w:ascii="Arial" w:cs="Arial" w:eastAsia="Arial" w:hAnsi="Arial"/>
          <w:sz w:val="18"/>
          <w:szCs w:val="18"/>
          <w:color w:val="auto"/>
        </w:rPr>
      </w:pPr>
    </w:p>
    <w:p>
      <w:pPr>
        <w:ind w:left="1980" w:right="859" w:hanging="352"/>
        <w:spacing w:after="0" w:line="263"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the purchasers in the October 2019 follow-on offering, in exchange for net proceeds of approximately $810.0 million, after deducting underwriting discounts and commissions but before deducting offering expenses;</w:t>
      </w:r>
    </w:p>
    <w:p>
      <w:pPr>
        <w:spacing w:after="0" w:line="143" w:lineRule="exact"/>
        <w:rPr>
          <w:rFonts w:ascii="Arial" w:cs="Arial" w:eastAsia="Arial" w:hAnsi="Arial"/>
          <w:sz w:val="18"/>
          <w:szCs w:val="18"/>
          <w:color w:val="auto"/>
        </w:rPr>
      </w:pPr>
    </w:p>
    <w:p>
      <w:pPr>
        <w:ind w:left="1980" w:right="679" w:hanging="352"/>
        <w:spacing w:after="0" w:line="257"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application of all the net proceeds from the October 2019 follow-on offering to purchase issued and outstanding LLC Interests from certain of the Selling LLC Owners and issued and outstanding shares of Class A common stock from certain of our executive officers following the Net Exercise, at a purchase price per interest and share equal to the public offering price of Class A common stock, less the underwriting discounts and commissions payable thereon;</w:t>
      </w:r>
    </w:p>
    <w:p>
      <w:pPr>
        <w:spacing w:after="0" w:line="133" w:lineRule="exact"/>
        <w:rPr>
          <w:rFonts w:ascii="Arial" w:cs="Arial" w:eastAsia="Arial" w:hAnsi="Arial"/>
          <w:sz w:val="18"/>
          <w:szCs w:val="18"/>
          <w:color w:val="auto"/>
        </w:rPr>
      </w:pPr>
    </w:p>
    <w:p>
      <w:pPr>
        <w:ind w:left="1980" w:hanging="352"/>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payment of fees and expenses related to the October 2019 follow-on offering.</w:t>
      </w:r>
    </w:p>
    <w:p>
      <w:pPr>
        <w:spacing w:after="0" w:line="117"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30" w:lineRule="exact"/>
        <w:rPr>
          <w:sz w:val="20"/>
          <w:szCs w:val="20"/>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Net Exercise;</w:t>
      </w:r>
    </w:p>
    <w:p>
      <w:pPr>
        <w:spacing w:after="0" w:line="184"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the purchasers in this offering, in exchange for net proceeds of approximately $544.6 million, after deducting underwriting discounts and commissions but before deducting offering expenses;</w:t>
      </w:r>
    </w:p>
    <w:p>
      <w:pPr>
        <w:spacing w:after="0" w:line="129" w:lineRule="exact"/>
        <w:rPr>
          <w:rFonts w:ascii="Arial" w:cs="Arial" w:eastAsia="Arial" w:hAnsi="Arial"/>
          <w:sz w:val="18"/>
          <w:szCs w:val="18"/>
          <w:color w:val="auto"/>
        </w:rPr>
      </w:pPr>
    </w:p>
    <w:p>
      <w:pPr>
        <w:ind w:left="1980" w:right="839" w:hanging="352"/>
        <w:spacing w:after="0" w:line="257" w:lineRule="auto"/>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application of all the net proceeds from this offering to purchase issued and outstanding LLC Interests from the Selling LLC Owners and issued and outstanding shares of Class A common stock from certain of our executive officers following the Net Exercise, as applicable, at a purchase price per interest and share equal to the public offering price of Class A common stock, less the underwriting discounts and commissions payable thereon;</w:t>
      </w:r>
    </w:p>
    <w:p>
      <w:pPr>
        <w:spacing w:after="0" w:line="147"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related effects of the Tax Receivable Agreement;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Except as otherwise indicated, the unaudited pro forma consolidated financial information presented assumes no exercise by the underwriters of their option to purchase additional shares of Class A common stock. In addition, the unaudited pro forma consolidated information presented does not give effect to exchanges of LLC Interests or other equity activity after December 31, 2019, other than such equity activity expected to be completed in connection with this offering.</w:t>
      </w:r>
    </w:p>
    <w:p>
      <w:pPr>
        <w:spacing w:after="0" w:line="80"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refer to the transactions related to the IPO and Reorganization Adjustments, the 2019 Offering Adjustments and the Offering Adjustments collectively as the “Transactions.”</w:t>
      </w:r>
    </w:p>
    <w:p>
      <w:pPr>
        <w:spacing w:after="0" w:line="62"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As a public company, we have started, and will continue, to implement additional procedures and processes for the purpose of addressing the standards and requirements applicable to public companies. We incur additional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7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herein and “Management’s Discussion and Analysis of Financial Condition and Results of Operations” and the consolidated financial statements and related notes thereto appearing in the 2019 Form 10-K,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459"/>
        <w:spacing w:after="0" w:line="221" w:lineRule="auto"/>
        <w:rPr>
          <w:sz w:val="20"/>
          <w:szCs w:val="20"/>
          <w:color w:val="auto"/>
        </w:rPr>
      </w:pPr>
      <w:r>
        <w:rPr>
          <w:rFonts w:ascii="Arial" w:cs="Arial" w:eastAsia="Arial" w:hAnsi="Arial"/>
          <w:sz w:val="18"/>
          <w:szCs w:val="18"/>
          <w:b w:val="1"/>
          <w:bCs w:val="1"/>
          <w:color w:val="auto"/>
        </w:rPr>
        <w:t>Unaudited Pro Forma Consolidated Statement of Financial Condition</w:t>
      </w:r>
    </w:p>
    <w:p>
      <w:pPr>
        <w:jc w:val="center"/>
        <w:ind w:right="-459"/>
        <w:spacing w:after="0" w:line="219" w:lineRule="auto"/>
        <w:rPr>
          <w:sz w:val="20"/>
          <w:szCs w:val="20"/>
          <w:color w:val="auto"/>
        </w:rPr>
      </w:pPr>
      <w:r>
        <w:rPr>
          <w:rFonts w:ascii="Arial" w:cs="Arial" w:eastAsia="Arial" w:hAnsi="Arial"/>
          <w:sz w:val="18"/>
          <w:szCs w:val="18"/>
          <w:b w:val="1"/>
          <w:bCs w:val="1"/>
          <w:color w:val="auto"/>
        </w:rPr>
        <w:t>as of December 31, 2019</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Tradeweb</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Tradeweb</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rPr>
              <w:t>Markets</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Inc. and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Inc. and</w:t>
            </w: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Subsidiaries</w:t>
            </w:r>
          </w:p>
        </w:tc>
        <w:tc>
          <w:tcPr>
            <w:tcW w:w="1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Subsidiaries</w:t>
            </w:r>
          </w:p>
        </w:tc>
        <w:tc>
          <w:tcPr>
            <w:tcW w:w="0" w:type="dxa"/>
            <w:vAlign w:val="bottom"/>
          </w:tcPr>
          <w:p>
            <w:pPr>
              <w:spacing w:after="0"/>
              <w:rPr>
                <w:sz w:val="1"/>
                <w:szCs w:val="1"/>
                <w:color w:val="auto"/>
              </w:rPr>
            </w:pPr>
          </w:p>
        </w:tc>
      </w:tr>
      <w:tr>
        <w:trPr>
          <w:trHeight w:val="183"/>
        </w:trPr>
        <w:tc>
          <w:tcPr>
            <w:tcW w:w="6780" w:type="dxa"/>
            <w:vAlign w:val="bottom"/>
            <w:tcBorders>
              <w:top w:val="single" w:sz="8" w:color="CCEEFF"/>
            </w:tcBorders>
            <w:shd w:val="clear" w:color="auto" w:fill="CCEEFF"/>
          </w:tcPr>
          <w:p>
            <w:pPr>
              <w:ind w:left="3140"/>
              <w:spacing w:after="0" w:line="183" w:lineRule="exact"/>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460,711</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6"/>
                <w:szCs w:val="16"/>
                <w:color w:val="auto"/>
              </w:rPr>
              <w:t>(3,053)</w:t>
            </w:r>
            <w:r>
              <w:rPr>
                <w:rFonts w:ascii="Arial" w:cs="Arial" w:eastAsia="Arial" w:hAnsi="Arial"/>
                <w:sz w:val="23"/>
                <w:szCs w:val="23"/>
                <w:color w:val="auto"/>
                <w:vertAlign w:val="superscript"/>
              </w:rPr>
              <w:t>(1)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457,658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Receivable from brokers and dealers and clearing organizations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30,641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Accounts receivable, net of allowance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92,814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92,814</w:t>
            </w:r>
          </w:p>
        </w:tc>
        <w:tc>
          <w:tcPr>
            <w:tcW w:w="0" w:type="dxa"/>
            <w:vAlign w:val="bottom"/>
          </w:tcPr>
          <w:p>
            <w:pPr>
              <w:spacing w:after="0"/>
              <w:rPr>
                <w:sz w:val="1"/>
                <w:szCs w:val="1"/>
                <w:color w:val="auto"/>
              </w:rPr>
            </w:pPr>
          </w:p>
        </w:tc>
      </w:tr>
      <w:tr>
        <w:trPr>
          <w:trHeight w:val="175"/>
        </w:trPr>
        <w:tc>
          <w:tcPr>
            <w:tcW w:w="67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97"/>
              </w:rPr>
              <w:t>Furniture, equipment, purchased software and leasehold improvements, net of accumulated</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40,405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40,405</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7"/>
                <w:szCs w:val="17"/>
                <w:color w:val="auto"/>
              </w:rPr>
              <w:t>Right-of-use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24,504</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Software development costs, net of accumulated amortization</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Intangible assets, net of accumulated amortization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1,281,441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1,281,441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2,694,797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2,694,797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Receivable from affiliates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7"/>
                <w:szCs w:val="17"/>
                <w:color w:val="auto"/>
                <w:w w:val="92"/>
              </w:rPr>
              <w:t>126,139</w:t>
            </w:r>
            <w:r>
              <w:rPr>
                <w:rFonts w:ascii="Arial" w:cs="Arial" w:eastAsia="Arial" w:hAnsi="Arial"/>
                <w:sz w:val="25"/>
                <w:szCs w:val="25"/>
                <w:color w:val="auto"/>
                <w:w w:val="92"/>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382,589</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5,095,334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123,086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5,218,420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Payable to brokers and dealers and clearing organizations</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30,452</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30,452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119,415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23,990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23,990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Employee equity compensation payable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Lease liability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Payable to affiliates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7"/>
                <w:szCs w:val="17"/>
                <w:color w:val="auto"/>
              </w:rPr>
              <w:t>Tax receivable agreement liability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240,817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40"/>
              <w:spacing w:after="0" w:line="229" w:lineRule="exact"/>
              <w:rPr>
                <w:sz w:val="20"/>
                <w:szCs w:val="20"/>
                <w:color w:val="auto"/>
              </w:rPr>
            </w:pPr>
            <w:r>
              <w:rPr>
                <w:rFonts w:ascii="Arial" w:cs="Arial" w:eastAsia="Arial" w:hAnsi="Arial"/>
                <w:sz w:val="17"/>
                <w:szCs w:val="17"/>
                <w:color w:val="auto"/>
              </w:rPr>
              <w:t>66,214</w:t>
            </w:r>
            <w:r>
              <w:rPr>
                <w:rFonts w:ascii="Arial" w:cs="Arial" w:eastAsia="Arial" w:hAnsi="Arial"/>
                <w:sz w:val="25"/>
                <w:szCs w:val="25"/>
                <w:color w:val="auto"/>
                <w:vertAlign w:val="superscript"/>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307,031</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568,803</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$.00001 par value; 250,000,000 shares authorized; none issued or</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outstanding</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line="189" w:lineRule="exact"/>
              <w:rPr>
                <w:sz w:val="20"/>
                <w:szCs w:val="20"/>
                <w:color w:val="auto"/>
              </w:rPr>
            </w:pPr>
            <w:r>
              <w:rPr>
                <w:rFonts w:ascii="Arial" w:cs="Arial" w:eastAsia="Arial" w:hAnsi="Arial"/>
                <w:sz w:val="17"/>
                <w:szCs w:val="17"/>
                <w:color w:val="auto"/>
              </w:rPr>
              <w:t>Class A common stock, $.00001 par value; 1,000,000,000 shares authorized; 66,408,328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right"/>
              <w:ind w:right="140"/>
              <w:spacing w:after="0" w:line="378"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tcPr>
          <w:p>
            <w:pPr>
              <w:ind w:left="180"/>
              <w:spacing w:after="0" w:line="189" w:lineRule="exact"/>
              <w:rPr>
                <w:sz w:val="20"/>
                <w:szCs w:val="20"/>
                <w:color w:val="auto"/>
              </w:rPr>
            </w:pPr>
            <w:r>
              <w:rPr>
                <w:rFonts w:ascii="Arial" w:cs="Arial" w:eastAsia="Arial" w:hAnsi="Arial"/>
                <w:sz w:val="17"/>
                <w:szCs w:val="17"/>
                <w:color w:val="auto"/>
                <w:w w:val="94"/>
              </w:rPr>
              <w:t>shares issued and outstanding, actual; 77,646,428 shares issued and outstanding, pro forma</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Class B common stock, $.00001 par value; 450,000,000 shares authorized; 96,933,192 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issued and outstanding</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line="189" w:lineRule="exact"/>
              <w:rPr>
                <w:sz w:val="20"/>
                <w:szCs w:val="20"/>
                <w:color w:val="auto"/>
              </w:rPr>
            </w:pPr>
            <w:r>
              <w:rPr>
                <w:rFonts w:ascii="Arial" w:cs="Arial" w:eastAsia="Arial" w:hAnsi="Arial"/>
                <w:sz w:val="17"/>
                <w:szCs w:val="17"/>
                <w:color w:val="auto"/>
                <w:w w:val="96"/>
              </w:rPr>
              <w:t>Class C common stock, $.00001 par value; 350,000,000 shares authorized; 8,328,983 shares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180"/>
              <w:spacing w:after="0" w:line="189" w:lineRule="exact"/>
              <w:rPr>
                <w:sz w:val="20"/>
                <w:szCs w:val="20"/>
                <w:color w:val="auto"/>
              </w:rPr>
            </w:pPr>
            <w:r>
              <w:rPr>
                <w:rFonts w:ascii="Arial" w:cs="Arial" w:eastAsia="Arial" w:hAnsi="Arial"/>
                <w:sz w:val="17"/>
                <w:szCs w:val="17"/>
                <w:color w:val="auto"/>
              </w:rPr>
              <w:t>issued and outstanding, actual; 8,928,983 shares issued and outstanding, pro forma</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Class D common stock, $.00001 par value; 300,000,000 shares authorized; 50,853,172 shares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140"/>
              <w:spacing w:after="0" w:line="378"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issued and outstanding, actual; 39,610,709 shares issued and outstanding, pro forma</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3,329,386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line="216" w:lineRule="exact"/>
              <w:rPr>
                <w:sz w:val="20"/>
                <w:szCs w:val="20"/>
                <w:color w:val="auto"/>
              </w:rPr>
            </w:pPr>
            <w:r>
              <w:rPr>
                <w:rFonts w:ascii="Arial" w:cs="Arial" w:eastAsia="Arial" w:hAnsi="Arial"/>
                <w:sz w:val="17"/>
                <w:szCs w:val="17"/>
                <w:color w:val="auto"/>
                <w:w w:val="92"/>
              </w:rPr>
              <w:t>276,633</w:t>
            </w:r>
            <w:r>
              <w:rPr>
                <w:rFonts w:ascii="Arial" w:cs="Arial" w:eastAsia="Arial" w:hAnsi="Arial"/>
                <w:sz w:val="25"/>
                <w:szCs w:val="25"/>
                <w:color w:val="auto"/>
                <w:w w:val="92"/>
                <w:vertAlign w:val="superscript"/>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3,606,019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47,833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47,833</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stockholders’ equity attributable to Tradeweb Markets Inc.</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3,378,588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276,633</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3,655,221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1,214,157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80"/>
              <w:spacing w:after="0" w:line="229" w:lineRule="exact"/>
              <w:rPr>
                <w:sz w:val="20"/>
                <w:szCs w:val="20"/>
                <w:color w:val="auto"/>
              </w:rPr>
            </w:pPr>
            <w:r>
              <w:rPr>
                <w:rFonts w:ascii="Arial" w:cs="Arial" w:eastAsia="Arial" w:hAnsi="Arial"/>
                <w:sz w:val="17"/>
                <w:szCs w:val="17"/>
                <w:color w:val="auto"/>
                <w:w w:val="87"/>
              </w:rPr>
              <w:t>(219,761)</w:t>
            </w:r>
            <w:r>
              <w:rPr>
                <w:rFonts w:ascii="Arial" w:cs="Arial" w:eastAsia="Arial" w:hAnsi="Arial"/>
                <w:sz w:val="25"/>
                <w:szCs w:val="25"/>
                <w:color w:val="auto"/>
                <w:w w:val="87"/>
                <w:vertAlign w:val="superscript"/>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994,396</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equity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4,592,745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4,649,617</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gridSpan w:val="3"/>
          </w:tcPr>
          <w:p>
            <w:pPr>
              <w:ind w:left="1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5,095,334</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123,086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5,218,420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-325120</wp:posOffset>
            </wp:positionV>
            <wp:extent cx="56832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-607695</wp:posOffset>
            </wp:positionV>
            <wp:extent cx="56832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-2510790</wp:posOffset>
            </wp:positionV>
            <wp:extent cx="56832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-4173855</wp:posOffset>
            </wp:positionV>
            <wp:extent cx="56832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-6128385</wp:posOffset>
            </wp:positionV>
            <wp:extent cx="6180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Tradeweb Markets Inc. and Subsidiaries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74" w:lineRule="exact"/>
        <w:rPr>
          <w:sz w:val="20"/>
          <w:szCs w:val="20"/>
          <w:color w:val="auto"/>
        </w:rPr>
      </w:pPr>
    </w:p>
    <w:p>
      <w:pPr>
        <w:ind w:left="1620" w:right="939" w:hanging="352"/>
        <w:spacing w:after="0" w:line="326"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following sets forth the estimated sources and uses of funds in connection with this offering, assuming the issuance of 11,161,083 shares of Class A common stock at a price of $50.25 per share: </w:t>
      </w: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2340" w:hanging="352"/>
        <w:spacing w:after="0"/>
        <w:tabs>
          <w:tab w:leader="none" w:pos="23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$560.8 million of gross cash proceeds to us from the offering of Class A common stock; and</w:t>
      </w:r>
    </w:p>
    <w:p>
      <w:pPr>
        <w:spacing w:after="0" w:line="101" w:lineRule="exact"/>
        <w:rPr>
          <w:rFonts w:ascii="Arial" w:cs="Arial" w:eastAsia="Arial" w:hAnsi="Arial"/>
          <w:sz w:val="17"/>
          <w:szCs w:val="17"/>
          <w:color w:val="auto"/>
        </w:rPr>
      </w:pPr>
    </w:p>
    <w:p>
      <w:pPr>
        <w:ind w:left="2340" w:hanging="352"/>
        <w:spacing w:after="0"/>
        <w:tabs>
          <w:tab w:leader="none" w:pos="2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$3.1 million of cash.</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r>
        <w:rPr>
          <w:rFonts w:ascii="Arial" w:cs="Arial" w:eastAsia="Arial" w:hAnsi="Arial"/>
          <w:sz w:val="18"/>
          <w:szCs w:val="18"/>
          <w:color w:val="auto"/>
        </w:rPr>
        <w:t>:</w:t>
      </w:r>
    </w:p>
    <w:p>
      <w:pPr>
        <w:spacing w:after="0" w:line="104" w:lineRule="exact"/>
        <w:rPr>
          <w:sz w:val="20"/>
          <w:szCs w:val="20"/>
          <w:color w:val="auto"/>
        </w:rPr>
      </w:pPr>
    </w:p>
    <w:p>
      <w:pPr>
        <w:ind w:left="2340" w:hanging="352"/>
        <w:spacing w:after="0"/>
        <w:tabs>
          <w:tab w:leader="none" w:pos="234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we will use $16.3 million to pay underwriting discounts and commissions;</w:t>
      </w:r>
    </w:p>
    <w:p>
      <w:pPr>
        <w:spacing w:after="0" w:line="103" w:lineRule="exact"/>
        <w:rPr>
          <w:rFonts w:ascii="Arial" w:cs="Arial" w:eastAsia="Arial" w:hAnsi="Arial"/>
          <w:sz w:val="18"/>
          <w:szCs w:val="18"/>
          <w:color w:val="auto"/>
        </w:rPr>
      </w:pPr>
    </w:p>
    <w:p>
      <w:pPr>
        <w:ind w:left="2340" w:right="739" w:hanging="352"/>
        <w:spacing w:after="0" w:line="254" w:lineRule="auto"/>
        <w:tabs>
          <w:tab w:leader="none" w:pos="234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we will use $544.6 million to purchase (i) 10,642,463 issued and outstanding LLC Interests (and cancel the corresponding shares of common stock) from the Selling LLC Owners and (ii) 518,620 issued and outstanding shares of Class A common stock from certain of our executive officers following the Net Exercise, as applicable (and cancel such shares of Class A common stock), at a purchase price per interest and share equal to the public offering price per share of Class A common stock, less the underwriting discounts and commissions payable thereon; and</w:t>
      </w:r>
    </w:p>
    <w:p>
      <w:pPr>
        <w:spacing w:after="0" w:line="59" w:lineRule="exact"/>
        <w:rPr>
          <w:rFonts w:ascii="Arial" w:cs="Arial" w:eastAsia="Arial" w:hAnsi="Arial"/>
          <w:sz w:val="18"/>
          <w:szCs w:val="18"/>
          <w:color w:val="auto"/>
        </w:rPr>
      </w:pPr>
    </w:p>
    <w:p>
      <w:pPr>
        <w:ind w:left="2340" w:right="879" w:hanging="352"/>
        <w:spacing w:after="0" w:line="263" w:lineRule="auto"/>
        <w:tabs>
          <w:tab w:leader="none" w:pos="234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we will cause TWM LLC to use $3.1 million of cash on hand to pay a portion of estimated offering expenses, including certain legal, accounting and other related expenses associated with this offering.</w:t>
      </w:r>
    </w:p>
    <w:p>
      <w:pPr>
        <w:spacing w:after="0" w:line="75" w:lineRule="exact"/>
        <w:rPr>
          <w:rFonts w:ascii="Arial" w:cs="Arial" w:eastAsia="Arial" w:hAnsi="Arial"/>
          <w:sz w:val="18"/>
          <w:szCs w:val="18"/>
          <w:color w:val="auto"/>
        </w:rPr>
      </w:pPr>
    </w:p>
    <w:p>
      <w:pPr>
        <w:ind w:left="1620" w:right="879" w:hanging="352"/>
        <w:spacing w:after="0" w:line="263"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effects of the Tax Receivable Agreement on our unaudited pro forma consolidated statement of financial condition as a result of our purchase of LLC Interests from certain of the Bank Stockholders using substantially all of the net proceeds from this offering.</w:t>
      </w:r>
    </w:p>
    <w:p>
      <w:pPr>
        <w:spacing w:after="0" w:line="75" w:lineRule="exact"/>
        <w:rPr>
          <w:rFonts w:ascii="Arial" w:cs="Arial" w:eastAsia="Arial" w:hAnsi="Arial"/>
          <w:sz w:val="18"/>
          <w:szCs w:val="18"/>
          <w:color w:val="auto"/>
        </w:rPr>
      </w:pPr>
    </w:p>
    <w:p>
      <w:pPr>
        <w:ind w:left="1620" w:right="679"/>
        <w:spacing w:after="0" w:line="252" w:lineRule="auto"/>
        <w:rPr>
          <w:rFonts w:ascii="Arial" w:cs="Arial" w:eastAsia="Arial" w:hAnsi="Arial"/>
          <w:sz w:val="18"/>
          <w:szCs w:val="18"/>
          <w:color w:val="auto"/>
        </w:rPr>
      </w:pPr>
      <w:r>
        <w:rPr>
          <w:rFonts w:ascii="Arial" w:cs="Arial" w:eastAsia="Arial" w:hAnsi="Arial"/>
          <w:sz w:val="18"/>
          <w:szCs w:val="18"/>
          <w:color w:val="auto"/>
        </w:rPr>
        <w:t>Tradeweb Markets Inc. is subject to U.S. federal and state income taxes and files income tax returns in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In connection with the IPO, we entered into the Tax Receivable Agreement with TWM LLC and the Continuing LLC Owners. Pursuant to the Tax Receivable Agreement, we are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the IPO — Tax Receivable Agreement.”</w:t>
      </w:r>
    </w:p>
    <w:p>
      <w:pPr>
        <w:spacing w:after="0" w:line="89" w:lineRule="exact"/>
        <w:rPr>
          <w:rFonts w:ascii="Arial" w:cs="Arial" w:eastAsia="Arial" w:hAnsi="Arial"/>
          <w:sz w:val="18"/>
          <w:szCs w:val="18"/>
          <w:color w:val="auto"/>
        </w:rPr>
      </w:pPr>
    </w:p>
    <w:p>
      <w:pPr>
        <w:ind w:left="1620" w:right="699"/>
        <w:spacing w:after="0" w:line="253" w:lineRule="auto"/>
        <w:rPr>
          <w:rFonts w:ascii="Arial" w:cs="Arial" w:eastAsia="Arial" w:hAnsi="Arial"/>
          <w:sz w:val="18"/>
          <w:szCs w:val="18"/>
          <w:color w:val="auto"/>
        </w:rPr>
      </w:pPr>
      <w:r>
        <w:rPr>
          <w:rFonts w:ascii="Arial" w:cs="Arial" w:eastAsia="Arial" w:hAnsi="Arial"/>
          <w:sz w:val="18"/>
          <w:szCs w:val="18"/>
          <w:color w:val="auto"/>
        </w:rPr>
        <w:t>The tax benefit expected to be realized in connection with this offering of $132.4 million of amortizable tax basis will be amortized primarily over 15 years pursuant to Section 197 of the Internal Revenue Code, and other applicable depreciation rules. The tax basis has been recognized as a deferred tax asset in our unaudited pro forma consolidated statement of financial condition. The associated obligation to pay 50% of the tax savings (or $66.2 million) as the tax reduction is realized by us has been recognized as a tax receivable agreement liability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86" w:lineRule="exact"/>
        <w:rPr>
          <w:rFonts w:ascii="Arial" w:cs="Arial" w:eastAsia="Arial" w:hAnsi="Arial"/>
          <w:sz w:val="18"/>
          <w:szCs w:val="18"/>
          <w:color w:val="auto"/>
        </w:rPr>
      </w:pPr>
    </w:p>
    <w:p>
      <w:pPr>
        <w:ind w:left="1620" w:right="699"/>
        <w:spacing w:after="0" w:line="291" w:lineRule="auto"/>
        <w:rPr>
          <w:rFonts w:ascii="Arial" w:cs="Arial" w:eastAsia="Arial" w:hAnsi="Arial"/>
          <w:sz w:val="18"/>
          <w:szCs w:val="18"/>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w:t>
      </w:r>
    </w:p>
    <w:p>
      <w:pPr>
        <w:ind w:left="1620" w:right="899" w:firstLine="8"/>
        <w:spacing w:after="0" w:line="255" w:lineRule="auto"/>
        <w:tabs>
          <w:tab w:leader="none" w:pos="18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share price based on the public offering price of $50.25 per share, (3) a constant federal income tax rate of 21.0% and a constant state tax rate, (4) no material changes in tax law, (5) the ability to utilize tax attributes and (6) future Tax Receivable Agreement payments.</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79"/>
        <w:spacing w:after="0" w:line="254" w:lineRule="auto"/>
        <w:rPr>
          <w:sz w:val="20"/>
          <w:szCs w:val="20"/>
          <w:color w:val="auto"/>
        </w:rPr>
      </w:pPr>
      <w:r>
        <w:rPr>
          <w:rFonts w:ascii="Arial" w:cs="Arial" w:eastAsia="Arial" w:hAnsi="Arial"/>
          <w:sz w:val="18"/>
          <w:szCs w:val="18"/>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87" w:lineRule="exact"/>
        <w:rPr>
          <w:sz w:val="20"/>
          <w:szCs w:val="20"/>
          <w:color w:val="auto"/>
        </w:rPr>
      </w:pPr>
    </w:p>
    <w:p>
      <w:pPr>
        <w:jc w:val="both"/>
        <w:ind w:left="1620" w:right="85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80" w:lineRule="exact"/>
        <w:rPr>
          <w:sz w:val="20"/>
          <w:szCs w:val="20"/>
          <w:color w:val="auto"/>
        </w:rPr>
      </w:pPr>
    </w:p>
    <w:p>
      <w:pPr>
        <w:ind w:left="1620" w:right="679" w:hanging="352"/>
        <w:spacing w:after="0" w:line="253"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Reflects the (i) issuance of 11,161,083 shares of Class A common stock to the purchasers in this offering and (ii) cancellation and retirement of (x) an aggregate of 10,642,463 shares of Class C common stock and Class D common stock as a result of our purchase of outstanding LLC Interests from the Selling LLC Owners and (y) an aggregate of 518,620 shares of Class A common stock as a result of our purchase of outstanding shares of Class A common stock from certain of our executive officers following the Net Exercise, as applicable, in each case using the net proceeds from this offering. Each share of Class A common stock and Class C common stock entitles its holder to one vote on all matters presented to our stockholders generally. Each share of Class D common stock entitles its holder to ten votes on all matters presented to our stockholders generally. Holders of Class D common stock are not entitled to receive any distributions from or participate in any dividends declared by our board of directors.</w:t>
      </w:r>
    </w:p>
    <w:p>
      <w:pPr>
        <w:spacing w:after="0" w:line="83" w:lineRule="exact"/>
        <w:rPr>
          <w:rFonts w:ascii="Arial" w:cs="Arial" w:eastAsia="Arial" w:hAnsi="Arial"/>
          <w:sz w:val="18"/>
          <w:szCs w:val="18"/>
          <w:color w:val="auto"/>
        </w:rPr>
      </w:pPr>
    </w:p>
    <w:p>
      <w:pPr>
        <w:ind w:left="1620" w:hanging="352"/>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Reflects the effects on additional paid-in capital relating to the following (in thousands):</w:t>
      </w:r>
    </w:p>
    <w:p>
      <w:pPr>
        <w:spacing w:after="0" w:line="12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98030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80305" cy="1714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proceeds from offering of Class A common stock</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980305" cy="436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0305" cy="436880"/>
                    </a:xfrm>
                    <a:prstGeom prst="rect">
                      <a:avLst/>
                    </a:prstGeom>
                    <a:noFill/>
                  </pic:spPr>
                </pic:pic>
              </a:graphicData>
            </a:graphic>
          </wp:anchor>
        </w:drawing>
      </w:r>
    </w:p>
    <w:p>
      <w:pPr>
        <w:spacing w:after="0" w:line="16" w:lineRule="exact"/>
        <w:rPr>
          <w:sz w:val="20"/>
          <w:szCs w:val="20"/>
          <w:color w:val="auto"/>
        </w:rPr>
      </w:pPr>
    </w:p>
    <w:p>
      <w:pPr>
        <w:ind w:left="1800" w:right="80" w:hanging="179"/>
        <w:spacing w:after="0" w:line="263" w:lineRule="auto"/>
        <w:rPr>
          <w:sz w:val="20"/>
          <w:szCs w:val="20"/>
          <w:color w:val="auto"/>
        </w:rPr>
      </w:pPr>
      <w:r>
        <w:rPr>
          <w:rFonts w:ascii="Arial" w:cs="Arial" w:eastAsia="Arial" w:hAnsi="Arial"/>
          <w:sz w:val="18"/>
          <w:szCs w:val="18"/>
          <w:color w:val="auto"/>
        </w:rPr>
        <w:t>Purchase of (i) LLC Interests (and cancellation of the corresponding shares of common stock) from the Selling LLC Owners and (ii) shares of Class A common stock (and cancellation of such shares) from certain executive officers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Payment of estimated offering costs other than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22225</wp:posOffset>
            </wp:positionV>
            <wp:extent cx="4980305" cy="3003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80305" cy="300355"/>
                    </a:xfrm>
                    <a:prstGeom prst="rect">
                      <a:avLst/>
                    </a:prstGeom>
                    <a:noFill/>
                  </pic:spPr>
                </pic:pic>
              </a:graphicData>
            </a:graphic>
          </wp:anchor>
        </w:drawing>
      </w:r>
    </w:p>
    <w:p>
      <w:pPr>
        <w:spacing w:after="0" w:line="28" w:lineRule="exact"/>
        <w:rPr>
          <w:sz w:val="20"/>
          <w:szCs w:val="20"/>
          <w:color w:val="auto"/>
        </w:rPr>
      </w:pPr>
    </w:p>
    <w:p>
      <w:pPr>
        <w:ind w:left="1800" w:hanging="179"/>
        <w:spacing w:after="0" w:line="277" w:lineRule="auto"/>
        <w:rPr>
          <w:sz w:val="20"/>
          <w:szCs w:val="20"/>
          <w:color w:val="auto"/>
        </w:rPr>
      </w:pPr>
      <w:r>
        <w:rPr>
          <w:rFonts w:ascii="Arial" w:cs="Arial" w:eastAsia="Arial" w:hAnsi="Arial"/>
          <w:sz w:val="18"/>
          <w:szCs w:val="18"/>
          <w:color w:val="auto"/>
        </w:rPr>
        <w:t>Difference between the deferred tax asset recognized and the Tax Receivable Agreement liability (see note 2)</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Portion allocated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98030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8030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 adjustment to additional paid-in capital</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47" w:hanging="147"/>
        <w:spacing w:after="0"/>
        <w:tabs>
          <w:tab w:leader="none" w:pos="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560,844</w:t>
      </w:r>
    </w:p>
    <w:p>
      <w:pPr>
        <w:spacing w:after="0" w:line="49" w:lineRule="exact"/>
        <w:rPr>
          <w:rFonts w:ascii="Arial" w:cs="Arial" w:eastAsia="Arial" w:hAnsi="Arial"/>
          <w:sz w:val="18"/>
          <w:szCs w:val="18"/>
          <w:color w:val="auto"/>
        </w:rPr>
      </w:pPr>
    </w:p>
    <w:p>
      <w:pPr>
        <w:ind w:left="187"/>
        <w:spacing w:after="0"/>
        <w:rPr>
          <w:rFonts w:ascii="Arial" w:cs="Arial" w:eastAsia="Arial" w:hAnsi="Arial"/>
          <w:sz w:val="18"/>
          <w:szCs w:val="18"/>
          <w:color w:val="auto"/>
        </w:rPr>
      </w:pPr>
      <w:r>
        <w:rPr>
          <w:rFonts w:ascii="Arial" w:cs="Arial" w:eastAsia="Arial" w:hAnsi="Arial"/>
          <w:sz w:val="16"/>
          <w:szCs w:val="16"/>
          <w:color w:val="auto"/>
        </w:rPr>
        <w:t>(16,264)</w:t>
      </w:r>
    </w:p>
    <w:p>
      <w:pPr>
        <w:spacing w:after="0" w:line="200" w:lineRule="exact"/>
        <w:rPr>
          <w:sz w:val="20"/>
          <w:szCs w:val="20"/>
          <w:color w:val="auto"/>
        </w:rPr>
      </w:pPr>
    </w:p>
    <w:p>
      <w:pPr>
        <w:spacing w:after="0" w:line="291"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(544,580)</w:t>
      </w:r>
    </w:p>
    <w:p>
      <w:pPr>
        <w:spacing w:after="0" w:line="63"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(3,053)</w:t>
      </w:r>
    </w:p>
    <w:p>
      <w:pPr>
        <w:spacing w:after="0" w:line="252"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59,925</w:t>
      </w:r>
    </w:p>
    <w:p>
      <w:pPr>
        <w:spacing w:after="0" w:line="63"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219,761</w:t>
      </w:r>
    </w:p>
    <w:p>
      <w:pPr>
        <w:spacing w:after="0" w:line="77" w:lineRule="exact"/>
        <w:rPr>
          <w:sz w:val="20"/>
          <w:szCs w:val="20"/>
          <w:color w:val="auto"/>
        </w:rPr>
      </w:pPr>
    </w:p>
    <w:p>
      <w:pPr>
        <w:jc w:val="right"/>
        <w:ind w:right="659"/>
        <w:spacing w:after="0"/>
        <w:rPr>
          <w:sz w:val="20"/>
          <w:szCs w:val="20"/>
          <w:color w:val="auto"/>
        </w:rPr>
      </w:pPr>
      <w:r>
        <w:rPr>
          <w:rFonts w:ascii="Arial" w:cs="Arial" w:eastAsia="Arial" w:hAnsi="Arial"/>
          <w:sz w:val="16"/>
          <w:szCs w:val="16"/>
          <w:color w:val="auto"/>
        </w:rPr>
        <w:t>$ 276,633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4718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8320" w:space="413"/>
            <w:col w:w="1406"/>
          </w:cols>
          <w:pgMar w:left="320" w:top="131" w:right="1440" w:bottom="1440" w:gutter="0" w:footer="0" w:header="0"/>
          <w:type w:val="continuous"/>
        </w:sectPr>
      </w:pPr>
    </w:p>
    <w:p>
      <w:pPr>
        <w:spacing w:after="0" w:line="29" w:lineRule="exact"/>
        <w:rPr>
          <w:sz w:val="20"/>
          <w:szCs w:val="20"/>
          <w:color w:val="auto"/>
        </w:rPr>
      </w:pPr>
    </w:p>
    <w:p>
      <w:pPr>
        <w:ind w:left="1620" w:right="719" w:hanging="352"/>
        <w:spacing w:after="0" w:line="275" w:lineRule="auto"/>
        <w:tabs>
          <w:tab w:leader="none" w:pos="1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are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68" w:lineRule="exact"/>
        <w:rPr>
          <w:rFonts w:ascii="Arial" w:cs="Arial" w:eastAsia="Arial" w:hAnsi="Arial"/>
          <w:sz w:val="17"/>
          <w:szCs w:val="17"/>
          <w:color w:val="auto"/>
        </w:rPr>
      </w:pPr>
    </w:p>
    <w:p>
      <w:pPr>
        <w:ind w:left="1620" w:right="739"/>
        <w:spacing w:after="0" w:line="254" w:lineRule="auto"/>
        <w:rPr>
          <w:rFonts w:ascii="Arial" w:cs="Arial" w:eastAsia="Arial" w:hAnsi="Arial"/>
          <w:sz w:val="17"/>
          <w:szCs w:val="17"/>
          <w:color w:val="auto"/>
        </w:rPr>
      </w:pPr>
      <w:r>
        <w:rPr>
          <w:rFonts w:ascii="Arial" w:cs="Arial" w:eastAsia="Arial" w:hAnsi="Arial"/>
          <w:sz w:val="18"/>
          <w:szCs w:val="18"/>
          <w:color w:val="auto"/>
        </w:rPr>
        <w:t>Following this offering and the application of substantially all of the net proceeds from this offering to purchase issued and outstanding LLC Interests (and cancel the corresponding shares of common stock) from the Selling LLC Owners, we will own 174,579,620 LLC Interests, representing 78.2% of the economic interest of TWM LLC, and Continuing LLC Owners will own 48,539,692 LLC Interests, representing the remaining 21.8% of the economic interest of TWM LLC. This pro forma adjustment represents the adjustment to the carrying value of the non-controlling interests to reflect our increased ownership in TWM LLC.</w:t>
      </w:r>
    </w:p>
    <w:p>
      <w:pPr>
        <w:spacing w:after="0" w:line="86" w:lineRule="exact"/>
        <w:rPr>
          <w:rFonts w:ascii="Arial" w:cs="Arial" w:eastAsia="Arial" w:hAnsi="Arial"/>
          <w:sz w:val="17"/>
          <w:szCs w:val="17"/>
          <w:color w:val="auto"/>
        </w:rPr>
      </w:pPr>
    </w:p>
    <w:p>
      <w:pPr>
        <w:ind w:left="1620" w:right="779"/>
        <w:spacing w:after="0" w:line="311" w:lineRule="auto"/>
        <w:rPr>
          <w:rFonts w:ascii="Arial" w:cs="Arial" w:eastAsia="Arial" w:hAnsi="Arial"/>
          <w:sz w:val="17"/>
          <w:szCs w:val="17"/>
          <w:color w:val="auto"/>
        </w:rPr>
      </w:pPr>
      <w:r>
        <w:rPr>
          <w:rFonts w:ascii="Arial" w:cs="Arial" w:eastAsia="Arial" w:hAnsi="Arial"/>
          <w:sz w:val="16"/>
          <w:szCs w:val="16"/>
          <w:color w:val="auto"/>
        </w:rPr>
        <w:t>The LLC Interests held by the Continuing LLC Owners, representing the non-controlling interests, are redeemable at the election of such holders, for shares of Class A common stock or Class B common stock, as the case may be, on a one-for-one basis or, at our option, a cash payment in accordance with</w:t>
      </w:r>
    </w:p>
    <w:p>
      <w:pPr>
        <w:sectPr>
          <w:pgSz w:w="11900" w:h="16838" w:orient="portrait"/>
          <w:cols w:equalWidth="0" w:num="1">
            <w:col w:w="10139"/>
          </w:cols>
          <w:pgMar w:left="320" w:top="131" w:right="1440" w:bottom="1440" w:gutter="0" w:footer="0" w:header="0"/>
          <w:type w:val="continuous"/>
        </w:sect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19"/>
        <w:spacing w:after="0" w:line="259" w:lineRule="auto"/>
        <w:rPr>
          <w:sz w:val="20"/>
          <w:szCs w:val="20"/>
          <w:color w:val="auto"/>
        </w:rPr>
      </w:pPr>
      <w:r>
        <w:rPr>
          <w:rFonts w:ascii="Arial" w:cs="Arial" w:eastAsia="Arial" w:hAnsi="Arial"/>
          <w:sz w:val="18"/>
          <w:szCs w:val="18"/>
          <w:color w:val="auto"/>
        </w:rPr>
        <w:t>the terms of the TWM LLC Agreement. See “Certain Relationships and Related Party Transactions — Certain Transactions Entered Into in Connection With the IPO — TWM LLC Agreement” for additional information regarding redemption rights of the holders of LLC Interests and exchange rights of holders of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Tradeweb Markets Inc. and Subsidiaries</w:t>
      </w:r>
    </w:p>
    <w:p>
      <w:pPr>
        <w:jc w:val="center"/>
        <w:ind w:right="-399"/>
        <w:spacing w:after="0" w:line="221" w:lineRule="auto"/>
        <w:rPr>
          <w:sz w:val="20"/>
          <w:szCs w:val="20"/>
          <w:color w:val="auto"/>
        </w:rPr>
      </w:pPr>
      <w:r>
        <w:rPr>
          <w:rFonts w:ascii="Arial" w:cs="Arial" w:eastAsia="Arial" w:hAnsi="Arial"/>
          <w:sz w:val="18"/>
          <w:szCs w:val="18"/>
          <w:b w:val="1"/>
          <w:bCs w:val="1"/>
          <w:color w:val="auto"/>
        </w:rPr>
        <w:t>Unaudited Pro Forma Consolidated Statement of Income</w:t>
      </w:r>
    </w:p>
    <w:p>
      <w:pPr>
        <w:jc w:val="center"/>
        <w:ind w:right="-399"/>
        <w:spacing w:after="0" w:line="219" w:lineRule="auto"/>
        <w:rPr>
          <w:sz w:val="20"/>
          <w:szCs w:val="20"/>
          <w:color w:val="auto"/>
        </w:rPr>
      </w:pPr>
      <w:r>
        <w:rPr>
          <w:rFonts w:ascii="Arial" w:cs="Arial" w:eastAsia="Arial" w:hAnsi="Arial"/>
          <w:sz w:val="18"/>
          <w:szCs w:val="18"/>
          <w:b w:val="1"/>
          <w:bCs w:val="1"/>
          <w:color w:val="auto"/>
        </w:rPr>
        <w:t>For the Year Ended December 31, 2019</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7"/>
              </w:rPr>
              <w:t>Tradeweb</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4"/>
                <w:szCs w:val="14"/>
                <w:color w:val="auto"/>
              </w:rPr>
            </w:pPr>
          </w:p>
        </w:tc>
        <w:tc>
          <w:tcPr>
            <w:tcW w:w="9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IPO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8"/>
              </w:rPr>
              <w:t>Inc. and</w:t>
            </w:r>
          </w:p>
        </w:tc>
        <w:tc>
          <w:tcPr>
            <w:tcW w:w="2060" w:type="dxa"/>
            <w:vAlign w:val="bottom"/>
            <w:gridSpan w:val="11"/>
          </w:tcPr>
          <w:p>
            <w:pPr>
              <w:spacing w:after="0"/>
              <w:rPr>
                <w:sz w:val="20"/>
                <w:szCs w:val="20"/>
                <w:color w:val="auto"/>
              </w:rPr>
            </w:pPr>
            <w:r>
              <w:rPr>
                <w:rFonts w:ascii="Arial" w:cs="Arial" w:eastAsia="Arial" w:hAnsi="Arial"/>
                <w:sz w:val="14"/>
                <w:szCs w:val="14"/>
                <w:b w:val="1"/>
                <w:bCs w:val="1"/>
                <w:color w:val="auto"/>
              </w:rPr>
              <w:t>Reorganization 2019 Offering</w:t>
            </w:r>
          </w:p>
        </w:tc>
        <w:tc>
          <w:tcPr>
            <w:tcW w:w="88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w w:val="95"/>
              </w:rPr>
              <w:t>Before this</w:t>
            </w:r>
          </w:p>
        </w:tc>
        <w:tc>
          <w:tcPr>
            <w:tcW w:w="8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 and</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7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Offering</w:t>
            </w: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Subsidiaries</w:t>
            </w:r>
          </w:p>
        </w:tc>
        <w:tc>
          <w:tcPr>
            <w:tcW w:w="0" w:type="dxa"/>
            <w:vAlign w:val="bottom"/>
          </w:tcPr>
          <w:p>
            <w:pPr>
              <w:spacing w:after="0"/>
              <w:rPr>
                <w:sz w:val="1"/>
                <w:szCs w:val="1"/>
                <w:color w:val="auto"/>
              </w:rPr>
            </w:pPr>
          </w:p>
        </w:tc>
      </w:tr>
      <w:tr>
        <w:trPr>
          <w:trHeight w:val="26"/>
        </w:trPr>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Transaction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423,583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423,583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423,583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138,731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138,731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149,365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149,365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149,365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Refinitiv market data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8,252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Gross revenue</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775,566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Contingent consideration</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775,566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329,457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139,330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139,330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139,330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34,960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Occupancy</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14,686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gridSpan w:val="3"/>
            <w:vMerge w:val="continue"/>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585,747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189,819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189,819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 receivable agreement liability adjustment</w:t>
            </w: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225,326</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225,326</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(52,302)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20"/>
              <w:spacing w:after="0" w:line="270" w:lineRule="exact"/>
              <w:rPr>
                <w:sz w:val="20"/>
                <w:szCs w:val="20"/>
                <w:color w:val="auto"/>
              </w:rPr>
            </w:pPr>
            <w:r>
              <w:rPr>
                <w:rFonts w:ascii="Arial" w:cs="Arial" w:eastAsia="Arial" w:hAnsi="Arial"/>
                <w:sz w:val="18"/>
                <w:szCs w:val="18"/>
                <w:color w:val="auto"/>
                <w:w w:val="99"/>
              </w:rPr>
              <w:t>(5,156)</w:t>
            </w:r>
            <w:r>
              <w:rPr>
                <w:rFonts w:ascii="Arial" w:cs="Arial" w:eastAsia="Arial" w:hAnsi="Arial"/>
                <w:sz w:val="26"/>
                <w:szCs w:val="26"/>
                <w:color w:val="auto"/>
                <w:w w:val="99"/>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line="270" w:lineRule="exact"/>
              <w:rPr>
                <w:sz w:val="20"/>
                <w:szCs w:val="20"/>
                <w:color w:val="auto"/>
              </w:rPr>
            </w:pPr>
            <w:r>
              <w:rPr>
                <w:rFonts w:ascii="Arial" w:cs="Arial" w:eastAsia="Arial" w:hAnsi="Arial"/>
                <w:sz w:val="18"/>
                <w:szCs w:val="18"/>
                <w:color w:val="auto"/>
                <w:w w:val="99"/>
              </w:rPr>
              <w:t>(2,479)</w:t>
            </w:r>
            <w:r>
              <w:rPr>
                <w:rFonts w:ascii="Arial" w:cs="Arial" w:eastAsia="Arial" w:hAnsi="Arial"/>
                <w:sz w:val="26"/>
                <w:szCs w:val="26"/>
                <w:color w:val="auto"/>
                <w:w w:val="99"/>
                <w:vertAlign w:val="superscript"/>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(59,937)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4"/>
          </w:tcPr>
          <w:p>
            <w:pPr>
              <w:jc w:val="right"/>
              <w:spacing w:after="0" w:line="270" w:lineRule="exact"/>
              <w:rPr>
                <w:sz w:val="20"/>
                <w:szCs w:val="20"/>
                <w:color w:val="auto"/>
              </w:rPr>
            </w:pPr>
            <w:r>
              <w:rPr>
                <w:rFonts w:ascii="Arial" w:cs="Arial" w:eastAsia="Arial" w:hAnsi="Arial"/>
                <w:sz w:val="18"/>
                <w:szCs w:val="18"/>
                <w:color w:val="auto"/>
              </w:rPr>
              <w:t>(901)</w:t>
            </w:r>
            <w:r>
              <w:rPr>
                <w:rFonts w:ascii="Arial" w:cs="Arial" w:eastAsia="Arial" w:hAnsi="Arial"/>
                <w:sz w:val="26"/>
                <w:szCs w:val="26"/>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(60,838)</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173,024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(5,156)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(2,479)</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165,389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(901)</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w w:val="99"/>
              </w:rPr>
              <w:t>Less: Pre-IPO net income attributable to Tradeweb</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Markets LLC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(42,352)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non-controlling interests</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130,672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37,196</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rPr>
              <w:t>Less: Net income attributable to non-controlling</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18,804</w:t>
            </w:r>
            <w:r>
              <w:rPr>
                <w:rFonts w:ascii="Arial" w:cs="Arial" w:eastAsia="Arial" w:hAnsi="Arial"/>
                <w:sz w:val="26"/>
                <w:szCs w:val="26"/>
                <w:color w:val="auto"/>
                <w:w w:val="94"/>
                <w:vertAlign w:val="superscript"/>
              </w:rPr>
              <w:t>(2)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8"/>
                <w:szCs w:val="18"/>
                <w:color w:val="auto"/>
                <w:w w:val="88"/>
              </w:rPr>
              <w:t>(16,448)</w:t>
            </w:r>
            <w:r>
              <w:rPr>
                <w:rFonts w:ascii="Arial" w:cs="Arial" w:eastAsia="Arial" w:hAnsi="Arial"/>
                <w:sz w:val="26"/>
                <w:szCs w:val="26"/>
                <w:color w:val="auto"/>
                <w:w w:val="88"/>
                <w:vertAlign w:val="superscript"/>
              </w:rPr>
              <w:t>(2)</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w w:val="89"/>
              </w:rPr>
              <w:t>(9,196)</w:t>
            </w:r>
            <w:r>
              <w:rPr>
                <w:rFonts w:ascii="Arial" w:cs="Arial" w:eastAsia="Arial" w:hAnsi="Arial"/>
                <w:sz w:val="26"/>
                <w:szCs w:val="26"/>
                <w:color w:val="auto"/>
                <w:w w:val="89"/>
                <w:vertAlign w:val="superscript"/>
              </w:rPr>
              <w:t>(2)</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interests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vMerge w:val="continue"/>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49,259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vMerge w:val="continue"/>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 xml:space="preserve">Net income attributable to Tradeweb Markets Inc. </w:t>
            </w:r>
            <w:r>
              <w:rPr>
                <w:rFonts w:ascii="Arial" w:cs="Arial" w:eastAsia="Arial" w:hAnsi="Arial"/>
                <w:sz w:val="18"/>
                <w:szCs w:val="18"/>
                <w:color w:val="auto"/>
                <w:w w:val="96"/>
                <w:shd w:val="clear" w:color="auto" w:fill="CCEEFF"/>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83,769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18,392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13,969</w:t>
            </w: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shd w:val="clear" w:color="auto" w:fill="CCEEFF"/>
              </w:rPr>
              <w:t>116,130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8,295</w:t>
            </w: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124,425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3"/>
              </w:rPr>
              <w:t>Pro forma earnings per share data</w:t>
            </w:r>
          </w:p>
        </w:tc>
        <w:tc>
          <w:tcPr>
            <w:tcW w:w="180" w:type="dxa"/>
            <w:vAlign w:val="bottom"/>
            <w:tcBorders>
              <w:top w:val="single" w:sz="8" w:color="CCEEFF"/>
              <w:bottom w:val="single" w:sz="8" w:color="CCEEFF"/>
            </w:tcBorders>
            <w:vMerge w:val="restart"/>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1120" w:type="dxa"/>
            <w:vAlign w:val="bottom"/>
            <w:tcBorders>
              <w:top w:val="single" w:sz="8" w:color="CCEEFF"/>
              <w:bottom w:val="single" w:sz="8" w:color="CCEEFF"/>
            </w:tcBorders>
            <w:vMerge w:val="restart"/>
          </w:tcPr>
          <w:p>
            <w:pPr>
              <w:jc w:val="right"/>
              <w:ind w:right="981"/>
              <w:spacing w:after="0"/>
              <w:rPr>
                <w:sz w:val="20"/>
                <w:szCs w:val="20"/>
                <w:color w:val="auto"/>
              </w:rPr>
            </w:pPr>
            <w:r>
              <w:rPr>
                <w:rFonts w:ascii="Arial" w:cs="Arial" w:eastAsia="Arial" w:hAnsi="Arial"/>
                <w:sz w:val="16"/>
                <w:szCs w:val="16"/>
                <w:b w:val="1"/>
                <w:bCs w:val="1"/>
                <w:u w:val="single" w:color="auto"/>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6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CCEEFF"/>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76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gridSpan w:val="3"/>
          </w:tcPr>
          <w:p>
            <w:pPr>
              <w:spacing w:after="0"/>
              <w:rPr>
                <w:sz w:val="20"/>
                <w:szCs w:val="20"/>
                <w:color w:val="auto"/>
              </w:rPr>
            </w:pPr>
            <w:r>
              <w:rPr>
                <w:rFonts w:ascii="Arial" w:cs="Arial" w:eastAsia="Arial" w:hAnsi="Arial"/>
                <w:sz w:val="18"/>
                <w:szCs w:val="18"/>
                <w:color w:val="auto"/>
              </w:rPr>
              <w:t>Weighted average shares of Class A and Class B</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common stock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174,579,620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6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183,106,592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-796290</wp:posOffset>
            </wp:positionV>
            <wp:extent cx="55460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-1482090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-1482090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-1482090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-1482090</wp:posOffset>
            </wp:positionV>
            <wp:extent cx="196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-1482090</wp:posOffset>
            </wp:positionV>
            <wp:extent cx="32143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-2091055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-2091055</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-2091055</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-2091055</wp:posOffset>
            </wp:positionV>
            <wp:extent cx="1968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-2091055</wp:posOffset>
            </wp:positionV>
            <wp:extent cx="32143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-2562225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-2562225</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-2562225</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-2562225</wp:posOffset>
            </wp:positionV>
            <wp:extent cx="1968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-2562225</wp:posOffset>
            </wp:positionV>
            <wp:extent cx="32143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-2896870</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-2896870</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-2896870</wp:posOffset>
            </wp:positionV>
            <wp:extent cx="120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-2896870</wp:posOffset>
            </wp:positionV>
            <wp:extent cx="1968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-2896870</wp:posOffset>
            </wp:positionV>
            <wp:extent cx="32143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-3394075</wp:posOffset>
            </wp:positionV>
            <wp:extent cx="34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-3565525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-3565525</wp:posOffset>
            </wp:positionV>
            <wp:extent cx="120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-3565525</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-3565525</wp:posOffset>
            </wp:positionV>
            <wp:extent cx="1968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-3565525</wp:posOffset>
            </wp:positionV>
            <wp:extent cx="32143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-4653915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-4817110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-4817110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-4817110</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-4817110</wp:posOffset>
            </wp:positionV>
            <wp:extent cx="1968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-4817110</wp:posOffset>
            </wp:positionV>
            <wp:extent cx="32143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-5133975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-5133975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-5133975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-5133975</wp:posOffset>
            </wp:positionV>
            <wp:extent cx="1968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-5133975</wp:posOffset>
            </wp:positionV>
            <wp:extent cx="32143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-6068695</wp:posOffset>
            </wp:positionV>
            <wp:extent cx="61804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See accompanying Notes to Unaudited Pro Forma Consolidated Statement of Income.</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00"/>
          </w:cols>
          <w:pgMar w:left="320" w:top="131" w:right="1279"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40" w:right="1500"/>
        <w:spacing w:after="0" w:line="236" w:lineRule="auto"/>
        <w:rPr>
          <w:sz w:val="20"/>
          <w:szCs w:val="20"/>
          <w:color w:val="auto"/>
        </w:rPr>
      </w:pPr>
      <w:r>
        <w:rPr>
          <w:rFonts w:ascii="Arial" w:cs="Arial" w:eastAsia="Arial" w:hAnsi="Arial"/>
          <w:sz w:val="18"/>
          <w:szCs w:val="18"/>
          <w:b w:val="1"/>
          <w:bCs w:val="1"/>
          <w:color w:val="auto"/>
        </w:rPr>
        <w:t>Tradeweb Markets Inc. and Subsidiaries Notes to Unaudited Pro Forma Consolidated Statement of Income For the Year Ended December 31, 2019</w:t>
      </w:r>
    </w:p>
    <w:p>
      <w:pPr>
        <w:spacing w:after="0" w:line="82" w:lineRule="exact"/>
        <w:rPr>
          <w:sz w:val="20"/>
          <w:szCs w:val="20"/>
          <w:color w:val="auto"/>
        </w:rPr>
      </w:pPr>
    </w:p>
    <w:p>
      <w:pPr>
        <w:ind w:left="1620" w:right="739" w:hanging="352"/>
        <w:spacing w:after="0" w:line="270"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income reflects adjustments to our income tax expense based on the following effective tax rate calculated as follows:</w:t>
      </w:r>
    </w:p>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October</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IPO and</w:t>
            </w:r>
          </w:p>
        </w:tc>
        <w:tc>
          <w:tcPr>
            <w:tcW w:w="58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Reorganization</w:t>
            </w: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Offering</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r>
      <w:tr>
        <w:trPr>
          <w:trHeight w:val="186"/>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Adjustments</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Adjustments</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Adjustments</w:t>
            </w:r>
          </w:p>
        </w:tc>
      </w:tr>
      <w:tr>
        <w:trPr>
          <w:trHeight w:val="26"/>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Tradeweb ownership percentage</w:t>
            </w: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U.S. federal income tax rate</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22"/>
                <w:szCs w:val="22"/>
                <w:color w:val="auto"/>
              </w:rPr>
            </w:pPr>
          </w:p>
        </w:tc>
      </w:tr>
      <w:tr>
        <w:trPr>
          <w:trHeight w:val="25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2"/>
                <w:szCs w:val="22"/>
                <w:color w:val="auto"/>
              </w:rPr>
            </w:pPr>
          </w:p>
        </w:tc>
      </w:tr>
      <w:tr>
        <w:trPr>
          <w:trHeight w:val="25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adjustment</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Rate change</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2"/>
                <w:szCs w:val="22"/>
                <w:color w:val="auto"/>
              </w:rPr>
            </w:pPr>
          </w:p>
        </w:tc>
      </w:tr>
      <w:tr>
        <w:trPr>
          <w:trHeight w:val="26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 taxes and other</w:t>
            </w:r>
          </w:p>
        </w:tc>
        <w:tc>
          <w:tcPr>
            <w:tcW w:w="48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63"/>
        </w:trPr>
        <w:tc>
          <w:tcPr>
            <w:tcW w:w="4640" w:type="dxa"/>
            <w:vAlign w:val="bottom"/>
          </w:tcPr>
          <w:p>
            <w:pPr>
              <w:spacing w:after="0"/>
              <w:rPr>
                <w:sz w:val="20"/>
                <w:szCs w:val="20"/>
                <w:color w:val="auto"/>
              </w:rPr>
            </w:pPr>
            <w:r>
              <w:rPr>
                <w:rFonts w:ascii="Arial" w:cs="Arial" w:eastAsia="Arial" w:hAnsi="Arial"/>
                <w:sz w:val="18"/>
                <w:szCs w:val="18"/>
                <w:color w:val="auto"/>
              </w:rPr>
              <w:t>Effective tax rate</w:t>
            </w:r>
          </w:p>
        </w:tc>
        <w:tc>
          <w:tcPr>
            <w:tcW w:w="480" w:type="dxa"/>
            <w:vAlign w:val="bottom"/>
            <w:gridSpan w:val="2"/>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25.5%</w:t>
            </w:r>
          </w:p>
        </w:tc>
        <w:tc>
          <w:tcPr>
            <w:tcW w:w="20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-1362075</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-1362075</wp:posOffset>
            </wp:positionV>
            <wp:extent cx="38144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55" w:lineRule="exact"/>
        <w:rPr>
          <w:sz w:val="20"/>
          <w:szCs w:val="20"/>
          <w:color w:val="auto"/>
        </w:rPr>
      </w:pPr>
    </w:p>
    <w:p>
      <w:pPr>
        <w:ind w:left="1620" w:right="859" w:hanging="352"/>
        <w:spacing w:after="0" w:line="255"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became the sole manager of TWM LLC. As the sole manager of TWM LLC, we operate and control all of the business and affairs of TWM LLC and, through TWM LLC and its subsidiaries, conduct our business. As a result of this control, and because we have a substantial financial interest in TWM LLC, we consolidate the financial results of TWM LLC and report a non-controlling interest related to the LLC Interests held by the Continuing LLC Owners in our consolidated financial statements.</w:t>
      </w:r>
    </w:p>
    <w:p>
      <w:pPr>
        <w:spacing w:after="0" w:line="84" w:lineRule="exact"/>
        <w:rPr>
          <w:rFonts w:ascii="Arial" w:cs="Arial" w:eastAsia="Arial" w:hAnsi="Arial"/>
          <w:sz w:val="18"/>
          <w:szCs w:val="18"/>
          <w:color w:val="auto"/>
        </w:rPr>
      </w:pPr>
    </w:p>
    <w:p>
      <w:pPr>
        <w:ind w:left="1620" w:right="719"/>
        <w:spacing w:after="0" w:line="257" w:lineRule="auto"/>
        <w:rPr>
          <w:rFonts w:ascii="Arial" w:cs="Arial" w:eastAsia="Arial" w:hAnsi="Arial"/>
          <w:sz w:val="18"/>
          <w:szCs w:val="18"/>
          <w:color w:val="auto"/>
        </w:rPr>
      </w:pPr>
      <w:r>
        <w:rPr>
          <w:rFonts w:ascii="Arial" w:cs="Arial" w:eastAsia="Arial" w:hAnsi="Arial"/>
          <w:sz w:val="18"/>
          <w:szCs w:val="18"/>
          <w:color w:val="auto"/>
        </w:rPr>
        <w:t>Following the completion of the Reorganization Transactions and IPO, we owned 64.3% of the economic interest of TWM LLC and the Continuing LLC Owners owned 35.7% of the economic interest of TWM LLC, and as such, this adjustment reflects that 35.7% of TWM LLC’s net income was attributable to the non-controlling interests following the completion of the Reorganization Transactions and IPO.</w:t>
      </w:r>
    </w:p>
    <w:p>
      <w:pPr>
        <w:spacing w:after="0" w:line="79" w:lineRule="exact"/>
        <w:rPr>
          <w:rFonts w:ascii="Arial" w:cs="Arial" w:eastAsia="Arial" w:hAnsi="Arial"/>
          <w:sz w:val="18"/>
          <w:szCs w:val="18"/>
          <w:color w:val="auto"/>
        </w:rPr>
      </w:pPr>
    </w:p>
    <w:p>
      <w:pPr>
        <w:ind w:left="1620" w:right="679"/>
        <w:spacing w:after="0" w:line="279" w:lineRule="auto"/>
        <w:rPr>
          <w:rFonts w:ascii="Arial" w:cs="Arial" w:eastAsia="Arial" w:hAnsi="Arial"/>
          <w:sz w:val="18"/>
          <w:szCs w:val="18"/>
          <w:color w:val="auto"/>
        </w:rPr>
      </w:pPr>
      <w:r>
        <w:rPr>
          <w:rFonts w:ascii="Arial" w:cs="Arial" w:eastAsia="Arial" w:hAnsi="Arial"/>
          <w:sz w:val="17"/>
          <w:szCs w:val="17"/>
          <w:color w:val="auto"/>
        </w:rPr>
        <w:t>Following the completion of the October 2019 follow-on offering, we owned 73.3% of the economic interest of TWM LLC and the Continuing LLC Owners owned 26.7% of the economic interest of TWM LLC, and as such, this adjustment reflects that 26.7% of TWM LLC’s net income was attributable to the non-controlling interests following the completion of the October 2019 follow-on offering.</w:t>
      </w:r>
    </w:p>
    <w:p>
      <w:pPr>
        <w:spacing w:after="0" w:line="63" w:lineRule="exact"/>
        <w:rPr>
          <w:rFonts w:ascii="Arial" w:cs="Arial" w:eastAsia="Arial" w:hAnsi="Arial"/>
          <w:sz w:val="18"/>
          <w:szCs w:val="18"/>
          <w:color w:val="auto"/>
        </w:rPr>
      </w:pPr>
    </w:p>
    <w:p>
      <w:pPr>
        <w:ind w:left="1620" w:right="739"/>
        <w:spacing w:after="0" w:line="255" w:lineRule="auto"/>
        <w:rPr>
          <w:rFonts w:ascii="Arial" w:cs="Arial" w:eastAsia="Arial" w:hAnsi="Arial"/>
          <w:sz w:val="18"/>
          <w:szCs w:val="18"/>
          <w:color w:val="auto"/>
        </w:rPr>
      </w:pPr>
      <w:r>
        <w:rPr>
          <w:rFonts w:ascii="Arial" w:cs="Arial" w:eastAsia="Arial" w:hAnsi="Arial"/>
          <w:sz w:val="18"/>
          <w:szCs w:val="18"/>
          <w:color w:val="auto"/>
        </w:rPr>
        <w:t>Following this offering and the application of substantially all of the net proceeds from this offering to purchase issued and outstanding LLC Interests (and cancel the corresponding shares of common stock) from the Selling LLC Owners, we will own 78.2% of the economic interest of TWM LLC and the Continuing LLC Owners will own 21.8% of the economic interest of TWM LLC, and as such, this adjustment reflects that 21.8% of TWM LLC’s net income will be attributable to the non-controlling interests following this offering.</w:t>
      </w:r>
    </w:p>
    <w:p>
      <w:pPr>
        <w:spacing w:after="0" w:line="97" w:lineRule="exact"/>
        <w:rPr>
          <w:rFonts w:ascii="Arial" w:cs="Arial" w:eastAsia="Arial" w:hAnsi="Arial"/>
          <w:sz w:val="18"/>
          <w:szCs w:val="18"/>
          <w:color w:val="auto"/>
        </w:rPr>
      </w:pPr>
    </w:p>
    <w:p>
      <w:pPr>
        <w:ind w:left="1620" w:right="699" w:hanging="352"/>
        <w:spacing w:after="0" w:line="279" w:lineRule="auto"/>
        <w:tabs>
          <w:tab w:leader="none" w:pos="1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 forma basic earnings per share is computed by dividing the pro forma net income attributable to Tradeweb Markets Inc. by the pro forma weighted-average shares of Class A common stock and Class B common stock outstanding during the period. Pro forma diluted earnings per share is computed by adjusting pro forma net income attributable to Tradeweb Markets Inc. and the weighted</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19"/>
        <w:spacing w:after="0" w:line="271" w:lineRule="auto"/>
        <w:rPr>
          <w:sz w:val="20"/>
          <w:szCs w:val="20"/>
          <w:color w:val="auto"/>
        </w:rPr>
      </w:pPr>
      <w:r>
        <w:rPr>
          <w:rFonts w:ascii="Arial" w:cs="Arial" w:eastAsia="Arial" w:hAnsi="Arial"/>
          <w:sz w:val="17"/>
          <w:szCs w:val="17"/>
          <w:color w:val="auto"/>
        </w:rPr>
        <w:t>average shares of Class A common stock and Class B common stock outstanding to give effect to potentially dilutive securities that qualify as participating securities using the treasury stock method, as applicable. Shares of Class C common stock and Class D common stock are not entitled to receive any distributions or dividends and, therefore, are not included in, as they are not participating securities for purposes of, the computation of pro forma basic or diluted earnings per share. The diluted weighted average share calculation assumes that certain equity awards were issued and outstanding at the beginning of the period. The following table sets forth a reconciliation of the numerators and denominators used to compute pro forma basic and diluted earnings per share.</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Tradeweb</w:t>
            </w:r>
          </w:p>
        </w:tc>
      </w:tr>
      <w:tr>
        <w:trPr>
          <w:trHeight w:val="186"/>
        </w:trPr>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Markets Inc.</w:t>
            </w:r>
          </w:p>
        </w:tc>
      </w:tr>
      <w:tr>
        <w:trPr>
          <w:trHeight w:val="26"/>
        </w:trPr>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17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Year Ended</w:t>
            </w:r>
          </w:p>
        </w:tc>
      </w:tr>
      <w:tr>
        <w:trPr>
          <w:trHeight w:val="16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68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6"/>
                <w:szCs w:val="16"/>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Numerator:</w:t>
            </w:r>
          </w:p>
        </w:tc>
        <w:tc>
          <w:tcPr>
            <w:tcW w:w="600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68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164,488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03"/>
        </w:trPr>
        <w:tc>
          <w:tcPr>
            <w:tcW w:w="68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Net income attributable to Tradeweb Markets Inc. – Basic and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106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w w:val="96"/>
              </w:rPr>
              <w:t>Denominator:</w:t>
            </w:r>
          </w:p>
        </w:tc>
        <w:tc>
          <w:tcPr>
            <w:tcW w:w="58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880" w:type="dxa"/>
            <w:vAlign w:val="bottom"/>
            <w:gridSpan w:val="4"/>
          </w:tcPr>
          <w:p>
            <w:pPr>
              <w:spacing w:after="0"/>
              <w:rPr>
                <w:sz w:val="20"/>
                <w:szCs w:val="20"/>
                <w:color w:val="auto"/>
              </w:rPr>
            </w:pPr>
            <w:r>
              <w:rPr>
                <w:rFonts w:ascii="Arial" w:cs="Arial" w:eastAsia="Arial" w:hAnsi="Arial"/>
                <w:sz w:val="18"/>
                <w:szCs w:val="18"/>
                <w:color w:val="auto"/>
              </w:rPr>
              <w:t>Shares of Class A common stock issued in connection with the IPO, the October 2019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6880" w:type="dxa"/>
            <w:vAlign w:val="bottom"/>
            <w:gridSpan w:val="4"/>
          </w:tcPr>
          <w:p>
            <w:pPr>
              <w:ind w:left="180"/>
              <w:spacing w:after="0"/>
              <w:rPr>
                <w:sz w:val="20"/>
                <w:szCs w:val="20"/>
                <w:color w:val="auto"/>
              </w:rPr>
            </w:pPr>
            <w:r>
              <w:rPr>
                <w:rFonts w:ascii="Arial" w:cs="Arial" w:eastAsia="Arial" w:hAnsi="Arial"/>
                <w:sz w:val="18"/>
                <w:szCs w:val="18"/>
                <w:color w:val="auto"/>
              </w:rPr>
              <w:t>follow-on offering and other exchanges of LLC Interests and option exercises</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66,408,328</w:t>
            </w:r>
          </w:p>
        </w:tc>
        <w:tc>
          <w:tcPr>
            <w:tcW w:w="40" w:type="dxa"/>
            <w:vAlign w:val="bottom"/>
          </w:tcPr>
          <w:p>
            <w:pPr>
              <w:spacing w:after="0"/>
              <w:rPr>
                <w:sz w:val="20"/>
                <w:szCs w:val="20"/>
                <w:color w:val="auto"/>
              </w:rPr>
            </w:pPr>
          </w:p>
        </w:tc>
      </w:tr>
      <w:tr>
        <w:trPr>
          <w:trHeight w:val="235"/>
        </w:trPr>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of Class B common stock issued in connection with the Reorganization</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4"/>
        </w:trPr>
        <w:tc>
          <w:tcPr>
            <w:tcW w:w="6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Transactions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96,933,192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9"/>
        </w:trPr>
        <w:tc>
          <w:tcPr>
            <w:tcW w:w="6880" w:type="dxa"/>
            <w:vAlign w:val="bottom"/>
            <w:gridSpan w:val="4"/>
          </w:tcPr>
          <w:p>
            <w:pPr>
              <w:spacing w:after="0"/>
              <w:rPr>
                <w:sz w:val="20"/>
                <w:szCs w:val="20"/>
                <w:color w:val="auto"/>
              </w:rPr>
            </w:pPr>
            <w:r>
              <w:rPr>
                <w:rFonts w:ascii="Arial" w:cs="Arial" w:eastAsia="Arial" w:hAnsi="Arial"/>
                <w:sz w:val="18"/>
                <w:szCs w:val="18"/>
                <w:color w:val="auto"/>
              </w:rPr>
              <w:t>Shares of Class A common stock issued in connection with the Net Exercise and this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880" w:type="dxa"/>
            <w:vAlign w:val="bottom"/>
            <w:gridSpan w:val="4"/>
          </w:tcPr>
          <w:p>
            <w:pPr>
              <w:ind w:left="180"/>
              <w:spacing w:after="0"/>
              <w:rPr>
                <w:sz w:val="20"/>
                <w:szCs w:val="20"/>
                <w:color w:val="auto"/>
              </w:rPr>
            </w:pPr>
            <w:r>
              <w:rPr>
                <w:rFonts w:ascii="Arial" w:cs="Arial" w:eastAsia="Arial" w:hAnsi="Arial"/>
                <w:sz w:val="18"/>
                <w:szCs w:val="18"/>
                <w:color w:val="auto"/>
              </w:rPr>
              <w:t>offering</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11,238,100</w:t>
            </w:r>
          </w:p>
        </w:tc>
        <w:tc>
          <w:tcPr>
            <w:tcW w:w="40" w:type="dxa"/>
            <w:vAlign w:val="bottom"/>
          </w:tcPr>
          <w:p>
            <w:pPr>
              <w:spacing w:after="0"/>
              <w:rPr>
                <w:sz w:val="20"/>
                <w:szCs w:val="20"/>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4"/>
                <w:shd w:val="clear" w:color="auto" w:fill="CCEEFF"/>
              </w:rPr>
              <w:t>Weighted average shares of Class A and Class B common stock outstanding – Basic</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174,579,620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6880" w:type="dxa"/>
            <w:vAlign w:val="bottom"/>
            <w:gridSpan w:val="4"/>
          </w:tcPr>
          <w:p>
            <w:pPr>
              <w:spacing w:after="0"/>
              <w:rPr>
                <w:sz w:val="20"/>
                <w:szCs w:val="20"/>
                <w:color w:val="auto"/>
              </w:rPr>
            </w:pPr>
            <w:r>
              <w:rPr>
                <w:rFonts w:ascii="Arial" w:cs="Arial" w:eastAsia="Arial" w:hAnsi="Arial"/>
                <w:sz w:val="18"/>
                <w:szCs w:val="18"/>
                <w:color w:val="auto"/>
              </w:rPr>
              <w:t>Dilutive effect of options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6,062,835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Dilutive effect of equity-settled PRSUs</w:t>
            </w: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2,464,137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7"/>
        </w:trPr>
        <w:tc>
          <w:tcPr>
            <w:tcW w:w="68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w w:val="92"/>
              </w:rPr>
              <w:t>Weighted average shares of Class A and Class B common stock outstanding – Diluted</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183,106,592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880" w:type="dxa"/>
            <w:vAlign w:val="bottom"/>
            <w:gridSpan w:val="4"/>
          </w:tcPr>
          <w:p>
            <w:pPr>
              <w:spacing w:after="0"/>
              <w:rPr>
                <w:sz w:val="20"/>
                <w:szCs w:val="20"/>
                <w:color w:val="auto"/>
              </w:rPr>
            </w:pPr>
            <w:r>
              <w:rPr>
                <w:rFonts w:ascii="Arial" w:cs="Arial" w:eastAsia="Arial" w:hAnsi="Arial"/>
                <w:sz w:val="18"/>
                <w:szCs w:val="18"/>
                <w:color w:val="auto"/>
              </w:rPr>
              <w:t>Earnings per share –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-607695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-1113790</wp:posOffset>
            </wp:positionV>
            <wp:extent cx="43548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-2365375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2" w:lineRule="exact"/>
        <w:rPr>
          <w:sz w:val="20"/>
          <w:szCs w:val="20"/>
          <w:color w:val="auto"/>
        </w:rPr>
      </w:pPr>
    </w:p>
    <w:p>
      <w:pPr>
        <w:jc w:val="both"/>
        <w:ind w:left="1620" w:right="799"/>
        <w:spacing w:after="0" w:line="257" w:lineRule="auto"/>
        <w:rPr>
          <w:sz w:val="20"/>
          <w:szCs w:val="20"/>
          <w:color w:val="auto"/>
        </w:rPr>
      </w:pPr>
      <w:r>
        <w:rPr>
          <w:rFonts w:ascii="Arial" w:cs="Arial" w:eastAsia="Arial" w:hAnsi="Arial"/>
          <w:sz w:val="18"/>
          <w:szCs w:val="18"/>
          <w:color w:val="auto"/>
        </w:rPr>
        <w:t>LLC Interests held by the Continuing LLC Owners are redeemable, at the election of such holders, for shares of our Class A common stock or Class B common stock. After evaluating the potential dilutive effect under the if-converted method, the outstanding LLC Interests for the assumed exchange of non-controlling interests were determined to be anti-dilutive and thus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following table sets forth information about our executive officers and directors, including their ages as of April 16, 2020.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66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President and Director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Managing Director, Head of Europe and Asia Business</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7"/>
              </w:rPr>
              <w:t>Managing Director, Global Head of Corporate Development</w:t>
            </w:r>
          </w:p>
        </w:tc>
      </w:tr>
      <w:tr>
        <w:trPr>
          <w:trHeight w:val="297"/>
        </w:trPr>
        <w:tc>
          <w:tcPr>
            <w:tcW w:w="2920" w:type="dxa"/>
            <w:vAlign w:val="bottom"/>
            <w:gridSpan w:val="2"/>
          </w:tcPr>
          <w:p>
            <w:pPr>
              <w:spacing w:after="0"/>
              <w:rPr>
                <w:sz w:val="20"/>
                <w:szCs w:val="20"/>
                <w:color w:val="auto"/>
              </w:rPr>
            </w:pPr>
            <w:r>
              <w:rPr>
                <w:rFonts w:ascii="Arial" w:cs="Arial" w:eastAsia="Arial" w:hAnsi="Arial"/>
                <w:sz w:val="18"/>
                <w:szCs w:val="18"/>
                <w:color w:val="auto"/>
              </w:rPr>
              <w:t>Justin Peterson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Risk and Administrative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Steven Berns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 Chairman of the Board of Directors</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879" w:firstLine="360"/>
        <w:spacing w:after="0" w:line="269" w:lineRule="auto"/>
        <w:rPr>
          <w:sz w:val="20"/>
          <w:szCs w:val="20"/>
          <w:color w:val="auto"/>
        </w:rPr>
      </w:pPr>
      <w:r>
        <w:rPr>
          <w:rFonts w:ascii="Arial" w:cs="Arial" w:eastAsia="Arial" w:hAnsi="Arial"/>
          <w:sz w:val="17"/>
          <w:szCs w:val="17"/>
          <w:color w:val="auto"/>
        </w:rPr>
        <w:t>Mr. Olesky is our co-founder and has served as Tradeweb’s Chief Executive Officer and on the board of directors since its formation. Mr. Olesky has been TWM LLC’s Chief Executive Officer since September 2008 and, prior to the Reorganization Transactions, served on the former board of managers of TWM LLC beginning in 2008. After being our founding Chairman of the Board from 1996 to 1998,</w:t>
      </w:r>
    </w:p>
    <w:p>
      <w:pPr>
        <w:spacing w:after="0" w:line="2" w:lineRule="exact"/>
        <w:rPr>
          <w:sz w:val="20"/>
          <w:szCs w:val="20"/>
          <w:color w:val="auto"/>
        </w:rPr>
      </w:pPr>
    </w:p>
    <w:p>
      <w:pPr>
        <w:ind w:left="1260" w:right="739"/>
        <w:spacing w:after="0" w:line="251" w:lineRule="auto"/>
        <w:rPr>
          <w:sz w:val="20"/>
          <w:szCs w:val="20"/>
          <w:color w:val="auto"/>
        </w:rPr>
      </w:pPr>
      <w:r>
        <w:rPr>
          <w:rFonts w:ascii="Arial" w:cs="Arial" w:eastAsia="Arial" w:hAnsi="Arial"/>
          <w:sz w:val="18"/>
          <w:szCs w:val="18"/>
          <w:color w:val="auto"/>
        </w:rPr>
        <w:t>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Mr. Hult has served as Tradeweb’s President since its formation and has served on its board of directors since March 2019. Mr. Hult has served as TWM LLC’s President since September 2008 and, prior to the Reorganization Transactions, served on the former board of managers of TWM LLC beginning in September 2008. Mr. Hult joined Tradeweb in July 2000 as a product manager and oversaw the creation of</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5" w:lineRule="auto"/>
        <w:rPr>
          <w:sz w:val="20"/>
          <w:szCs w:val="20"/>
          <w:color w:val="auto"/>
        </w:rPr>
      </w:pPr>
      <w:r>
        <w:rPr>
          <w:rFonts w:ascii="Arial" w:cs="Arial" w:eastAsia="Arial" w:hAnsi="Arial"/>
          <w:sz w:val="17"/>
          <w:szCs w:val="17"/>
          <w:color w:val="auto"/>
        </w:rPr>
        <w:t>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Mr. Bruni has served as Managing Director, Head of Europe and Asia Business of TWM LLC since February 2013 and has served in the 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Mr. Maisey has served as Managing Director, Global Head of Corporate Development of TWM LLC since May 2016 and has served in the 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Justin Peterson</w:t>
      </w:r>
    </w:p>
    <w:p>
      <w:pPr>
        <w:spacing w:after="0" w:line="9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Mr. Peterson has served as Chief Technology Officer of Tradeweb since April 2020, and has served on TWM LLC’s Global Operating 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Mr. Zucker has served as Tradeweb’s Chief Risk and Administrative Officer since February 2020, and served as Tradeweb’s Chief Administrative Officer since its formation and as the Chief Administrative Officer of TWM LLC since November 2009.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Mr. Zucker is a member of the Market Risk Advisory Committee of the U.S. Futures Trading Commission and serves on the Board of Directors for Habitat for Humanity NYC. He received a B.A. from Tufts University and a J.D. from Hofstra University School of Law.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Steven Berns</w:t>
      </w:r>
    </w:p>
    <w:p>
      <w:pPr>
        <w:spacing w:after="0" w:line="10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Mr. Berns has served on Tradeweb’s board of directors since April 2020. Mr. Berns has served as Chief Financial Officer of GTT Communications, Inc. since April 2020. Prior to that, Mr. Berns served as Chief 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(“MDC Partners”). He previously held several senior financial positions at the Interpublic Group of Companies, Inc. and Revlon. Mr. Berns currently serves as a board member for Forum Merger II Corporation and has previously served as a board member of Forum Merger Corporation, Shutterstock and LivePerson, Inc. Mr. Berns received a B.S. in Business and Economics from Lehigh University and an Executive MBA in Finance from New York University, Stern School of Business. Mr. Berns was selected to serve on our board of directors because of his extensive financial knowledge, including from his service as Chief Financial Officer of Tribune, Revlon, TWM LLC, MDC Partners, and most recently Shutterstock.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Mr. Finley has served on Tradeweb’s board of directors since March 2019. Mr. Finley is a Senior Managing 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the Advisory Board of the Harvard Law School Program on Corporate Governance, the Board of Advisors of the Penn Institute for Law and Economics and the Advisory Board of the Penn Netter Center for Community Partnerships. He has served</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 xml:space="preserve">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the Wharton School of the University of Pennsylvania (1978), a B.A. in History,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the College of Arts and Sciences of the University of Pennsylvania (1978) and a JD, </w:t>
      </w:r>
      <w:r>
        <w:rPr>
          <w:rFonts w:ascii="Arial" w:cs="Arial" w:eastAsia="Arial" w:hAnsi="Arial"/>
          <w:sz w:val="18"/>
          <w:szCs w:val="18"/>
          <w:i w:val="1"/>
          <w:iCs w:val="1"/>
          <w:color w:val="auto"/>
        </w:rPr>
        <w:t>cum laude</w:t>
      </w:r>
      <w:r>
        <w:rPr>
          <w:rFonts w:ascii="Arial" w:cs="Arial" w:eastAsia="Arial" w:hAnsi="Arial"/>
          <w:sz w:val="18"/>
          <w:szCs w:val="18"/>
          <w:color w:val="auto"/>
        </w:rPr>
        <w:t>, from Harvard Law School (1981). Mr. Finley was selected to serve on our board of directors because of his extensive business, management and legal experience.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979" w:firstLine="360"/>
        <w:spacing w:after="0" w:line="268" w:lineRule="auto"/>
        <w:rPr>
          <w:sz w:val="20"/>
          <w:szCs w:val="20"/>
          <w:color w:val="auto"/>
        </w:rPr>
      </w:pPr>
      <w:r>
        <w:rPr>
          <w:rFonts w:ascii="Arial" w:cs="Arial" w:eastAsia="Arial" w:hAnsi="Arial"/>
          <w:sz w:val="17"/>
          <w:szCs w:val="17"/>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w:t>
      </w:r>
    </w:p>
    <w:p>
      <w:pPr>
        <w:spacing w:after="0" w:line="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 Ms. Madoff received a B.A. degree in Economics, cum laude, from Lafayette College and an M.B.A. from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819" w:firstLine="360"/>
        <w:spacing w:after="0" w:line="252" w:lineRule="auto"/>
        <w:rPr>
          <w:sz w:val="20"/>
          <w:szCs w:val="20"/>
          <w:color w:val="auto"/>
        </w:rPr>
      </w:pPr>
      <w:r>
        <w:rPr>
          <w:rFonts w:ascii="Arial" w:cs="Arial" w:eastAsia="Arial" w:hAnsi="Arial"/>
          <w:sz w:val="18"/>
          <w:szCs w:val="18"/>
          <w:color w:val="auto"/>
        </w:rPr>
        <w:t>Mr. Pluta has served on Tradeweb’s board of directors since March 2019 and, prior to the Reorganization Transactions, served on the former board of managers of TWM LLC beginning in December 2017. Mr. Pluta has served as Global Head of the Linear Rates Trading business at J.P. Morgan since July 2019. Prior to that, Mr. Pluta was Co-Head of Global Rates Trading between April 2015 and July 2019 and Global Head of Short Term Interest Rate Trading between January 2014 and April 2015 at J.P. Morgan.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2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Ms. Walton has served on Tradeweb’s board of directors since March 2019 and, prior to the Reorganization Transactions, served on the former board of managers of TWM LLC beginning in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w:t>
      </w:r>
    </w:p>
    <w:p>
      <w:pPr>
        <w:spacing w:after="0" w:line="3" w:lineRule="exact"/>
        <w:rPr>
          <w:sz w:val="20"/>
          <w:szCs w:val="20"/>
          <w:color w:val="auto"/>
        </w:rPr>
      </w:pPr>
    </w:p>
    <w:p>
      <w:pPr>
        <w:ind w:left="1260" w:right="919"/>
        <w:spacing w:after="0" w:line="253" w:lineRule="auto"/>
        <w:rPr>
          <w:sz w:val="20"/>
          <w:szCs w:val="20"/>
          <w:color w:val="auto"/>
        </w:rPr>
      </w:pPr>
      <w:r>
        <w:rPr>
          <w:rFonts w:ascii="Arial" w:cs="Arial" w:eastAsia="Arial" w:hAnsi="Arial"/>
          <w:sz w:val="18"/>
          <w:szCs w:val="18"/>
          <w:color w:val="auto"/>
        </w:rPr>
        <w:t>Ms. Walton held senior executive roles at Cantor Fitzgerald, Nucleus Financial and Dow Jones Telerate. Ms. Walton has served as an advisory board member of Springboard since March 2013. Ms. Walton was selected to serve on our board of directors because of her extensive business and management experience and valuable knowledge and experience in our industry.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West has served on Tradeweb’s board of directors since March 2019. Mr. West has served as Chief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Officer of Refinitiv since November 2018. Prior to that, Mr. West was the Chief Financial Officer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Executive Vice President of Operations of Oscar Insurance Corporation between January 2016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November 2018. Prior to that, Mr. West was the Chief Operating Officer of Nielsen Holdings plc between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2014 and January 2016 and the Chief Financial Officer of Nielsen Holdings plc (or its predecessor)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February 2007 to March 2014. Prior to joining Nielsen Holdings plc, Mr. West was employed by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 Electric Company as the Chief Financial Officer of its GE Aviation division from June 2005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February 2007. Prior to that, Mr. West held several senior financial positions across General Electric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businesses, including NBC and Plastics. Mr. West is a veteran of General Electric Company’s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leadership program and spent more than 16 years with General Electric Company. In the past,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West served as a director and Chair of the Audit Committee of Getty Images. He received a B.S. degree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finance from Siena College and an M.B.A. from Columbia University. Mr. West was selected to serve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because of his extensive financial knowledge, including from his service as Chief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Officer at GE Aviation, Nielsen Holdings plc, Oscar Insurance Corporation and, most recently, 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Refinitiv.</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10 directors. Our amended and restated certificate of incorporation and amended and restated bylaws provide for a classified board of directors consisting of three classes of directors, each serving staggered three-year terms as follows:</w:t>
      </w:r>
    </w:p>
    <w:p>
      <w:pPr>
        <w:spacing w:after="0" w:line="160" w:lineRule="exact"/>
        <w:rPr>
          <w:sz w:val="20"/>
          <w:szCs w:val="20"/>
          <w:color w:val="auto"/>
        </w:rPr>
      </w:pPr>
    </w:p>
    <w:p>
      <w:pPr>
        <w:ind w:left="1980" w:right="77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 directors are Mr. Finley, Mr. Ganeles and Ms. Walton and their terms will expire at the annual meeting of stockholders to be held in 2020;</w:t>
      </w:r>
    </w:p>
    <w:p>
      <w:pPr>
        <w:spacing w:after="0" w:line="129"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 directors are Ms. Madoff, Mr. Pluta and Mr. West and their terms will expire at the annual meeting of stockholders to be held in 2021; and</w:t>
      </w:r>
    </w:p>
    <w:p>
      <w:pPr>
        <w:spacing w:after="0" w:line="129"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III directors are Mr. Berns, Mr. Brand, Mr. Hult and Mr. Olesky and their terms will expire at the annual meeting of stockholders to be held in 2022.</w:t>
      </w:r>
    </w:p>
    <w:p>
      <w:pPr>
        <w:spacing w:after="0" w:line="62"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In addition, pursuant to the Stockholders Agreement with the Refinitiv Owners, the Refinitiv Owners have the right to designate nominees to our board of directors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Our board of directors has affirmatively determined that Mr. Berns, Mr. Ganeles and Ms. Madoff are independent directors under the rules of Nasdaq, and are independent directors as such term is defined in Rule 10A-3(b)(1) under the Exchange Act.</w:t>
      </w:r>
    </w:p>
    <w:p>
      <w:pPr>
        <w:spacing w:after="0" w:line="76"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Refinitiv Owners, who are parties to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rules, a “controlled company” may elect not to comply with certain corporate governance requirements, including:</w:t>
      </w:r>
    </w:p>
    <w:p>
      <w:pPr>
        <w:spacing w:after="0" w:line="161" w:lineRule="exact"/>
        <w:rPr>
          <w:sz w:val="20"/>
          <w:szCs w:val="20"/>
          <w:color w:val="auto"/>
        </w:rPr>
      </w:pPr>
    </w:p>
    <w:p>
      <w:pPr>
        <w:ind w:left="1980" w:hanging="352"/>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3" w:lineRule="exact"/>
        <w:rPr>
          <w:rFonts w:ascii="Arial" w:cs="Arial" w:eastAsia="Arial" w:hAnsi="Arial"/>
          <w:sz w:val="18"/>
          <w:szCs w:val="18"/>
          <w:color w:val="auto"/>
        </w:rPr>
      </w:pPr>
    </w:p>
    <w:p>
      <w:pPr>
        <w:ind w:left="1980" w:right="779" w:hanging="352"/>
        <w:spacing w:after="0" w:line="342" w:lineRule="auto"/>
        <w:tabs>
          <w:tab w:leader="none" w:pos="1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 See “Risk Factors</w:t>
      </w:r>
    </w:p>
    <w:p>
      <w:pPr>
        <w:spacing w:after="0" w:line="2" w:lineRule="exact"/>
        <w:rPr>
          <w:sz w:val="20"/>
          <w:szCs w:val="20"/>
          <w:color w:val="auto"/>
        </w:rPr>
      </w:pPr>
    </w:p>
    <w:p>
      <w:pPr>
        <w:ind w:left="1260" w:right="939"/>
        <w:spacing w:after="0" w:line="255" w:lineRule="auto"/>
        <w:rPr>
          <w:sz w:val="20"/>
          <w:szCs w:val="20"/>
          <w:color w:val="auto"/>
        </w:rPr>
      </w:pPr>
      <w:r>
        <w:rPr>
          <w:rFonts w:ascii="Arial" w:cs="Arial" w:eastAsia="Arial" w:hAnsi="Arial"/>
          <w:sz w:val="18"/>
          <w:szCs w:val="18"/>
          <w:color w:val="auto"/>
        </w:rPr>
        <w:t>— Risks Relating to Ownership of Our Class A Common Stock — We are a “controlled company” within the meaning of the corporate governance standards of Nasdaq and, as a result, qualify for, and rely on, exemptions from certain corporate governance requirements.”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board of directors has three committees: the audit committee; the compensation committee; and the nominating and corporate governance committee. Our board of directors may establish other committees to facilitate the management of our business. The composition and functions of the audit committee, compensation committee and nominating and corporate governance committee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 of the audit committee are Mr. Berns, as Chairman, Mr. Ganeles, and Ms. Madoff.</w:t>
      </w:r>
    </w:p>
    <w:p>
      <w:pPr>
        <w:spacing w:after="0" w:line="117"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Mr. Berns qualifies as our “audit committee financial expert” within the meaning of regulations adopted by the SEC. Our board of directors has also determined that each of Mr. Berns, Mr. Ganeles and Ms. Madoff are “independent” as defined under Nasdaq rules and the Exchange Act and rules and regulations promulgated thereunder.</w:t>
      </w:r>
    </w:p>
    <w:p>
      <w:pPr>
        <w:spacing w:after="0" w:line="79"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w:t>
      </w:r>
    </w:p>
    <w:p>
      <w:pPr>
        <w:spacing w:after="0" w:line="10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08"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8"/>
          <w:szCs w:val="18"/>
          <w:color w:val="auto"/>
        </w:rPr>
        <w:t>The members of the nominating and corporate governance committee are Mr. Finley, as Chairman, 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99" w:firstLine="360"/>
        <w:spacing w:after="0" w:line="272" w:lineRule="auto"/>
        <w:rPr>
          <w:sz w:val="20"/>
          <w:szCs w:val="20"/>
          <w:color w:val="auto"/>
        </w:rPr>
      </w:pPr>
      <w:r>
        <w:rPr>
          <w:rFonts w:ascii="Arial" w:cs="Arial" w:eastAsia="Arial" w:hAnsi="Arial"/>
          <w:sz w:val="17"/>
          <w:szCs w:val="17"/>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as of March 31, 2020, after giving effect to the Net Exercise and the completion of this offering and the application of the net proceeds therefrom as described in “Use of Proceeds” and “Certain Relationships and Related Party Transactions — Transactions With Certain Original LLC Owners,” for:</w:t>
      </w:r>
    </w:p>
    <w:p>
      <w:pPr>
        <w:spacing w:after="0" w:line="93" w:lineRule="exact"/>
        <w:rPr>
          <w:sz w:val="20"/>
          <w:szCs w:val="20"/>
          <w:color w:val="auto"/>
        </w:rPr>
      </w:pPr>
    </w:p>
    <w:p>
      <w:pPr>
        <w:ind w:left="1980" w:right="77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rights described elsewhere in this prospectus, held by such person that have vested or will vest within 60 days of March 31, 2020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1637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shd w:val="clear" w:color="auto" w:fill="CCEEFF"/>
        </w:rPr>
        <w:t>Entities affiliated with Refinitiv</w:t>
      </w:r>
      <w:r>
        <w:rPr>
          <w:rFonts w:ascii="Arial" w:cs="Arial" w:eastAsia="Arial" w:hAnsi="Arial"/>
          <w:sz w:val="25"/>
          <w:szCs w:val="25"/>
          <w:color w:val="auto"/>
          <w:vertAlign w:val="superscript"/>
          <w:shd w:val="clear" w:color="auto" w:fill="CCEEFF"/>
        </w:rPr>
        <w:t>(4)</w:t>
      </w:r>
    </w:p>
    <w:p>
      <w:pPr>
        <w:ind w:left="1260"/>
        <w:spacing w:after="0" w:line="216" w:lineRule="auto"/>
        <w:rPr>
          <w:sz w:val="20"/>
          <w:szCs w:val="20"/>
          <w:color w:val="auto"/>
        </w:rPr>
      </w:pPr>
      <w:r>
        <w:rPr>
          <w:rFonts w:ascii="Arial" w:cs="Arial" w:eastAsia="Arial" w:hAnsi="Arial"/>
          <w:sz w:val="18"/>
          <w:szCs w:val="18"/>
          <w:color w:val="auto"/>
        </w:rPr>
        <w:t>Lee Olesky</w:t>
      </w:r>
      <w:r>
        <w:rPr>
          <w:rFonts w:ascii="Arial" w:cs="Arial" w:eastAsia="Arial" w:hAnsi="Arial"/>
          <w:sz w:val="26"/>
          <w:szCs w:val="26"/>
          <w:color w:val="auto"/>
          <w:vertAlign w:val="superscript"/>
        </w:rPr>
        <w:t>(5)</w:t>
      </w:r>
    </w:p>
    <w:p>
      <w:pPr>
        <w:ind w:left="1260"/>
        <w:spacing w:after="0" w:line="217" w:lineRule="auto"/>
        <w:rPr>
          <w:sz w:val="20"/>
          <w:szCs w:val="20"/>
          <w:color w:val="auto"/>
        </w:rPr>
      </w:pPr>
      <w:r>
        <w:rPr>
          <w:rFonts w:ascii="Arial" w:cs="Arial" w:eastAsia="Arial" w:hAnsi="Arial"/>
          <w:sz w:val="18"/>
          <w:szCs w:val="18"/>
          <w:color w:val="auto"/>
        </w:rPr>
        <w:t>Billy Hult</w:t>
      </w:r>
      <w:r>
        <w:rPr>
          <w:rFonts w:ascii="Arial" w:cs="Arial" w:eastAsia="Arial" w:hAnsi="Arial"/>
          <w:sz w:val="26"/>
          <w:szCs w:val="26"/>
          <w:color w:val="auto"/>
          <w:vertAlign w:val="superscript"/>
        </w:rPr>
        <w:t>(6)</w:t>
      </w:r>
    </w:p>
    <w:p>
      <w:pPr>
        <w:ind w:left="1260"/>
        <w:spacing w:after="0" w:line="217" w:lineRule="auto"/>
        <w:rPr>
          <w:sz w:val="20"/>
          <w:szCs w:val="20"/>
          <w:color w:val="auto"/>
        </w:rPr>
      </w:pPr>
      <w:r>
        <w:rPr>
          <w:rFonts w:ascii="Arial" w:cs="Arial" w:eastAsia="Arial" w:hAnsi="Arial"/>
          <w:sz w:val="18"/>
          <w:szCs w:val="18"/>
          <w:color w:val="auto"/>
        </w:rPr>
        <w:t>Enrico Bruni</w:t>
      </w:r>
      <w:r>
        <w:rPr>
          <w:rFonts w:ascii="Arial" w:cs="Arial" w:eastAsia="Arial" w:hAnsi="Arial"/>
          <w:sz w:val="26"/>
          <w:szCs w:val="26"/>
          <w:color w:val="auto"/>
          <w:vertAlign w:val="superscript"/>
        </w:rPr>
        <w:t>(7)</w:t>
      </w:r>
    </w:p>
    <w:p>
      <w:pPr>
        <w:ind w:left="1260"/>
        <w:spacing w:after="0" w:line="216" w:lineRule="auto"/>
        <w:rPr>
          <w:sz w:val="20"/>
          <w:szCs w:val="20"/>
          <w:color w:val="auto"/>
        </w:rPr>
      </w:pPr>
      <w:r>
        <w:rPr>
          <w:rFonts w:ascii="Arial" w:cs="Arial" w:eastAsia="Arial" w:hAnsi="Arial"/>
          <w:sz w:val="18"/>
          <w:szCs w:val="18"/>
          <w:color w:val="auto"/>
        </w:rPr>
        <w:t>Steven Berns</w:t>
      </w:r>
      <w:r>
        <w:rPr>
          <w:rFonts w:ascii="Arial" w:cs="Arial" w:eastAsia="Arial" w:hAnsi="Arial"/>
          <w:sz w:val="26"/>
          <w:szCs w:val="26"/>
          <w:color w:val="auto"/>
          <w:vertAlign w:val="superscript"/>
        </w:rPr>
        <w:t>(8)</w:t>
      </w:r>
    </w:p>
    <w:p>
      <w:pPr>
        <w:ind w:left="1260"/>
        <w:spacing w:after="0" w:line="217" w:lineRule="auto"/>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(9)</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John G. Finley</w:t>
      </w:r>
      <w:r>
        <w:rPr>
          <w:rFonts w:ascii="Arial" w:cs="Arial" w:eastAsia="Arial" w:hAnsi="Arial"/>
          <w:sz w:val="26"/>
          <w:szCs w:val="26"/>
          <w:color w:val="auto"/>
          <w:vertAlign w:val="superscript"/>
        </w:rPr>
        <w:t>(10)</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Scott C. Ganeles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Paula B. Madoff</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Thomas Pluta</w:t>
      </w:r>
    </w:p>
    <w:p>
      <w:pPr>
        <w:ind w:left="1260"/>
        <w:spacing w:after="0" w:line="236" w:lineRule="auto"/>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(11)</w:t>
      </w:r>
    </w:p>
    <w:p>
      <w:pPr>
        <w:ind w:left="1260"/>
        <w:spacing w:after="0"/>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(12)</w:t>
      </w:r>
    </w:p>
    <w:p>
      <w:pPr>
        <w:ind w:left="1260"/>
        <w:spacing w:after="0"/>
        <w:rPr>
          <w:sz w:val="20"/>
          <w:szCs w:val="20"/>
          <w:color w:val="auto"/>
        </w:rPr>
      </w:pPr>
      <w:r>
        <w:rPr>
          <w:rFonts w:ascii="Arial" w:cs="Arial" w:eastAsia="Arial" w:hAnsi="Arial"/>
          <w:sz w:val="18"/>
          <w:szCs w:val="18"/>
          <w:color w:val="auto"/>
        </w:rPr>
        <w:t>All executive officers and</w:t>
      </w:r>
    </w:p>
    <w:p>
      <w:pPr>
        <w:ind w:left="1440"/>
        <w:spacing w:after="0" w:line="213" w:lineRule="auto"/>
        <w:rPr>
          <w:sz w:val="20"/>
          <w:szCs w:val="20"/>
          <w:color w:val="auto"/>
        </w:rPr>
      </w:pPr>
      <w:r>
        <w:rPr>
          <w:rFonts w:ascii="Arial" w:cs="Arial" w:eastAsia="Arial" w:hAnsi="Arial"/>
          <w:sz w:val="18"/>
          <w:szCs w:val="18"/>
          <w:color w:val="auto"/>
        </w:rPr>
        <w:t>directors as a group (16</w:t>
      </w:r>
    </w:p>
    <w:p>
      <w:pPr>
        <w:ind w:left="1440"/>
        <w:spacing w:after="0"/>
        <w:rPr>
          <w:sz w:val="20"/>
          <w:szCs w:val="20"/>
          <w:color w:val="auto"/>
        </w:rPr>
      </w:pPr>
      <w:r>
        <w:rPr>
          <w:rFonts w:ascii="Arial" w:cs="Arial" w:eastAsia="Arial" w:hAnsi="Arial"/>
          <w:sz w:val="18"/>
          <w:szCs w:val="18"/>
          <w:color w:val="auto"/>
        </w:rPr>
        <w:t>persons)</w:t>
      </w:r>
      <w:r>
        <w:rPr>
          <w:rFonts w:ascii="Arial" w:cs="Arial" w:eastAsia="Arial" w:hAnsi="Arial"/>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143510</wp:posOffset>
            </wp:positionV>
            <wp:extent cx="12344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5"/>
          </w:tcPr>
          <w:p>
            <w:pPr>
              <w:jc w:val="center"/>
              <w:ind w:left="195"/>
              <w:spacing w:after="0"/>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720"/>
              <w:spacing w:after="0"/>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640" w:type="dxa"/>
            <w:vAlign w:val="bottom"/>
            <w:gridSpan w:val="5"/>
          </w:tcPr>
          <w:p>
            <w:pPr>
              <w:jc w:val="center"/>
              <w:ind w:left="215"/>
              <w:spacing w:after="0"/>
              <w:rPr>
                <w:sz w:val="20"/>
                <w:szCs w:val="20"/>
                <w:color w:val="auto"/>
              </w:rPr>
            </w:pPr>
            <w:r>
              <w:rPr>
                <w:rFonts w:ascii="Arial" w:cs="Arial" w:eastAsia="Arial" w:hAnsi="Arial"/>
                <w:sz w:val="14"/>
                <w:szCs w:val="14"/>
                <w:b w:val="1"/>
                <w:bCs w:val="1"/>
                <w:color w:val="auto"/>
                <w:w w:val="95"/>
              </w:rPr>
              <w:t>Common Stock (on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w w:val="94"/>
              </w:rPr>
              <w:t>Common Stock (on a</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1640" w:type="dxa"/>
            <w:vAlign w:val="bottom"/>
            <w:gridSpan w:val="5"/>
          </w:tcPr>
          <w:p>
            <w:pPr>
              <w:jc w:val="center"/>
              <w:ind w:left="195"/>
              <w:spacing w:after="0" w:line="145" w:lineRule="exact"/>
              <w:rPr>
                <w:sz w:val="20"/>
                <w:szCs w:val="20"/>
                <w:color w:val="auto"/>
              </w:rPr>
            </w:pPr>
            <w:r>
              <w:rPr>
                <w:rFonts w:ascii="Arial" w:cs="Arial" w:eastAsia="Arial" w:hAnsi="Arial"/>
                <w:sz w:val="14"/>
                <w:szCs w:val="14"/>
                <w:b w:val="1"/>
                <w:bCs w:val="1"/>
                <w:color w:val="auto"/>
                <w:w w:val="95"/>
              </w:rPr>
              <w:t>fully exchanged and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ind w:left="460"/>
              <w:spacing w:after="0" w:line="145" w:lineRule="exact"/>
              <w:rPr>
                <w:sz w:val="20"/>
                <w:szCs w:val="20"/>
                <w:color w:val="auto"/>
              </w:rPr>
            </w:pPr>
            <w:r>
              <w:rPr>
                <w:rFonts w:ascii="Arial" w:cs="Arial" w:eastAsia="Arial" w:hAnsi="Arial"/>
                <w:sz w:val="14"/>
                <w:szCs w:val="14"/>
                <w:b w:val="1"/>
                <w:bCs w:val="1"/>
                <w:color w:val="auto"/>
              </w:rPr>
              <w:t>fully exchanged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tcPr>
          <w:p>
            <w:pPr>
              <w:jc w:val="right"/>
              <w:ind w:right="120"/>
              <w:spacing w:after="0" w:line="145" w:lineRule="exact"/>
              <w:rPr>
                <w:sz w:val="20"/>
                <w:szCs w:val="20"/>
                <w:color w:val="auto"/>
              </w:rPr>
            </w:pPr>
            <w:r>
              <w:rPr>
                <w:rFonts w:ascii="Arial" w:cs="Arial" w:eastAsia="Arial" w:hAnsi="Arial"/>
                <w:sz w:val="14"/>
                <w:szCs w:val="14"/>
                <w:b w:val="1"/>
                <w:bCs w:val="1"/>
                <w:color w:val="auto"/>
                <w:w w:val="94"/>
              </w:rPr>
              <w:t>Combined Voting</w:t>
            </w:r>
          </w:p>
        </w:tc>
      </w:tr>
      <w:tr>
        <w:trPr>
          <w:trHeight w:val="243"/>
        </w:trPr>
        <w:tc>
          <w:tcPr>
            <w:tcW w:w="1640" w:type="dxa"/>
            <w:vAlign w:val="bottom"/>
            <w:tcBorders>
              <w:bottom w:val="single" w:sz="8" w:color="auto"/>
            </w:tcBorders>
            <w:gridSpan w:val="5"/>
          </w:tcPr>
          <w:p>
            <w:pPr>
              <w:jc w:val="center"/>
              <w:ind w:left="255"/>
              <w:spacing w:after="0"/>
              <w:rPr>
                <w:sz w:val="20"/>
                <w:szCs w:val="20"/>
                <w:color w:val="auto"/>
              </w:rPr>
            </w:pPr>
            <w:r>
              <w:rPr>
                <w:rFonts w:ascii="Arial" w:cs="Arial" w:eastAsia="Arial" w:hAnsi="Arial"/>
                <w:sz w:val="14"/>
                <w:szCs w:val="14"/>
                <w:b w:val="1"/>
                <w:bCs w:val="1"/>
                <w:color w:val="auto"/>
                <w:w w:val="91"/>
              </w:rPr>
              <w:t>converted basis)</w:t>
            </w:r>
            <w:r>
              <w:rPr>
                <w:rFonts w:ascii="Arial" w:cs="Arial" w:eastAsia="Arial" w:hAnsi="Arial"/>
                <w:sz w:val="21"/>
                <w:szCs w:val="21"/>
                <w:b w:val="1"/>
                <w:bCs w:val="1"/>
                <w:color w:val="auto"/>
                <w:w w:val="91"/>
                <w:vertAlign w:val="superscript"/>
              </w:rPr>
              <w:t>(1)</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basis)</w:t>
            </w:r>
            <w:r>
              <w:rPr>
                <w:rFonts w:ascii="Arial" w:cs="Arial" w:eastAsia="Arial" w:hAnsi="Arial"/>
                <w:sz w:val="21"/>
                <w:szCs w:val="21"/>
                <w:b w:val="1"/>
                <w:bCs w:val="1"/>
                <w:color w:val="auto"/>
                <w:vertAlign w:val="superscript"/>
              </w:rPr>
              <w:t>(2)</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21"/>
                <w:szCs w:val="21"/>
                <w:b w:val="1"/>
                <w:bCs w:val="1"/>
                <w:color w:val="auto"/>
                <w:vertAlign w:val="superscript"/>
              </w:rPr>
              <w:t>(3)</w:t>
            </w:r>
          </w:p>
        </w:tc>
        <w:tc>
          <w:tcPr>
            <w:tcW w:w="80" w:type="dxa"/>
            <w:vAlign w:val="bottom"/>
          </w:tcPr>
          <w:p>
            <w:pPr>
              <w:spacing w:after="0"/>
              <w:rPr>
                <w:sz w:val="21"/>
                <w:szCs w:val="21"/>
                <w:color w:val="auto"/>
              </w:rPr>
            </w:pPr>
          </w:p>
        </w:tc>
      </w:tr>
      <w:tr>
        <w:trPr>
          <w:trHeight w:val="198"/>
        </w:trPr>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r>
      <w:tr>
        <w:trPr>
          <w:trHeight w:val="25"/>
        </w:trPr>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shd w:val="clear" w:color="auto" w:fill="CCEEFF"/>
              </w:rPr>
              <w:t>119,921,521</w:t>
            </w:r>
          </w:p>
        </w:tc>
        <w:tc>
          <w:tcPr>
            <w:tcW w:w="2160" w:type="dxa"/>
            <w:vAlign w:val="bottom"/>
            <w:gridSpan w:val="7"/>
          </w:tcPr>
          <w:p>
            <w:pPr>
              <w:jc w:val="right"/>
              <w:ind w:right="180"/>
              <w:spacing w:after="0"/>
              <w:rPr>
                <w:sz w:val="20"/>
                <w:szCs w:val="20"/>
                <w:color w:val="auto"/>
              </w:rPr>
            </w:pPr>
            <w:r>
              <w:rPr>
                <w:rFonts w:ascii="Arial" w:cs="Arial" w:eastAsia="Arial" w:hAnsi="Arial"/>
                <w:sz w:val="18"/>
                <w:szCs w:val="18"/>
                <w:color w:val="auto"/>
                <w:w w:val="92"/>
                <w:shd w:val="clear" w:color="auto" w:fill="CCEEFF"/>
              </w:rPr>
              <w:t>53.2% 53.2% 119,921,521</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color w:val="auto"/>
                <w:w w:val="93"/>
                <w:shd w:val="clear" w:color="auto" w:fill="CCEEFF"/>
              </w:rPr>
              <w:t>88.5% 89.6%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shd w:val="clear" w:color="auto" w:fill="CCEEFF"/>
              </w:rPr>
              <w:t>83.0%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shd w:val="clear" w:color="auto" w:fill="CCEEFF"/>
              </w:rPr>
              <w:t>83.8%</w:t>
            </w: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3,129,057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1,833,847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471,202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6"/>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688"/>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6,286,687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-2125345</wp:posOffset>
            </wp:positionV>
            <wp:extent cx="52120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-1782445</wp:posOffset>
            </wp:positionV>
            <wp:extent cx="52120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-1439545</wp:posOffset>
            </wp:positionV>
            <wp:extent cx="52120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-1104900</wp:posOffset>
            </wp:positionV>
            <wp:extent cx="52120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-779145</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-436245</wp:posOffset>
            </wp:positionV>
            <wp:extent cx="5212080" cy="4540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454025"/>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-2476500</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-2476500</wp:posOffset>
            </wp:positionV>
            <wp:extent cx="120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-2476500</wp:posOffset>
            </wp:positionV>
            <wp:extent cx="1200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-2476500</wp:posOffset>
            </wp:positionV>
            <wp:extent cx="1200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-2476500</wp:posOffset>
            </wp:positionV>
            <wp:extent cx="1200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-2476500</wp:posOffset>
            </wp:positionV>
            <wp:extent cx="1200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-2476500</wp:posOffset>
            </wp:positionV>
            <wp:extent cx="111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-2476500</wp:posOffset>
            </wp:positionV>
            <wp:extent cx="102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840" w:space="160"/>
            <w:col w:w="6139"/>
          </w:cols>
          <w:pgMar w:left="320" w:top="131" w:right="1440" w:bottom="1440" w:gutter="0" w:footer="0" w:header="0"/>
          <w:type w:val="continuous"/>
        </w:sectPr>
      </w:pPr>
    </w:p>
    <w:p>
      <w:pPr>
        <w:spacing w:after="0" w:line="187" w:lineRule="exact"/>
        <w:rPr>
          <w:sz w:val="20"/>
          <w:szCs w:val="20"/>
          <w:color w:val="auto"/>
        </w:rPr>
      </w:pPr>
    </w:p>
    <w:p>
      <w:pPr>
        <w:ind w:left="1620" w:right="1219" w:hanging="352"/>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Class A common stock.</w:t>
      </w:r>
    </w:p>
    <w:p>
      <w:pPr>
        <w:spacing w:after="0" w:line="76" w:lineRule="exact"/>
        <w:rPr>
          <w:sz w:val="20"/>
          <w:szCs w:val="20"/>
          <w:color w:val="auto"/>
        </w:rPr>
      </w:pPr>
    </w:p>
    <w:p>
      <w:pPr>
        <w:ind w:left="1620" w:right="1139" w:hanging="352"/>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w:t>
      </w:r>
    </w:p>
    <w:p>
      <w:pPr>
        <w:spacing w:after="0" w:line="76" w:lineRule="exact"/>
        <w:rPr>
          <w:sz w:val="20"/>
          <w:szCs w:val="20"/>
          <w:color w:val="auto"/>
        </w:rPr>
      </w:pPr>
    </w:p>
    <w:p>
      <w:pPr>
        <w:ind w:left="1620" w:hanging="352"/>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w:t>
      </w:r>
    </w:p>
    <w:p>
      <w:pPr>
        <w:sectPr>
          <w:pgSz w:w="11900" w:h="16838" w:orient="portrait"/>
          <w:cols w:equalWidth="0" w:num="1">
            <w:col w:w="10139"/>
          </w:cols>
          <w:pgMar w:left="320" w:top="131" w:right="1440" w:bottom="1440" w:gutter="0" w:footer="0" w:header="0"/>
          <w:type w:val="continuous"/>
        </w:sect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99" w:hanging="352"/>
        <w:spacing w:after="0" w:line="267" w:lineRule="auto"/>
        <w:tabs>
          <w:tab w:leader="none" w:pos="1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Continuing LLC Owner that holds LLC Interests also holds corresponding shares of Class C common stock or Class D common stock, as the case may be. Each LLC Interest held by the Continuing LLC Owners is redeemable in accordance with the terms of the TWM LLC Agreement,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149" w:lineRule="exact"/>
        <w:rPr>
          <w:rFonts w:ascii="Arial" w:cs="Arial" w:eastAsia="Arial" w:hAnsi="Arial"/>
          <w:sz w:val="17"/>
          <w:szCs w:val="17"/>
          <w:color w:val="auto"/>
        </w:rPr>
      </w:pPr>
    </w:p>
    <w:p>
      <w:pPr>
        <w:ind w:left="1620" w:right="679" w:hanging="352"/>
        <w:spacing w:after="0" w:line="253"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151" w:lineRule="exact"/>
        <w:rPr>
          <w:rFonts w:ascii="Arial" w:cs="Arial" w:eastAsia="Arial" w:hAnsi="Arial"/>
          <w:sz w:val="18"/>
          <w:szCs w:val="18"/>
          <w:color w:val="auto"/>
        </w:rPr>
      </w:pPr>
    </w:p>
    <w:p>
      <w:pPr>
        <w:ind w:left="1620" w:right="739" w:hanging="352"/>
        <w:spacing w:after="0" w:line="253"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155" w:lineRule="exact"/>
        <w:rPr>
          <w:rFonts w:ascii="Arial" w:cs="Arial" w:eastAsia="Arial" w:hAnsi="Arial"/>
          <w:sz w:val="18"/>
          <w:szCs w:val="18"/>
          <w:color w:val="auto"/>
        </w:rPr>
      </w:pPr>
    </w:p>
    <w:p>
      <w:pPr>
        <w:ind w:left="1620" w:right="699" w:hanging="352"/>
        <w:spacing w:after="0" w:line="268" w:lineRule="auto"/>
        <w:tabs>
          <w:tab w:leader="none" w:pos="1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Reflects securities held directly by Refinitiv TW Holdings Ltd. and Refinitiv US PME LLC. Refinitiv US LLC is the controlling member of Refinitiv US PME LLC. Refinitiv US Holdings Inc. is the sole member of Refinitiv US LLC. Refinitiv Parent Limited is the sole shareholder of each of Refinitiv US Holdings Inc. and Refinitiv TW Holdings Ltd. 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 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99"/>
        <w:spacing w:after="0" w:line="273" w:lineRule="auto"/>
        <w:rPr>
          <w:sz w:val="20"/>
          <w:szCs w:val="20"/>
          <w:color w:val="auto"/>
        </w:rPr>
      </w:pPr>
      <w:r>
        <w:rPr>
          <w:rFonts w:ascii="Arial" w:cs="Arial" w:eastAsia="Arial" w:hAnsi="Arial"/>
          <w:sz w:val="17"/>
          <w:szCs w:val="17"/>
          <w:color w:val="auto"/>
        </w:rPr>
        <w:t>The Blackstone Group Inc. The sole holder of the Class C common stock of The Blackstone Group Inc. is Blackstone Group Management L.L.C. Blackstone Group Management L.L.C. is wholly-owned by Blackstone’s senior managing directors and controlled by its founder, Stephen A. Schwarzman. Each of the entities described in this footnote and Stephen A. Schwarzman may be deemed to beneficially own the securities directly or indirectly controlled by such entities or him, but each (other than to the extent it or he directly holds securities as described herein) disclaims beneficial ownership of such securities.</w:t>
      </w:r>
    </w:p>
    <w:p>
      <w:pPr>
        <w:spacing w:after="0" w:line="151" w:lineRule="exact"/>
        <w:rPr>
          <w:sz w:val="20"/>
          <w:szCs w:val="20"/>
          <w:color w:val="auto"/>
        </w:rPr>
      </w:pPr>
    </w:p>
    <w:p>
      <w:pPr>
        <w:ind w:left="1620" w:right="679" w:hanging="352"/>
        <w:spacing w:after="0" w:line="272"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Includes 3,072,463 shares of Class A common stock issuable upon exercise of options that have vested or will vest within 60 days after March 31, 2020. Mr. Olesky owns 20,000 shares of Class A common stock and 138,164 shares of Class A common stock issuable upon exercise of options that have vested or will vest within 60 days after March 31, 2020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136"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1,799,890 shares of Class A common stock issuable upon exercise of options that have vested or will vest within 60 days after March 31, 2020.</w:t>
      </w:r>
    </w:p>
    <w:p>
      <w:pPr>
        <w:spacing w:after="0" w:line="129" w:lineRule="exact"/>
        <w:rPr>
          <w:rFonts w:ascii="Arial" w:cs="Arial" w:eastAsia="Arial" w:hAnsi="Arial"/>
          <w:sz w:val="18"/>
          <w:szCs w:val="18"/>
          <w:color w:val="auto"/>
        </w:rPr>
      </w:pPr>
    </w:p>
    <w:p>
      <w:pPr>
        <w:ind w:left="1620" w:right="69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439,129 shares of Class A common stock issuable upon exercise of options that have vested or will vest within 60 days after March 31, 2020.</w:t>
      </w:r>
    </w:p>
    <w:p>
      <w:pPr>
        <w:spacing w:after="0" w:line="143" w:lineRule="exact"/>
        <w:rPr>
          <w:rFonts w:ascii="Arial" w:cs="Arial" w:eastAsia="Arial" w:hAnsi="Arial"/>
          <w:sz w:val="18"/>
          <w:szCs w:val="18"/>
          <w:color w:val="auto"/>
        </w:rPr>
      </w:pPr>
    </w:p>
    <w:p>
      <w:pPr>
        <w:ind w:left="1620" w:hanging="352"/>
        <w:spacing w:after="0"/>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Berns became a director of our board of directors effective April 3, 2020.</w:t>
      </w:r>
    </w:p>
    <w:p>
      <w:pPr>
        <w:spacing w:after="0" w:line="184" w:lineRule="exact"/>
        <w:rPr>
          <w:rFonts w:ascii="Arial" w:cs="Arial" w:eastAsia="Arial" w:hAnsi="Arial"/>
          <w:sz w:val="18"/>
          <w:szCs w:val="18"/>
          <w:color w:val="auto"/>
        </w:rPr>
      </w:pPr>
    </w:p>
    <w:p>
      <w:pPr>
        <w:ind w:left="1620" w:right="103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1259" w:hanging="352"/>
        <w:spacing w:after="0" w:line="263"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Finley is a Senior Managing Director and the Chief Legal Officer of The Blackstone Group. Mr. Finley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620" w:right="95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620" w:right="97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6,116,928 shares of Class A common stock issuable upon exercise of options that have vested or will vest within 60 days after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following is a description of transactions since January 1, 2017 to which we were a party in which the amount involved exceeded or will exceed $120,000, and in which any of our executive officers, directors, Bank Stockholders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7"/>
          <w:szCs w:val="17"/>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w:t>
      </w:r>
    </w:p>
    <w:p>
      <w:pPr>
        <w:spacing w:after="0" w:line="8"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6 months prior to such date. During the year ended December 31, 2019, we incurred fees of $3.9 million and during the years ended December 31, 2018 and 2017 we incurred fees of $4.3 million per year relating to this agreement. These fees are included in occupancy, technology and communications and general and administrative expenses in our consolidated statements of income incorporated by reference in this prospectus.</w:t>
      </w:r>
    </w:p>
    <w:p>
      <w:pPr>
        <w:spacing w:after="0" w:line="8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2019, 2018 and 2017, we earned approximately $55.6 million, $50.3 million and $50.1 million, respectively, of revenue under this agreement. See “Prospectus Summary — LSEG Transaction.”</w:t>
      </w:r>
    </w:p>
    <w:p>
      <w:pPr>
        <w:spacing w:after="0" w:line="9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We were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was subject to confidentiality obligations regarding both the nonpublic information of our business and the terms of those definitive agreements, subject to customary disclosure exceptions. In connection with the IPO, we terminated the master agreement and entered into a restrictive covenant agreement with affiliates of Refinitiv pursuant to which the non-compete restrictions of the master agreement, as modified,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long as it has the right to designate the total number (or least a majority) of directors on our board of directors on the terms and subject to the conditions set forth in the Stockholders Agreement. The non-compete period terminates in the event (i) of a change of control with respect to Refinitiv or (ii) the overall revenue of TWM LLC declines by more than 25% in each of two consecutive fiscal years. See “Prospectus Summary — LSEG Transaction.”</w:t>
      </w:r>
    </w:p>
    <w:p>
      <w:pPr>
        <w:spacing w:after="0" w:line="8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2019, 2018 and 2017, we reimbursed such affiliates approximately $6.7 million, $32.5 million and $38.4 million, respectively, for these expenses.</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 ended December 31, 2017, the interest rate charged was 4.50% per annum. We paid and expensed approximately $0.5 million of interest related to this note during the year ended December 31, 2017.</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039" w:firstLine="360"/>
        <w:spacing w:after="0" w:line="259" w:lineRule="auto"/>
        <w:rPr>
          <w:sz w:val="20"/>
          <w:szCs w:val="20"/>
          <w:color w:val="auto"/>
        </w:rPr>
      </w:pPr>
      <w:r>
        <w:rPr>
          <w:rFonts w:ascii="Arial" w:cs="Arial" w:eastAsia="Arial" w:hAnsi="Arial"/>
          <w:sz w:val="18"/>
          <w:szCs w:val="18"/>
          <w:color w:val="auto"/>
        </w:rPr>
        <w:t>Prior to the Reorganization Transactions, the Bank Stockholders were collectively considered to be related parties of the Company. As a result of the Reorganization Transactions, they are no longer considered to be related parties. Accordingly, the related party transactions listed below only include transactions with affiliates of the Bank Stockholders for pre-IPO periods.</w:t>
      </w:r>
    </w:p>
    <w:p>
      <w:pPr>
        <w:spacing w:after="0" w:line="79"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$0.9 million, $51,000 and $40,000,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3"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During the pre-IPO period of the year ended December 31, 2019 and the years ended December 31, 2018 and 2017, we earned approximately $81.5 million, $288.6 million and $232.4 million, respectively, of transaction fees, subscription fees and commissions from affiliates of the Bank Stockholders. Over the same period, none of the Bank Stockholders accounted for more than 10% of our revenues.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Immediately following this offering, we will use the net proceeds from this offering to purchase</w:t>
      </w:r>
    </w:p>
    <w:p>
      <w:pPr>
        <w:spacing w:after="0" w:line="23" w:lineRule="exact"/>
        <w:rPr>
          <w:sz w:val="20"/>
          <w:szCs w:val="20"/>
          <w:color w:val="auto"/>
        </w:rPr>
      </w:pPr>
    </w:p>
    <w:p>
      <w:pPr>
        <w:ind w:left="1260" w:right="859" w:firstLine="8"/>
        <w:spacing w:after="0" w:line="265" w:lineRule="auto"/>
        <w:tabs>
          <w:tab w:leader="none" w:pos="1489" w:val="left"/>
        </w:tabs>
        <w:numPr>
          <w:ilvl w:val="0"/>
          <w:numId w:val="89"/>
        </w:numPr>
        <w:rPr>
          <w:rFonts w:ascii="Arial" w:cs="Arial" w:eastAsia="Arial" w:hAnsi="Arial"/>
          <w:sz w:val="17"/>
          <w:szCs w:val="17"/>
          <w:color w:val="auto"/>
        </w:rPr>
      </w:pPr>
      <w:r>
        <w:rPr>
          <w:rFonts w:ascii="Arial" w:cs="Arial" w:eastAsia="Arial" w:hAnsi="Arial"/>
          <w:sz w:val="17"/>
          <w:szCs w:val="17"/>
          <w:color w:val="auto"/>
        </w:rPr>
        <w:t>10,642,463 issued and outstanding LLC Interests (or 12,238,827 LLC Interests, if the underwriters exercise in full their option to purchase additional shares of Class A common stock) from the Selling LLC Owners (and cancel the corresponding shares of common stock held by such Selling LLC Owners) and</w:t>
      </w:r>
    </w:p>
    <w:p>
      <w:pPr>
        <w:ind w:left="1260" w:right="739" w:firstLine="8"/>
        <w:spacing w:after="0" w:line="270" w:lineRule="auto"/>
        <w:tabs>
          <w:tab w:leader="none" w:pos="15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518,620 issued and outstanding shares of Class A common stock (or 596,418 shares of Class A common stock, if the underwriters exercise in full their option to purchase additional shares of Class A common stock) from certain of our executive officers following the Net Exercise, as applicable (and cancel such shares of Class A common stock). See “Use of Proceeds.” The following table sets forth the cash proceeds that the Selling LLC Owners and certain of our executive officers will receive from the purchase by us of LLC Interests and shares of Class A common stock with the net proceeds of this offering:</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 LLC</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 LLC</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Interests and/or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Interests and/or</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Class A shares,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Class A shares,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 be sold to us,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to be sold to us,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assuming the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assuming the</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underwriters’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underwriters’</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option to</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option to</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 LLC</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purchase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purchase</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Interests and/or</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additional</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additional</w:t>
            </w:r>
          </w:p>
        </w:tc>
        <w:tc>
          <w:tcPr>
            <w:tcW w:w="92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Class A shares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shares of Class A</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shares of Class 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held before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 stock is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Proceeds</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 stock is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92"/>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this offering†</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exercised</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exercised in full</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Stockholders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Barclays Unquoted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Investments Limited</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3,881,078</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2,898,934</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141,446,962</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3,333,772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162,663,904</w:t>
            </w:r>
          </w:p>
        </w:tc>
      </w:tr>
      <w:tr>
        <w:trPr>
          <w:trHeight w:val="215"/>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Citigroup Strategic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LLC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5,980,909</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1,733,597</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84,586,965</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1,993,636</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97,274,983</w:t>
            </w:r>
          </w:p>
        </w:tc>
      </w:tr>
      <w:tr>
        <w:trPr>
          <w:trHeight w:val="215"/>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DBR Investments Co.</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Limited</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3,355,485</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729,453</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35,592,018</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838,871</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40,930,823</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Goldman Sachs PSI Global</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Holdings, LLC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3,532,571</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3,071,803</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149,881,716</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3,532,571</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172,363,854</w:t>
            </w:r>
          </w:p>
        </w:tc>
      </w:tr>
      <w:tr>
        <w:trPr>
          <w:trHeight w:val="229"/>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Morgan Stanley Fixed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40" w:type="dxa"/>
            <w:vAlign w:val="bottom"/>
            <w:gridSpan w:val="2"/>
          </w:tcPr>
          <w:p>
            <w:pPr>
              <w:ind w:left="360"/>
              <w:spacing w:after="0"/>
              <w:rPr>
                <w:sz w:val="20"/>
                <w:szCs w:val="20"/>
                <w:color w:val="auto"/>
              </w:rPr>
            </w:pPr>
            <w:r>
              <w:rPr>
                <w:rFonts w:ascii="Arial" w:cs="Arial" w:eastAsia="Arial" w:hAnsi="Arial"/>
                <w:sz w:val="18"/>
                <w:szCs w:val="18"/>
                <w:color w:val="auto"/>
              </w:rPr>
              <w:t>Income Ventures Inc.</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1,531,732</w:t>
            </w:r>
          </w:p>
        </w:tc>
        <w:tc>
          <w:tcPr>
            <w:tcW w:w="140" w:type="dxa"/>
            <w:vAlign w:val="bottom"/>
          </w:tcPr>
          <w:p>
            <w:pPr>
              <w:spacing w:after="0"/>
              <w:rPr>
                <w:sz w:val="20"/>
                <w:szCs w:val="20"/>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1,331,941</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64,989,064</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1,531,732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74,737,417</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Wells Fargo Central Pacific</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Holdings, Inc.</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1,008,245</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876,735</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42,778,312</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1,008,245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49,195,046</w:t>
            </w:r>
          </w:p>
        </w:tc>
      </w:tr>
      <w:tr>
        <w:trPr>
          <w:trHeight w:val="229"/>
        </w:trPr>
        <w:tc>
          <w:tcPr>
            <w:tcW w:w="244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Enrico Bruni</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519,129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13,819</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674,267</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15,892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775,414</w:t>
            </w:r>
          </w:p>
        </w:tc>
      </w:tr>
      <w:tr>
        <w:trPr>
          <w:trHeight w:val="229"/>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Douglas Friedman</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165,464</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12,789</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624,010</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14,708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717,644</w:t>
            </w: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William Hult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2,411,890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146,374</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7,141,990</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168,331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8,213,332</w:t>
            </w:r>
          </w:p>
        </w:tc>
      </w:tr>
      <w:tr>
        <w:trPr>
          <w:trHeight w:val="230"/>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Simon Maisey</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283,223</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32,843</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1,602,500</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37,770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1,842,902</w:t>
            </w:r>
          </w:p>
        </w:tc>
      </w:tr>
      <w:tr>
        <w:trPr>
          <w:trHeight w:val="229"/>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Lee Olesky</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4,092,463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243,958</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11,903,382</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280,552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13,688,904</w:t>
            </w:r>
          </w:p>
        </w:tc>
      </w:tr>
      <w:tr>
        <w:trPr>
          <w:trHeight w:val="230"/>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James Spencer</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195,753</w:t>
            </w:r>
          </w:p>
        </w:tc>
        <w:tc>
          <w:tcPr>
            <w:tcW w:w="140" w:type="dxa"/>
            <w:vAlign w:val="bottom"/>
          </w:tcPr>
          <w:p>
            <w:pPr>
              <w:spacing w:after="0"/>
              <w:rPr>
                <w:sz w:val="19"/>
                <w:szCs w:val="19"/>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24,335</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1,187,372</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27,986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1,365,514</w:t>
            </w:r>
          </w:p>
        </w:tc>
      </w:tr>
      <w:tr>
        <w:trPr>
          <w:trHeight w:val="230"/>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Warshaw</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284,270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31,713</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1,547,364</w:t>
            </w: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36,471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1,779,520</w:t>
            </w:r>
          </w:p>
        </w:tc>
      </w:tr>
      <w:tr>
        <w:trPr>
          <w:trHeight w:val="257"/>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Scott Zucker</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163,274</w:t>
            </w:r>
          </w:p>
        </w:tc>
        <w:tc>
          <w:tcPr>
            <w:tcW w:w="140" w:type="dxa"/>
            <w:vAlign w:val="bottom"/>
          </w:tcPr>
          <w:p>
            <w:pPr>
              <w:spacing w:after="0"/>
              <w:rPr>
                <w:sz w:val="22"/>
                <w:szCs w:val="22"/>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12,789</w:t>
            </w:r>
          </w:p>
        </w:tc>
        <w:tc>
          <w:tcPr>
            <w:tcW w:w="14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624,010</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14,708</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-3196590</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-3196590</wp:posOffset>
            </wp:positionV>
            <wp:extent cx="94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-3196590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-3196590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-3196590</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 w:lineRule="exact"/>
        <w:rPr>
          <w:sz w:val="20"/>
          <w:szCs w:val="20"/>
          <w:color w:val="auto"/>
        </w:rPr>
      </w:pPr>
    </w:p>
    <w:p>
      <w:pPr>
        <w:ind w:left="1620" w:right="1380" w:hanging="352"/>
        <w:spacing w:after="0" w:line="275"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of March 31, 2020. For the Bank Stockholders, represents LLC Interests held before this offering only. For the Executive Officers, represents shares of Class A common stock held before this offering, including shares of Class A common stock issuable upon exercise of options that have vested or will vest within 60 days of March 31, 2020 before giving effect to the Net Exercise and the completion of this offering and the application of the net proceeds therefrom only.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Executive Officers</w:t>
      </w:r>
    </w:p>
    <w:p>
      <w:pPr>
        <w:spacing w:after="0" w:line="108" w:lineRule="exact"/>
        <w:rPr>
          <w:sz w:val="20"/>
          <w:szCs w:val="20"/>
          <w:color w:val="auto"/>
        </w:rPr>
      </w:pPr>
    </w:p>
    <w:p>
      <w:pPr>
        <w:ind w:left="1260" w:right="1300" w:firstLine="360"/>
        <w:spacing w:after="0" w:line="272" w:lineRule="auto"/>
        <w:rPr>
          <w:sz w:val="20"/>
          <w:szCs w:val="20"/>
          <w:color w:val="auto"/>
        </w:rPr>
      </w:pPr>
      <w:r>
        <w:rPr>
          <w:rFonts w:ascii="Arial" w:cs="Arial" w:eastAsia="Arial" w:hAnsi="Arial"/>
          <w:sz w:val="17"/>
          <w:szCs w:val="17"/>
          <w:color w:val="auto"/>
        </w:rPr>
        <w:t>We used a portion of the net proceeds that we received from the October 2019 follow-on offering to purchase issued and outstanding LLC Interests and shares of Class A common stock (which shares of Class A common stock were cancelled) from certain of our executive officers, at a purchase price per interest and share equal to $40.74 (the public offering price per share of our Class A common stock, less the underwriting discounts and commissions payable thereon). The following table sets forth the cash proceeds that such executive officers received from the purchase by us of such LLC Interests and shares of Class A common stock with the net proceeds of the October 2019 follow-on offering: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 LLC</w:t>
            </w: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Interests and/or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Class A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c>
          <w:tcPr>
            <w:tcW w:w="1620" w:type="dxa"/>
            <w:vAlign w:val="bottom"/>
          </w:tcPr>
          <w:p>
            <w:pPr>
              <w:spacing w:after="0"/>
              <w:rPr>
                <w:sz w:val="14"/>
                <w:szCs w:val="14"/>
                <w:color w:val="auto"/>
              </w:rPr>
            </w:pPr>
          </w:p>
        </w:tc>
      </w:tr>
      <w:tr>
        <w:trPr>
          <w:trHeight w:val="186"/>
        </w:trPr>
        <w:tc>
          <w:tcPr>
            <w:tcW w:w="4120" w:type="dxa"/>
            <w:vAlign w:val="bottom"/>
            <w:gridSpan w:val="2"/>
          </w:tcPr>
          <w:p>
            <w:pPr>
              <w:ind w:left="1620"/>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sold to us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16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Enrico Bruni</w:t>
            </w:r>
          </w:p>
        </w:tc>
        <w:tc>
          <w:tcPr>
            <w:tcW w:w="40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45,001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1,833,341</w:t>
            </w:r>
          </w:p>
        </w:tc>
        <w:tc>
          <w:tcPr>
            <w:tcW w:w="1620" w:type="dxa"/>
            <w:vAlign w:val="bottom"/>
          </w:tcPr>
          <w:p>
            <w:pPr>
              <w:spacing w:after="0"/>
              <w:rPr>
                <w:sz w:val="18"/>
                <w:szCs w:val="18"/>
                <w:color w:val="auto"/>
              </w:rPr>
            </w:pPr>
          </w:p>
        </w:tc>
      </w:tr>
      <w:tr>
        <w:trPr>
          <w:trHeight w:val="243"/>
        </w:trPr>
        <w:tc>
          <w:tcPr>
            <w:tcW w:w="4120" w:type="dxa"/>
            <w:vAlign w:val="bottom"/>
            <w:gridSpan w:val="2"/>
          </w:tcPr>
          <w:p>
            <w:pPr>
              <w:ind w:left="1620"/>
              <w:spacing w:after="0"/>
              <w:rPr>
                <w:sz w:val="20"/>
                <w:szCs w:val="20"/>
                <w:color w:val="auto"/>
              </w:rPr>
            </w:pPr>
            <w:r>
              <w:rPr>
                <w:rFonts w:ascii="Arial" w:cs="Arial" w:eastAsia="Arial" w:hAnsi="Arial"/>
                <w:sz w:val="18"/>
                <w:szCs w:val="18"/>
                <w:color w:val="auto"/>
              </w:rPr>
              <w:t>Douglas Friedman</w:t>
            </w:r>
          </w:p>
        </w:tc>
        <w:tc>
          <w:tcPr>
            <w:tcW w:w="4020" w:type="dxa"/>
            <w:vAlign w:val="bottom"/>
            <w:gridSpan w:val="3"/>
          </w:tcPr>
          <w:p>
            <w:pPr>
              <w:jc w:val="right"/>
              <w:ind w:right="148"/>
              <w:spacing w:after="0"/>
              <w:rPr>
                <w:sz w:val="20"/>
                <w:szCs w:val="20"/>
                <w:color w:val="auto"/>
              </w:rPr>
            </w:pPr>
            <w:r>
              <w:rPr>
                <w:rFonts w:ascii="Arial" w:cs="Arial" w:eastAsia="Arial" w:hAnsi="Arial"/>
                <w:sz w:val="18"/>
                <w:szCs w:val="18"/>
                <w:color w:val="auto"/>
              </w:rPr>
              <w:t>24,605</w:t>
            </w: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1,002,408</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William Hult</w:t>
            </w:r>
          </w:p>
        </w:tc>
        <w:tc>
          <w:tcPr>
            <w:tcW w:w="40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109,369</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4,455,693</w:t>
            </w:r>
          </w:p>
        </w:tc>
        <w:tc>
          <w:tcPr>
            <w:tcW w:w="1620" w:type="dxa"/>
            <w:vAlign w:val="bottom"/>
          </w:tcPr>
          <w:p>
            <w:pPr>
              <w:spacing w:after="0"/>
              <w:rPr>
                <w:sz w:val="21"/>
                <w:szCs w:val="21"/>
                <w:color w:val="auto"/>
              </w:rPr>
            </w:pPr>
          </w:p>
        </w:tc>
      </w:tr>
      <w:tr>
        <w:trPr>
          <w:trHeight w:val="499"/>
        </w:trPr>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40" w:type="dxa"/>
            <w:vAlign w:val="bottom"/>
          </w:tcPr>
          <w:p>
            <w:pPr>
              <w:jc w:val="right"/>
              <w:ind w:right="127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-1028065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-1028065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 LLC</w:t>
            </w:r>
          </w:p>
        </w:tc>
        <w:tc>
          <w:tcPr>
            <w:tcW w:w="7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Interests and/or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Class A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6"/>
        </w:trPr>
        <w:tc>
          <w:tcPr>
            <w:tcW w:w="5800" w:type="dxa"/>
            <w:vAlign w:val="bottom"/>
            <w:gridSpan w:val="4"/>
          </w:tcPr>
          <w:p>
            <w:pPr>
              <w:ind w:left="360"/>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sold to us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Maisey</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13,231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539,031</w:t>
            </w:r>
          </w:p>
        </w:tc>
      </w:tr>
      <w:tr>
        <w:trPr>
          <w:trHeight w:val="243"/>
        </w:trPr>
        <w:tc>
          <w:tcPr>
            <w:tcW w:w="5800" w:type="dxa"/>
            <w:vAlign w:val="bottom"/>
            <w:gridSpan w:val="4"/>
          </w:tcPr>
          <w:p>
            <w:pPr>
              <w:ind w:left="360"/>
              <w:spacing w:after="0"/>
              <w:rPr>
                <w:sz w:val="20"/>
                <w:szCs w:val="20"/>
                <w:color w:val="auto"/>
              </w:rPr>
            </w:pPr>
            <w:r>
              <w:rPr>
                <w:rFonts w:ascii="Arial" w:cs="Arial" w:eastAsia="Arial" w:hAnsi="Arial"/>
                <w:sz w:val="18"/>
                <w:szCs w:val="18"/>
                <w:color w:val="auto"/>
              </w:rPr>
              <w:t>Lee Olesky</w:t>
            </w:r>
          </w:p>
        </w:tc>
        <w:tc>
          <w:tcPr>
            <w:tcW w:w="1080" w:type="dxa"/>
            <w:vAlign w:val="bottom"/>
          </w:tcPr>
          <w:p>
            <w:pPr>
              <w:jc w:val="right"/>
              <w:spacing w:after="0" w:line="243" w:lineRule="exact"/>
              <w:rPr>
                <w:sz w:val="20"/>
                <w:szCs w:val="20"/>
                <w:color w:val="auto"/>
              </w:rPr>
            </w:pPr>
            <w:r>
              <w:rPr>
                <w:rFonts w:ascii="Arial" w:cs="Arial" w:eastAsia="Arial" w:hAnsi="Arial"/>
                <w:sz w:val="18"/>
                <w:szCs w:val="18"/>
                <w:color w:val="auto"/>
              </w:rPr>
              <w:t>208,487</w:t>
            </w:r>
            <w:r>
              <w:rPr>
                <w:rFonts w:ascii="Arial" w:cs="Arial" w:eastAsia="Arial" w:hAnsi="Arial"/>
                <w:sz w:val="26"/>
                <w:szCs w:val="26"/>
                <w:color w:val="auto"/>
                <w:vertAlign w:val="superscript"/>
              </w:rPr>
              <w:t>(1)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8,493,760</w:t>
            </w:r>
          </w:p>
        </w:tc>
      </w:tr>
      <w:tr>
        <w:trPr>
          <w:trHeight w:val="243"/>
        </w:trPr>
        <w:tc>
          <w:tcPr>
            <w:tcW w:w="360" w:type="dxa"/>
            <w:vAlign w:val="bottom"/>
          </w:tcPr>
          <w:p>
            <w:pPr>
              <w:spacing w:after="0"/>
              <w:rPr>
                <w:sz w:val="21"/>
                <w:szCs w:val="21"/>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Spencer</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1,425,900</w:t>
            </w:r>
          </w:p>
        </w:tc>
      </w:tr>
      <w:tr>
        <w:trPr>
          <w:trHeight w:val="243"/>
        </w:trPr>
        <w:tc>
          <w:tcPr>
            <w:tcW w:w="5800" w:type="dxa"/>
            <w:vAlign w:val="bottom"/>
            <w:gridSpan w:val="4"/>
          </w:tcPr>
          <w:p>
            <w:pPr>
              <w:ind w:left="360"/>
              <w:spacing w:after="0"/>
              <w:rPr>
                <w:sz w:val="20"/>
                <w:szCs w:val="20"/>
                <w:color w:val="auto"/>
              </w:rPr>
            </w:pPr>
            <w:r>
              <w:rPr>
                <w:rFonts w:ascii="Arial" w:cs="Arial" w:eastAsia="Arial" w:hAnsi="Arial"/>
                <w:sz w:val="18"/>
                <w:szCs w:val="18"/>
                <w:color w:val="auto"/>
              </w:rPr>
              <w:t>Robert Warshaw</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39,243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1,598,760</w:t>
            </w:r>
          </w:p>
        </w:tc>
      </w:tr>
      <w:tr>
        <w:trPr>
          <w:trHeight w:val="243"/>
        </w:trPr>
        <w:tc>
          <w:tcPr>
            <w:tcW w:w="360" w:type="dxa"/>
            <w:vAlign w:val="bottom"/>
          </w:tcPr>
          <w:p>
            <w:pPr>
              <w:spacing w:after="0"/>
              <w:rPr>
                <w:sz w:val="21"/>
                <w:szCs w:val="21"/>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Zucker</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43,353</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1,766,201</w:t>
            </w:r>
          </w:p>
        </w:tc>
      </w:tr>
      <w:tr>
        <w:trPr>
          <w:trHeight w:val="270"/>
        </w:trPr>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3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-950595</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-950595</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LLC Interests held by The Lee Olesky 2019 Family Trust.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We engaged Blackstone Advisory Partners L.P., an affiliate of Blackstone, to provide certain financial consulting services in connection with the October 2019 follow-on offering and the IPO for fees of $500,000 and $1.0 million, respectively. The underwriters reimbursed us for such fee in connection with the October 2019 follow-on offering. We have engaged Blackstone Advisory Partners L.P. to provide certain financial consulting services in connection with this offering. See “Underwriting (Conflicts of Interest) — Advisory Services.”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the IPO</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 These transactions are described in “The IPO and Reorganization Transactions.”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operate our business through TWM LLC and its subsidiaries. In connection with the IPO, we and the Original LLC Owners that received LLC Interests entered into TWM LLC’s fifth amended and restated limited liability company agreement, which we refer to as the “TWM LLC Agreement.” The operations of TWM LLC, and the rights and obligations of the holders of LLC Interests, are set forth in the TWM LLC Agreement.</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are a member and the sole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TWM LLC. As 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7" w:lineRule="exact"/>
        <w:rPr>
          <w:sz w:val="20"/>
          <w:szCs w:val="20"/>
          <w:color w:val="auto"/>
        </w:rPr>
      </w:pPr>
    </w:p>
    <w:p>
      <w:pPr>
        <w:ind w:left="1260" w:right="107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are not entitled to compensation for our services as manager. We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the IPO and maintaining our existence as a separate legal entity.</w:t>
      </w:r>
    </w:p>
    <w:p>
      <w:pPr>
        <w:spacing w:after="0" w:line="5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recapitalized the units held by the members of TWM LLC</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84"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requires TWM LLC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to its members, on a pro rata basis in proportion to the number of LLC Interests held by each member, of cash until each member (other than us) has received an amount at least equal to its</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4" w:lineRule="auto"/>
        <w:rPr>
          <w:sz w:val="20"/>
          <w:szCs w:val="20"/>
          <w:color w:val="auto"/>
        </w:rPr>
      </w:pPr>
      <w:r>
        <w:rPr>
          <w:rFonts w:ascii="Arial" w:cs="Arial" w:eastAsia="Arial" w:hAnsi="Arial"/>
          <w:sz w:val="17"/>
          <w:szCs w:val="17"/>
          <w:color w:val="auto"/>
        </w:rPr>
        <w:t>assumed tax liability and we have received an amount sufficient to enable us to timely satisfy all of our U.S. federal, state and local and non-U.S. tax liabilities. To the extent that any member would not receive</w:t>
      </w:r>
    </w:p>
    <w:p>
      <w:pPr>
        <w:ind w:left="1260" w:right="699"/>
        <w:spacing w:after="0" w:line="268" w:lineRule="auto"/>
        <w:rPr>
          <w:sz w:val="20"/>
          <w:szCs w:val="20"/>
          <w:color w:val="auto"/>
        </w:rPr>
      </w:pPr>
      <w:r>
        <w:rPr>
          <w:rFonts w:ascii="Arial" w:cs="Arial" w:eastAsia="Arial" w:hAnsi="Arial"/>
          <w:sz w:val="17"/>
          <w:szCs w:val="17"/>
          <w:color w:val="auto"/>
        </w:rPr>
        <w:t>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71"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Subject to certain restrictions set forth therein, the TWM LLC</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provides a redemption right to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89"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w:t>
      </w: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59" w:lineRule="auto"/>
        <w:rPr>
          <w:sz w:val="20"/>
          <w:szCs w:val="20"/>
          <w:color w:val="auto"/>
        </w:rPr>
      </w:pPr>
      <w:r>
        <w:rPr>
          <w:rFonts w:ascii="Arial" w:cs="Arial" w:eastAsia="Arial" w:hAnsi="Arial"/>
          <w:sz w:val="18"/>
          <w:szCs w:val="18"/>
          <w:color w:val="auto"/>
        </w:rPr>
        <w:t>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79"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The TWM LLC Agreement requires that TWM LLC at all times maintain</w:t>
      </w:r>
    </w:p>
    <w:p>
      <w:pPr>
        <w:jc w:val="both"/>
        <w:ind w:left="1260" w:right="839" w:firstLine="8"/>
        <w:spacing w:after="0" w:line="273" w:lineRule="auto"/>
        <w:tabs>
          <w:tab w:leader="none" w:pos="1529"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6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by 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provides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agrees to maintain the confidentiality of TWM LLC’s confidential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Indemnification and Exculpation. </w:t>
      </w:r>
      <w:r>
        <w:rPr>
          <w:rFonts w:ascii="Arial" w:cs="Arial" w:eastAsia="Arial" w:hAnsi="Arial"/>
          <w:sz w:val="18"/>
          <w:szCs w:val="18"/>
          <w:color w:val="auto"/>
        </w:rPr>
        <w:t>The TWM LLC Agreement provides for indemnification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8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TWM LLC Agreement may be amended with the consent of the holders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in 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the October 2019 follow-on offering and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including this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actual Basis Adjustments, as well as any amounts paid to the Continuing LLC Owners under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 will vary depending on a number of factors, including:</w:t>
      </w:r>
    </w:p>
    <w:p>
      <w:pPr>
        <w:spacing w:after="0" w:line="184" w:lineRule="exact"/>
        <w:rPr>
          <w:sz w:val="20"/>
          <w:szCs w:val="20"/>
          <w:color w:val="auto"/>
        </w:rPr>
      </w:pPr>
    </w:p>
    <w:p>
      <w:pPr>
        <w:ind w:left="1980" w:right="1019" w:hanging="352"/>
        <w:spacing w:after="0" w:line="286"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24" w:lineRule="exact"/>
        <w:rPr>
          <w:rFonts w:ascii="Arial" w:cs="Arial" w:eastAsia="Arial" w:hAnsi="Arial"/>
          <w:sz w:val="17"/>
          <w:szCs w:val="17"/>
          <w:color w:val="auto"/>
        </w:rPr>
      </w:pPr>
    </w:p>
    <w:p>
      <w:pPr>
        <w:ind w:left="1980" w:right="819" w:hanging="352"/>
        <w:spacing w:after="0" w:line="286"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4" w:lineRule="exact"/>
        <w:rPr>
          <w:rFonts w:ascii="Arial" w:cs="Arial" w:eastAsia="Arial" w:hAnsi="Arial"/>
          <w:sz w:val="17"/>
          <w:szCs w:val="17"/>
          <w:color w:val="auto"/>
        </w:rPr>
      </w:pPr>
    </w:p>
    <w:p>
      <w:pPr>
        <w:ind w:left="1980" w:right="719" w:hanging="352"/>
        <w:spacing w:after="0" w:line="254"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w:t>
      </w:r>
    </w:p>
    <w:p>
      <w:pPr>
        <w:sectPr>
          <w:pgSz w:w="11900" w:h="16838" w:orient="portrait"/>
          <w:cols w:equalWidth="0" w:num="1">
            <w:col w:w="10139"/>
          </w:cols>
          <w:pgMar w:left="320" w:top="131" w:right="1440" w:bottom="1440" w:gutter="0" w:footer="0" w:header="0"/>
        </w:sect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79"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For example,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We expect to record an additional liability in connection with this offering.</w:t>
      </w:r>
    </w:p>
    <w:p>
      <w:pPr>
        <w:spacing w:after="0" w:line="84"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4"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6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57"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 50% of the combined voting power of our outstanding</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The registration statement of which this prospectus forms a part was filed as a result of the exercise of demand registration rights under the Registration Rights Agreement.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Demand Rights</w:t>
      </w:r>
    </w:p>
    <w:p>
      <w:pPr>
        <w:spacing w:after="0" w:line="104"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From time to time,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underwritten shelf registration or an underwritten shelf takedown) on more than one occasion in any twelve-month period, provided, however, that (i) until the first anniversary of the pricing date of the IPO,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the IPO and</w:t>
      </w:r>
    </w:p>
    <w:p>
      <w:pPr>
        <w:spacing w:after="0" w:line="5" w:lineRule="exact"/>
        <w:rPr>
          <w:sz w:val="20"/>
          <w:szCs w:val="20"/>
          <w:color w:val="auto"/>
        </w:rPr>
      </w:pPr>
    </w:p>
    <w:p>
      <w:pPr>
        <w:jc w:val="both"/>
        <w:ind w:left="1260" w:right="879" w:firstLine="8"/>
        <w:spacing w:after="0" w:line="323" w:lineRule="auto"/>
        <w:tabs>
          <w:tab w:leader="none" w:pos="154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date the Bank Stockholders own a number of shares of our common stock, in the aggregate, that is less than 10% of the number of shares of our common stock then outstanding. In addition, from and after</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4" w:lineRule="auto"/>
        <w:rPr>
          <w:sz w:val="20"/>
          <w:szCs w:val="20"/>
          <w:color w:val="auto"/>
        </w:rPr>
      </w:pPr>
      <w:r>
        <w:rPr>
          <w:rFonts w:ascii="Arial" w:cs="Arial" w:eastAsia="Arial" w:hAnsi="Arial"/>
          <w:sz w:val="18"/>
          <w:szCs w:val="18"/>
          <w:color w:val="auto"/>
        </w:rPr>
        <w:t>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7"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0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connection with the IPO, we entered into indemnification agreements with our directors and executive officers.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87"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In connection with the completion of the IPO, our board of directors adopted a policy providing that the audit committee will review and approve or ratify transactions in excess of $120,000 of value in which we participate and in which a related party (as defined below)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In general, a “related party” is any person who is or was one of our executive officers, directors or director nominees or is a holder of more than 5% of our common stock, or an immediate family member of any of the foregoing persons. All of the pre-IPO transactions described above were entered into prior to the adoption of this policy.</w:t>
      </w:r>
    </w:p>
    <w:p>
      <w:pPr>
        <w:spacing w:after="0" w:line="7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forms a part, and are available electronically on the website of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Unless otherwise stated, the following is a description of the material terms of, and is qualified in its entirety by, our amended and restated certificate of incorporation and amended and restated bylaws, each of which are filed as exhibits to the registration statement of which this prospectus forms a part. In this “Description of Capital Stock” section, “we,” “us,” “our” and “our company” refer to Tradeweb Markets Inc. and not to any of its subsidiaries.</w:t>
      </w:r>
    </w:p>
    <w:p>
      <w:pPr>
        <w:spacing w:after="0" w:line="80"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current authorized capital stock consists of 1,000,000,000 shares of Class A common stock, par value $0.00001 per share, 450,000,000 shares of Class B common stock, par value $0.00001 per share, 350,000,000 shares of Class C common stock, par value $0.00001 per share, 300,000,000 shares of Class D common stock, par value $0.00001 per share, and 250,000,000 shares of preferred stock, par value $0.00001 per share. Unless our board of directors determines otherwise, we have issued and we will continue to issue all shares of our capital stock in uncertificated form.</w:t>
      </w:r>
    </w:p>
    <w:p>
      <w:pPr>
        <w:spacing w:after="0" w:line="8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of March 31, 2020, we had 70,670,440 shares of Class A common stock outstanding, 96,933,192 shares of Class B common stock outstanding, 7,389,983 shares of Class C common stock outstanding and 49,871,231 shares of Class D common stock outstanding. As of March 31, 2020, we had one holder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March 31, 2020, we had one holder of record of our Class B common stock, two holders of record of our Class C common stock and 29 holders of record of our Class D common stock.</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8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All outstanding shares of our Class A common stock are, and 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are no</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8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All outstanding shares of our Class B common stock are fully paid and non-assessable. The Class B common stock will not be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Refinitiv Direct Owner owns 100% of our outstanding Class B common stock.</w:t>
      </w:r>
    </w:p>
    <w:p>
      <w:pPr>
        <w:spacing w:after="0" w:line="11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Each share of Class B common stock will automatically convert into one share of Class A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8"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6"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All outstanding shares of our Class C common stock are fully paid and non-assessable. The Class C common stock will not be subject to further calls or assessments by us. Holders of shares of our Class C common stock do not have preemptive, subscription, redemption or conversion rights. There are no</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mandatory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7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 Continuing LLC Owners. Shares of Class C common stock will be cancelled on a one-for-one basis if we, at the election of a Continuing LLC Owner, redeem or exchange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8"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6"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All outstanding shares of our Class D common stock are fully paid and non-assessable. The Class D common stock will not be subject to further calls or assessments by us. Holders of shares of our Class D common stock do not have preemptive, subscription, redemption or conversion rights. There are no mandatory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Interests held by the Continuing LLC Owners. Shares of Class D common stock will be cancelled on a one-for-one basis if we, at the election of a Continuing LLC Owner, redeem or exchange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78"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Each share of Class D common stock will automatically convert into one share of Class C common stock (i) immediately prior to any sale or other transfer of such share by a Continuing LLC Owner or any of its affiliates or permitted transferees to a non-permitted transferee, or (ii) once the Refinitiv Owners and</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4" w:lineRule="auto"/>
        <w:rPr>
          <w:sz w:val="20"/>
          <w:szCs w:val="20"/>
          <w:color w:val="auto"/>
        </w:rPr>
      </w:pPr>
      <w:r>
        <w:rPr>
          <w:rFonts w:ascii="Arial" w:cs="Arial" w:eastAsia="Arial" w:hAnsi="Arial"/>
          <w:sz w:val="18"/>
          <w:szCs w:val="18"/>
          <w:color w:val="auto"/>
        </w:rPr>
        <w:t>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Continuing LLC Owners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1" w:lineRule="exact"/>
        <w:rPr>
          <w:sz w:val="20"/>
          <w:szCs w:val="20"/>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44" w:lineRule="exact"/>
        <w:rPr>
          <w:rFonts w:ascii="Arial" w:cs="Arial" w:eastAsia="Arial" w:hAnsi="Arial"/>
          <w:sz w:val="18"/>
          <w:szCs w:val="18"/>
          <w:color w:val="auto"/>
        </w:rPr>
      </w:pPr>
    </w:p>
    <w:p>
      <w:pPr>
        <w:ind w:left="1980" w:right="719" w:hanging="352"/>
        <w:spacing w:after="0" w:line="286"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0" w:lineRule="exact"/>
        <w:rPr>
          <w:rFonts w:ascii="Arial" w:cs="Arial" w:eastAsia="Arial" w:hAnsi="Arial"/>
          <w:sz w:val="17"/>
          <w:szCs w:val="17"/>
          <w:color w:val="auto"/>
        </w:rPr>
      </w:pPr>
    </w:p>
    <w:p>
      <w:pPr>
        <w:ind w:left="1980" w:right="1199" w:hanging="352"/>
        <w:spacing w:after="0" w:line="277"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44" w:lineRule="exact"/>
        <w:rPr>
          <w:rFonts w:ascii="Arial" w:cs="Arial" w:eastAsia="Arial" w:hAnsi="Arial"/>
          <w:sz w:val="18"/>
          <w:szCs w:val="18"/>
          <w:color w:val="auto"/>
        </w:rPr>
      </w:pPr>
    </w:p>
    <w:p>
      <w:pPr>
        <w:ind w:left="1980" w:right="919" w:hanging="352"/>
        <w:spacing w:after="0" w:line="277"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75" w:lineRule="exact"/>
        <w:rPr>
          <w:rFonts w:ascii="Arial" w:cs="Arial" w:eastAsia="Arial" w:hAnsi="Arial"/>
          <w:sz w:val="18"/>
          <w:szCs w:val="18"/>
          <w:color w:val="auto"/>
        </w:rPr>
      </w:pPr>
    </w:p>
    <w:p>
      <w:pPr>
        <w:ind w:left="1980" w:right="1539" w:hanging="352"/>
        <w:spacing w:after="0" w:line="277"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89" w:lineRule="exact"/>
        <w:rPr>
          <w:rFonts w:ascii="Arial" w:cs="Arial" w:eastAsia="Arial" w:hAnsi="Arial"/>
          <w:sz w:val="18"/>
          <w:szCs w:val="18"/>
          <w:color w:val="auto"/>
        </w:rPr>
      </w:pPr>
    </w:p>
    <w:p>
      <w:pPr>
        <w:ind w:left="1980" w:right="659" w:hanging="352"/>
        <w:spacing w:after="0" w:line="257"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06"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8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have paid, and intend to continue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Revolving Credit Facility or any future credit agreement or any future debt or preferred equity securities of Tradeweb or its subsidiaries. See “Dividend Policy.”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66" w:lineRule="exact"/>
        <w:rPr>
          <w:sz w:val="20"/>
          <w:szCs w:val="20"/>
          <w:color w:val="auto"/>
        </w:rPr>
      </w:pPr>
    </w:p>
    <w:p>
      <w:pPr>
        <w:ind w:left="1260" w:right="819"/>
        <w:spacing w:after="0" w:line="250"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Bylaws and Certain Provisions of Delaware Law</w:t>
      </w:r>
    </w:p>
    <w:p>
      <w:pPr>
        <w:spacing w:after="0" w:line="10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ectPr>
          <w:pgSz w:w="11900" w:h="16838" w:orient="portrait"/>
          <w:cols w:equalWidth="0" w:num="1">
            <w:col w:w="10139"/>
          </w:cols>
          <w:pgMar w:left="320" w:top="131" w:right="1440" w:bottom="1440" w:gutter="0" w:footer="0" w:header="0"/>
        </w:sect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2" w:lineRule="exact"/>
        <w:rPr>
          <w:sz w:val="20"/>
          <w:szCs w:val="20"/>
          <w:color w:val="auto"/>
        </w:rPr>
      </w:pPr>
    </w:p>
    <w:p>
      <w:pPr>
        <w:ind w:left="1980" w:right="1419" w:hanging="352"/>
        <w:spacing w:after="0" w:line="308"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1"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980" w:right="839" w:hanging="352"/>
        <w:spacing w:after="0" w:line="231"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4" w:lineRule="exact"/>
        <w:rPr>
          <w:sz w:val="20"/>
          <w:szCs w:val="20"/>
          <w:color w:val="auto"/>
        </w:rPr>
      </w:pPr>
    </w:p>
    <w:p>
      <w:pPr>
        <w:jc w:val="both"/>
        <w:ind w:left="1260" w:right="69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799"/>
        <w:spacing w:after="0" w:line="260" w:lineRule="auto"/>
        <w:rPr>
          <w:sz w:val="20"/>
          <w:szCs w:val="20"/>
          <w:color w:val="auto"/>
        </w:rPr>
      </w:pPr>
      <w:r>
        <w:rPr>
          <w:rFonts w:ascii="Arial" w:cs="Arial" w:eastAsia="Arial" w:hAnsi="Arial"/>
          <w:sz w:val="18"/>
          <w:szCs w:val="18"/>
          <w:color w:val="auto"/>
        </w:rPr>
        <w:t>three years owned, 15% or more of our outstanding voting stock. For purposes of this section only, “voting stock” has the meaning given to it in Section 203 of the DGCL.</w:t>
      </w:r>
    </w:p>
    <w:p>
      <w:pPr>
        <w:spacing w:after="0" w:line="7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84"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w:t>
      </w:r>
    </w:p>
    <w:p>
      <w:pPr>
        <w:sectPr>
          <w:pgSz w:w="11900" w:h="16838" w:orient="portrait"/>
          <w:cols w:equalWidth="0" w:num="1">
            <w:col w:w="10139"/>
          </w:cols>
          <w:pgMar w:left="320" w:top="131" w:right="1440" w:bottom="1440" w:gutter="0" w:footer="0" w:header="0"/>
        </w:sect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upon the affirmative vote of a majority in voting power of all outstanding shares of stock entitled to vote generally in the election of directors, voting together as a single class; provided, however, at any time when the Refinitiv Owners and their affiliates beneficially own in the aggregate, less than 50% of the voting power of all outstanding shares of stock entitled to vote generally in the election of directors, directors may only be removed for cause, and only upon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all outstanding shares of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outstanding shares of stock entitled to vote thereon were present and voted, unless our amended and restated certificate of incorporation provides otherwise. Our amended and restated certificate of incorporation precludes stockholder action by written consent at any time when the Refinitiv Owners and their affiliates own, in the aggregate, less than 50% in voting power of all outstanding shares of stock entitled to vote generally in the election of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all outstanding shares of stock entitled to vote generally in the election of directors, any amendment, alteration, change, addition, rescission or repeal of our bylaws by our stockholders requires the affirmative vote of a majority in voting power of all outstanding shares of stock present in person or represented by proxy at the meeting and entitled to vote on such amendment, alteration, change, addition, rescission or repeal. At any time when the Refinitiv Owners and their affiliates beneficially own, in the aggregate, less than 50% in voting power of all outstanding shares of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outstanding shares of stock entitled to vote thereon, voting together as a single class.</w:t>
      </w:r>
    </w:p>
    <w:p>
      <w:pPr>
        <w:spacing w:after="0" w:line="7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all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outstanding shares of stock entitled to vote thereon, voting together as a single class:</w:t>
      </w:r>
    </w:p>
    <w:p>
      <w:pPr>
        <w:spacing w:after="0" w:line="131" w:lineRule="exact"/>
        <w:rPr>
          <w:sz w:val="20"/>
          <w:szCs w:val="20"/>
          <w:color w:val="auto"/>
        </w:rPr>
      </w:pPr>
    </w:p>
    <w:p>
      <w:pPr>
        <w:ind w:left="1980" w:right="919" w:hanging="352"/>
        <w:spacing w:after="0" w:line="22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34"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newly-created directorships;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159" w:hanging="352"/>
        <w:spacing w:after="0" w:line="29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48"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any (i) derivative action or proceeding brought on behalf of our Company,</w:t>
      </w:r>
    </w:p>
    <w:p>
      <w:pPr>
        <w:ind w:left="1260" w:right="679" w:firstLine="8"/>
        <w:spacing w:after="0" w:line="266" w:lineRule="auto"/>
        <w:tabs>
          <w:tab w:leader="none" w:pos="1543" w:val="left"/>
        </w:tabs>
        <w:numPr>
          <w:ilvl w:val="0"/>
          <w:numId w:val="98"/>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their affiliates or any director who is not employed by us (including any non-employee director who serves as one of our officers in both his director and officer capacities) or his or her affiliates will have any duty to refrain from</w:t>
      </w:r>
    </w:p>
    <w:p>
      <w:pPr>
        <w:spacing w:after="0" w:line="8" w:lineRule="exact"/>
        <w:rPr>
          <w:sz w:val="20"/>
          <w:szCs w:val="20"/>
          <w:color w:val="auto"/>
        </w:rPr>
      </w:pPr>
    </w:p>
    <w:p>
      <w:pPr>
        <w:ind w:left="1260" w:right="679" w:firstLine="8"/>
        <w:spacing w:after="0" w:line="267" w:lineRule="auto"/>
        <w:tabs>
          <w:tab w:leader="none" w:pos="1489"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himself or herself or its, his or her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1"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In connection with the IPO, we entered into an indemnification agreement with each of our directors and executive officers as described in “Certain Relationships and Related Party Transactions — Related Party Transactions Entered Into in Connection With the IPO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260" w:right="1039" w:firstLine="360"/>
        <w:spacing w:after="0" w:line="308" w:lineRule="auto"/>
        <w:rPr>
          <w:sz w:val="20"/>
          <w:szCs w:val="20"/>
          <w:color w:val="auto"/>
        </w:rPr>
      </w:pPr>
      <w:r>
        <w:rPr>
          <w:rFonts w:ascii="Arial" w:cs="Arial" w:eastAsia="Arial" w:hAnsi="Arial"/>
          <w:sz w:val="17"/>
          <w:szCs w:val="17"/>
          <w:color w:val="auto"/>
        </w:rPr>
        <w:t>The transfer agent and registrar for shares of our Class A common stock, Class B common stock, Class C common stock and Class D common stock is American Stock Transfer &amp; Trust Company, LLC.</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share and related information presented below is based on shares of common stock outstanding as of March 31, 2020, after giving effect to the Net Exercise and the completion of this offering and the application of the net proceeds therefrom. See “Prospectus Summary — The Offering” for additional information. Our Class A common stock has only been listed for public trading since April 4, 2019. Future sales of substantial amounts of our Class A common stock in the public market (including securities convertible into or redeemable, exchangeable or exercisable for shares of Class A common stock), or the perception that such sales may occur, could adversely affect the prevailing market price of our Class A common stock. Following the completion of this offering, approximately 63.7% of our outstanding Class A common stock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91" w:lineRule="exact"/>
        <w:rPr>
          <w:sz w:val="20"/>
          <w:szCs w:val="20"/>
          <w:color w:val="auto"/>
        </w:rPr>
      </w:pPr>
    </w:p>
    <w:p>
      <w:pPr>
        <w:ind w:left="1260" w:right="819" w:firstLine="360"/>
        <w:spacing w:after="0" w:line="269" w:lineRule="auto"/>
        <w:rPr>
          <w:sz w:val="20"/>
          <w:szCs w:val="20"/>
          <w:color w:val="auto"/>
        </w:rPr>
      </w:pPr>
      <w:r>
        <w:rPr>
          <w:rFonts w:ascii="Arial" w:cs="Arial" w:eastAsia="Arial" w:hAnsi="Arial"/>
          <w:sz w:val="17"/>
          <w:szCs w:val="17"/>
          <w:color w:val="auto"/>
        </w:rPr>
        <w:t>Upon completion of this offering, we expect to have outstanding an aggregate of 81,903,336 shares of our Class A common stock, assuming that the underwriters have not exercised their option to purchase additional shares of Class A common stock. All of the 77,042,142 shares of Class A common stock sold in the IPO, in the October 2019 follow-on offering and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(including securities convertible into or redeemable, exchangeable or exercisable for shares of our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71"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In addition, upon completion of this offering, (i) the Other LLC Owners will own an aggregate of 23,630,422 LLC Interests and an aggregate of 23,630,422 shares of Class C common stock and Class D common stock (or 22,034,058 LLC Interests and an aggregate of 22,034,058 shares of Class C common stock and Class D common stock, if the underwriters exercise in full their option to purchase additional shares of Class A common stock), (ii) the Refinitiv LLC Owner will continue to own an aggregate of 22,988,329 LLC Interests and 22,988,329 shares of Class D common stock and (iii) the Refinitiv Direct Owner will continue to own an aggregate of 96,933,192 shares of Class B common stock. Pursuant to the TWM LLC Agreement and, subject to certain restrictions set forth therein and as described elsewhere in this prospectus, the Continuing LLC Owners have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Upon the expiration of the lock-up arrangements described below, 60 days after the pricing date of this offering, and subject to the provisions of Rule 144, an additional 143,597,744 shares of Class A common stock (including securities convertible into or redeemable, exchangeable or exercisable for shares of Class A common stock) will be available for sale in the public market. The sale of these restricted securities is subject, in the case of shares held by affiliates, to the volume restrictions contained in those rules.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connection with this offering, we and each of our directors and executive officers, the Refinitiv Owners and the Bank Stockholders that continue to own LLC Interests or shares of Class A common stock will agree with the underwriters to enter into lock-up agreements described in “Underwriting (Conflicts of Interest),” pursuant to which shares of our Class A common stock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60 days after the date of this prospectus. Certain transfers or dispositions can be made sooner, provided the transferee becomes bound to the terms of the lock-up.</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160" w:lineRule="exact"/>
        <w:rPr>
          <w:sz w:val="20"/>
          <w:szCs w:val="20"/>
          <w:color w:val="auto"/>
        </w:rPr>
      </w:pPr>
    </w:p>
    <w:p>
      <w:pPr>
        <w:ind w:left="1980" w:hanging="352"/>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or</w:t>
      </w:r>
    </w:p>
    <w:p>
      <w:pPr>
        <w:spacing w:after="0" w:line="184" w:lineRule="exact"/>
        <w:rPr>
          <w:rFonts w:ascii="Arial" w:cs="Arial" w:eastAsia="Arial" w:hAnsi="Arial"/>
          <w:sz w:val="18"/>
          <w:szCs w:val="18"/>
          <w:color w:val="auto"/>
        </w:rPr>
      </w:pPr>
    </w:p>
    <w:p>
      <w:pPr>
        <w:ind w:left="1980" w:right="1219" w:hanging="352"/>
        <w:spacing w:after="0" w:line="308" w:lineRule="auto"/>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average weekly trading volume in our Class A common stock on Nasdaq during the four calendar weeks preceding the filing of a notice on Form 144 with respect to such a sale.</w:t>
      </w:r>
    </w:p>
    <w:p>
      <w:pPr>
        <w:spacing w:after="0" w:line="3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79"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pricing date of the IPO, or who purchased shares from us after that date upon the exercise of options granted before that date, are eligible to resell such shares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filed a registration statement on Form S-8 under the Securities Act to register 31,819,860 shares of our Class A common stock issued or issuable under our equity incentive plans, and may file one or more additional registration statements on Form S-8 in the future. Any such Form S-8 registration statements will automatically become effective upon filing. Accordingly, shares of Class A common stock registered under such registration statements will be eligible for resale in the public market without restriction, subject to Rule 144 limitations applicable to affiliates and the lock-up agreements described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the IPO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3"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980" w:right="939" w:hanging="352"/>
        <w:spacing w:after="0" w:line="279" w:lineRule="auto"/>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63"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93" w:lineRule="exact"/>
        <w:rPr>
          <w:sz w:val="20"/>
          <w:szCs w:val="20"/>
          <w:color w:val="auto"/>
        </w:rPr>
      </w:pPr>
    </w:p>
    <w:p>
      <w:pPr>
        <w:ind w:left="1980" w:right="679" w:hanging="352"/>
        <w:spacing w:after="0" w:line="255"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59" w:hanging="352"/>
        <w:spacing w:after="0" w:line="277"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43"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169" w:lineRule="exact"/>
        <w:rPr>
          <w:sz w:val="20"/>
          <w:szCs w:val="20"/>
          <w:color w:val="auto"/>
        </w:rPr>
      </w:pPr>
    </w:p>
    <w:p>
      <w:pPr>
        <w:ind w:left="1260" w:right="879"/>
        <w:spacing w:after="0" w:line="250" w:lineRule="auto"/>
        <w:rPr>
          <w:sz w:val="20"/>
          <w:szCs w:val="20"/>
          <w:color w:val="auto"/>
        </w:rPr>
      </w:pPr>
      <w:r>
        <w:rPr>
          <w:rFonts w:ascii="Arial" w:cs="Arial" w:eastAsia="Arial" w:hAnsi="Arial"/>
          <w:sz w:val="18"/>
          <w:szCs w:val="18"/>
          <w:b w:val="1"/>
          <w:bCs w:val="1"/>
          <w:color w:val="auto"/>
        </w:rPr>
        <w:t>Each Non-U.S. Holder should consult its own tax advisor regarding the U.S. federal, state, local and non-U.S. tax consequences of owning and disposing of our Class A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on Our Class A Common Stock</w:t>
      </w:r>
    </w:p>
    <w:p>
      <w:pPr>
        <w:spacing w:after="0" w:line="104"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86"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5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jc w:val="both"/>
        <w:ind w:left="1260" w:right="103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tax (including withholding thereof) on any gain recognized on any sales or other dispositions of our Class A common stock unless:</w:t>
      </w:r>
    </w:p>
    <w:p>
      <w:pPr>
        <w:spacing w:after="0" w:line="79" w:lineRule="exact"/>
        <w:rPr>
          <w:sz w:val="20"/>
          <w:szCs w:val="20"/>
          <w:color w:val="auto"/>
        </w:rPr>
      </w:pPr>
    </w:p>
    <w:p>
      <w:pPr>
        <w:ind w:left="1980" w:right="699" w:hanging="352"/>
        <w:spacing w:after="0" w:line="272" w:lineRule="auto"/>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09" w:lineRule="exact"/>
        <w:rPr>
          <w:rFonts w:ascii="Arial" w:cs="Arial" w:eastAsia="Arial" w:hAnsi="Arial"/>
          <w:sz w:val="17"/>
          <w:szCs w:val="17"/>
          <w:color w:val="auto"/>
        </w:rPr>
      </w:pPr>
    </w:p>
    <w:p>
      <w:pPr>
        <w:ind w:left="1980" w:right="699" w:hanging="352"/>
        <w:spacing w:after="0" w:line="275" w:lineRule="auto"/>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22" w:lineRule="exact"/>
        <w:rPr>
          <w:rFonts w:ascii="Arial" w:cs="Arial" w:eastAsia="Arial" w:hAnsi="Arial"/>
          <w:sz w:val="17"/>
          <w:szCs w:val="17"/>
          <w:color w:val="auto"/>
        </w:rPr>
      </w:pPr>
    </w:p>
    <w:p>
      <w:pPr>
        <w:ind w:left="1980" w:right="899" w:hanging="352"/>
        <w:spacing w:after="0" w:line="286" w:lineRule="auto"/>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72" w:lineRule="exact"/>
        <w:rPr>
          <w:sz w:val="20"/>
          <w:szCs w:val="20"/>
          <w:color w:val="auto"/>
        </w:rPr>
      </w:pPr>
    </w:p>
    <w:p>
      <w:pPr>
        <w:ind w:left="1260" w:right="15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4"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Foreign Account Tax Compliance Act and related Treasury guidance (commonly referred to as “FATCA”) impose U.S. federal withholding tax at a rate of 30% on payments to certain foreign entities of U.S.-source dividends (including dividends paid on our Class A common stock). Under recently proposed Treasury regulations that may be relied upon pending finalization,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We are offering shares of our Class A common stock described in this prospectus through a number of underwriters. J.P. Morgan Securities LLC, Barclays Capital Inc.,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rPr>
              <w:t>Shares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2,116,757</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2,116,757</w:t>
            </w:r>
          </w:p>
        </w:tc>
      </w:tr>
      <w:tr>
        <w:trPr>
          <w:trHeight w:val="25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2,116,757</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2,116,757</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2,116,757</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800" w:type="dxa"/>
            <w:vAlign w:val="bottom"/>
          </w:tcPr>
          <w:p>
            <w:pPr>
              <w:jc w:val="right"/>
              <w:spacing w:after="0"/>
              <w:rPr>
                <w:sz w:val="20"/>
                <w:szCs w:val="20"/>
                <w:color w:val="auto"/>
              </w:rPr>
            </w:pPr>
            <w:r>
              <w:rPr>
                <w:rFonts w:ascii="Arial" w:cs="Arial" w:eastAsia="Arial" w:hAnsi="Arial"/>
                <w:sz w:val="18"/>
                <w:szCs w:val="18"/>
                <w:color w:val="auto"/>
              </w:rPr>
              <w:t>144,325</w:t>
            </w:r>
          </w:p>
        </w:tc>
      </w:tr>
      <w:tr>
        <w:trPr>
          <w:trHeight w:val="25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144,325</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800" w:type="dxa"/>
            <w:vAlign w:val="bottom"/>
          </w:tcPr>
          <w:p>
            <w:pPr>
              <w:jc w:val="right"/>
              <w:spacing w:after="0"/>
              <w:rPr>
                <w:sz w:val="20"/>
                <w:szCs w:val="20"/>
                <w:color w:val="auto"/>
              </w:rPr>
            </w:pPr>
            <w:r>
              <w:rPr>
                <w:rFonts w:ascii="Arial" w:cs="Arial" w:eastAsia="Arial" w:hAnsi="Arial"/>
                <w:sz w:val="18"/>
                <w:szCs w:val="18"/>
                <w:color w:val="auto"/>
              </w:rPr>
              <w:t>144,324</w:t>
            </w: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144,324</w:t>
            </w:r>
          </w:p>
        </w:tc>
      </w:tr>
      <w:tr>
        <w:trPr>
          <w:trHeight w:val="277"/>
        </w:trPr>
        <w:tc>
          <w:tcPr>
            <w:tcW w:w="6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11,161,083</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-1696720</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1320"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1300" w:firstLine="360"/>
        <w:spacing w:after="0" w:line="257" w:lineRule="auto"/>
        <w:rPr>
          <w:sz w:val="20"/>
          <w:szCs w:val="20"/>
          <w:color w:val="auto"/>
        </w:rPr>
      </w:pPr>
      <w:r>
        <w:rPr>
          <w:rFonts w:ascii="Arial" w:cs="Arial" w:eastAsia="Arial" w:hAnsi="Arial"/>
          <w:sz w:val="18"/>
          <w:szCs w:val="18"/>
          <w:color w:val="auto"/>
        </w:rPr>
        <w:t>The underwriters propose to offer the shares directly to the public at the public offering price set forth on the cover page of this prospectus and to certain dealers at that price less a concession not in excess of $0.87435 per share. After the initial offering of the shares to the public, the offering price and the other selling terms may be changed by the underwriters. Sales of shares made outside of the United States may be made by affiliates of the underwriters.</w:t>
      </w:r>
    </w:p>
    <w:p>
      <w:pPr>
        <w:spacing w:after="0" w:line="80" w:lineRule="exact"/>
        <w:rPr>
          <w:sz w:val="20"/>
          <w:szCs w:val="20"/>
          <w:color w:val="auto"/>
        </w:rPr>
      </w:pPr>
    </w:p>
    <w:p>
      <w:pPr>
        <w:ind w:left="1260" w:right="1320" w:firstLine="360"/>
        <w:spacing w:after="0" w:line="273" w:lineRule="auto"/>
        <w:rPr>
          <w:sz w:val="20"/>
          <w:szCs w:val="20"/>
          <w:color w:val="auto"/>
        </w:rPr>
      </w:pPr>
      <w:r>
        <w:rPr>
          <w:rFonts w:ascii="Arial" w:cs="Arial" w:eastAsia="Arial" w:hAnsi="Arial"/>
          <w:sz w:val="17"/>
          <w:szCs w:val="17"/>
          <w:color w:val="auto"/>
        </w:rPr>
        <w:t>The underwriters have an option to buy up to 1,674,162 additional shares of Class A common stock from us.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0" w:lineRule="exact"/>
        <w:rPr>
          <w:sz w:val="20"/>
          <w:szCs w:val="20"/>
          <w:color w:val="auto"/>
        </w:rPr>
      </w:pPr>
    </w:p>
    <w:p>
      <w:pPr>
        <w:ind w:left="1260" w:right="1280" w:firstLine="360"/>
        <w:spacing w:after="0" w:line="257" w:lineRule="auto"/>
        <w:rPr>
          <w:sz w:val="20"/>
          <w:szCs w:val="20"/>
          <w:color w:val="auto"/>
        </w:rPr>
      </w:pPr>
      <w:r>
        <w:rPr>
          <w:rFonts w:ascii="Arial" w:cs="Arial" w:eastAsia="Arial" w:hAnsi="Arial"/>
          <w:sz w:val="18"/>
          <w:szCs w:val="18"/>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w:t>
            </w:r>
          </w:p>
        </w:tc>
        <w:tc>
          <w:tcPr>
            <w:tcW w:w="2540" w:type="dxa"/>
            <w:vAlign w:val="bottom"/>
            <w:gridSpan w:val="2"/>
          </w:tcPr>
          <w:p>
            <w:pPr>
              <w:jc w:val="right"/>
              <w:ind w:right="1960"/>
              <w:spacing w:after="0"/>
              <w:rPr>
                <w:sz w:val="20"/>
                <w:szCs w:val="20"/>
                <w:color w:val="auto"/>
              </w:rPr>
            </w:pPr>
            <w:r>
              <w:rPr>
                <w:rFonts w:ascii="Arial" w:cs="Arial" w:eastAsia="Arial" w:hAnsi="Arial"/>
                <w:sz w:val="14"/>
                <w:szCs w:val="14"/>
                <w:b w:val="1"/>
                <w:bCs w:val="1"/>
                <w:color w:val="auto"/>
              </w:rPr>
              <w:t>Full</w:t>
            </w:r>
          </w:p>
        </w:tc>
      </w:tr>
      <w:tr>
        <w:trPr>
          <w:trHeight w:val="186"/>
        </w:trPr>
        <w:tc>
          <w:tcPr>
            <w:tcW w:w="16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w:t>
            </w:r>
          </w:p>
        </w:tc>
        <w:tc>
          <w:tcPr>
            <w:tcW w:w="25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exercise</w:t>
            </w:r>
          </w:p>
        </w:tc>
      </w:tr>
      <w:tr>
        <w:trPr>
          <w:trHeight w:val="25"/>
        </w:trPr>
        <w:tc>
          <w:tcPr>
            <w:tcW w:w="16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6"/>
        </w:trPr>
        <w:tc>
          <w:tcPr>
            <w:tcW w:w="16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1.45725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1.45725</w:t>
            </w:r>
          </w:p>
        </w:tc>
        <w:tc>
          <w:tcPr>
            <w:tcW w:w="1620" w:type="dxa"/>
            <w:vAlign w:val="bottom"/>
          </w:tcPr>
          <w:p>
            <w:pPr>
              <w:spacing w:after="0"/>
              <w:rPr>
                <w:sz w:val="20"/>
                <w:szCs w:val="20"/>
                <w:color w:val="auto"/>
              </w:rPr>
            </w:pPr>
          </w:p>
        </w:tc>
      </w:tr>
      <w:tr>
        <w:trPr>
          <w:trHeight w:val="270"/>
        </w:trPr>
        <w:tc>
          <w:tcPr>
            <w:tcW w:w="3800" w:type="dxa"/>
            <w:vAlign w:val="bottom"/>
            <w:gridSpan w:val="2"/>
          </w:tcPr>
          <w:p>
            <w:pPr>
              <w:ind w:left="1620"/>
              <w:spacing w:after="0"/>
              <w:rPr>
                <w:sz w:val="20"/>
                <w:szCs w:val="20"/>
                <w:color w:val="auto"/>
              </w:rPr>
            </w:pPr>
            <w:r>
              <w:rPr>
                <w:rFonts w:ascii="Arial" w:cs="Arial" w:eastAsia="Arial" w:hAnsi="Arial"/>
                <w:sz w:val="18"/>
                <w:szCs w:val="18"/>
                <w:color w:val="auto"/>
              </w:rPr>
              <w:t>Total</w:t>
            </w:r>
          </w:p>
        </w:tc>
        <w:tc>
          <w:tcPr>
            <w:tcW w:w="4380" w:type="dxa"/>
            <w:vAlign w:val="bottom"/>
            <w:gridSpan w:val="3"/>
          </w:tcPr>
          <w:p>
            <w:pPr>
              <w:jc w:val="right"/>
              <w:ind w:right="200"/>
              <w:spacing w:after="0"/>
              <w:rPr>
                <w:sz w:val="20"/>
                <w:szCs w:val="20"/>
                <w:color w:val="auto"/>
              </w:rPr>
            </w:pPr>
            <w:r>
              <w:rPr>
                <w:rFonts w:ascii="Arial" w:cs="Arial" w:eastAsia="Arial" w:hAnsi="Arial"/>
                <w:sz w:val="18"/>
                <w:szCs w:val="18"/>
                <w:color w:val="auto"/>
              </w:rPr>
              <w:t>16,264,488</w:t>
            </w:r>
          </w:p>
        </w:tc>
        <w:tc>
          <w:tcPr>
            <w:tcW w:w="2540" w:type="dxa"/>
            <w:vAlign w:val="bottom"/>
            <w:gridSpan w:val="2"/>
          </w:tcPr>
          <w:p>
            <w:pPr>
              <w:jc w:val="right"/>
              <w:ind w:right="1620"/>
              <w:spacing w:after="0"/>
              <w:rPr>
                <w:sz w:val="20"/>
                <w:szCs w:val="20"/>
                <w:color w:val="auto"/>
              </w:rPr>
            </w:pPr>
            <w:r>
              <w:rPr>
                <w:rFonts w:ascii="Arial" w:cs="Arial" w:eastAsia="Arial" w:hAnsi="Arial"/>
                <w:sz w:val="18"/>
                <w:szCs w:val="18"/>
                <w:color w:val="auto"/>
                <w:w w:val="99"/>
              </w:rPr>
              <w:t>18,704,161</w:t>
            </w:r>
          </w:p>
        </w:tc>
      </w:tr>
      <w:tr>
        <w:trPr>
          <w:trHeight w:val="472"/>
        </w:trPr>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60" w:type="dxa"/>
            <w:vAlign w:val="bottom"/>
          </w:tcPr>
          <w:p>
            <w:pPr>
              <w:jc w:val="right"/>
              <w:ind w:right="1470"/>
              <w:spacing w:after="0"/>
              <w:rPr>
                <w:sz w:val="20"/>
                <w:szCs w:val="20"/>
                <w:color w:val="auto"/>
              </w:rPr>
            </w:pPr>
            <w:r>
              <w:rPr>
                <w:rFonts w:ascii="Arial" w:cs="Arial" w:eastAsia="Arial" w:hAnsi="Arial"/>
                <w:sz w:val="18"/>
                <w:szCs w:val="18"/>
                <w:color w:val="auto"/>
              </w:rPr>
              <w:t>131</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-890905</wp:posOffset>
            </wp:positionV>
            <wp:extent cx="41662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fees, printing fees and legal and accounting expenses, but excluding the underwriting discounts and commissions, will be approximately $3.1 million.</w:t>
      </w:r>
    </w:p>
    <w:p>
      <w:pPr>
        <w:spacing w:after="0" w:line="76"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8"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We have agreed that for a period of 60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publicly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89"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directors and executive officers, the Refinitiv Owners and the Bank Stockholders that continue to hold LLC Interests or shares of Class A common stock have entered into lock-up agreements with the underwriters prior to the commencement of this offering pursuant to which each of these persons or entities, subject to certain exceptions, for a period of 60 days after the date of this prospectus, may not, without the prior written consent of the representatives, (i)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without limitation, the LLC Interests and Class A common stock or such other securities which may be deemed to be beneficially owned by such directors, executive officers or other stockholders in accordance with the rules and regulations of the SEC and securities which may be issued upon exercise of a stock option) or (ii) enter into any swap or other agreement that transfers, in whole or in part, any of the economic consequences of ownership of the Class A common stock or such other securities, whether any such transaction described in clause (i) or (ii) above is to be settled by delivery of Class A common stock or such other securities, in cash or otherwise.</w:t>
      </w:r>
    </w:p>
    <w:p>
      <w:pPr>
        <w:spacing w:after="0" w:line="74"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117"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44"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consulting services in connection with this offering. We have agreed to pay Blackstone Advisory Partners L.P., only upon successful completion of this offering, a fee of approximately $500,000. The underwriters have agreed to reimburse us for such fee.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67"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Because affiliates of Barclays Capital Inc., Citigroup Global Markets Inc., Deutsche Bank Securities Inc., Goldman Sachs &amp; Co. LLC, Morgan Stanley &amp; Co. LLC and Wells Fargo Securities, LLC will each receive more than 5.0% of the net proceeds from this offering, Barclays Capital Inc., Citigroup Global Markets Inc., Deutsche Bank Securities Inc., Goldman Sachs &amp; Co. LLC, Morgan Stanley &amp; Co. LLC and Wells Fargo Securities, LLC are deemed to have a “conflict of interest” pursuant to FINRA Rule 5121(f)(5) (C)(ii). See “Use of Proceeds.” Accordingly, 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w:t>
      </w:r>
    </w:p>
    <w:p>
      <w:pPr>
        <w:spacing w:after="0" w:line="6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Goldman Sachs &amp; Co. LLC, J.P. Morgan Securities LLC and Morgan Stanley &amp; Co. LLC participated as arrangers and are agents and lenders under the Revolving Credit Facility and affiliates of Barclays Capital Inc. and certain of the other underwriters are also lenders thereto. In addition, certain of the underwriters in this offering served as an underwriter in the IPO and the October 2019 follow-on offering, for which services they received customary underwriting discounts and commissions.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67"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color w:val="auto"/>
        </w:rPr>
        <w:t>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3"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77"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of Class A common stock at any time under the following exemptions under the Prospectus Regulation:</w:t>
      </w:r>
    </w:p>
    <w:p>
      <w:pPr>
        <w:spacing w:after="0" w:line="138" w:lineRule="exact"/>
        <w:rPr>
          <w:sz w:val="20"/>
          <w:szCs w:val="20"/>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jc w:val="both"/>
        <w:ind w:left="1980" w:right="1119" w:hanging="352"/>
        <w:spacing w:after="0" w:line="263"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129"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Class A common stock shall require the Company or any representative to publish a prospectus pursuant to Article 3 of the Prospectus Regulation or supplement a prospectus pursuant to Article 23 of the Prospectus Regulation.</w:t>
      </w:r>
    </w:p>
    <w:p>
      <w:pPr>
        <w:spacing w:after="0" w:line="7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7"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jc w:val="both"/>
        <w:ind w:left="1260" w:right="819" w:firstLine="360"/>
        <w:spacing w:after="0" w:line="31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w:t>
      </w: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6"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105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980" w:right="759" w:hanging="352"/>
        <w:spacing w:after="0" w:line="277"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75"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92" w:lineRule="exact"/>
        <w:rPr>
          <w:rFonts w:ascii="Arial" w:cs="Arial" w:eastAsia="Arial" w:hAnsi="Arial"/>
          <w:sz w:val="18"/>
          <w:szCs w:val="18"/>
          <w:color w:val="auto"/>
        </w:rPr>
      </w:pPr>
    </w:p>
    <w:p>
      <w:pPr>
        <w:ind w:left="1980" w:right="679" w:hanging="352"/>
        <w:spacing w:after="0" w:line="263"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92"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62" w:lineRule="exact"/>
        <w:rPr>
          <w:sz w:val="20"/>
          <w:szCs w:val="20"/>
          <w:color w:val="auto"/>
        </w:rPr>
      </w:pPr>
    </w:p>
    <w:p>
      <w:pPr>
        <w:jc w:val="both"/>
        <w:ind w:left="1980" w:right="819" w:hanging="352"/>
        <w:spacing w:after="0" w:line="263"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1980" w:right="699" w:hanging="352"/>
        <w:spacing w:after="0" w:line="255"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0" w:lineRule="exact"/>
        <w:rPr>
          <w:rFonts w:ascii="Arial" w:cs="Arial" w:eastAsia="Arial" w:hAnsi="Arial"/>
          <w:sz w:val="18"/>
          <w:szCs w:val="18"/>
          <w:color w:val="auto"/>
        </w:rPr>
      </w:pPr>
    </w:p>
    <w:p>
      <w:pPr>
        <w:ind w:left="1980" w:right="819" w:hanging="352"/>
        <w:spacing w:after="0" w:line="308" w:lineRule="auto"/>
        <w:tabs>
          <w:tab w:leader="none" w:pos="19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4" w:lineRule="exact"/>
        <w:rPr>
          <w:rFonts w:ascii="Arial" w:cs="Arial" w:eastAsia="Arial" w:hAnsi="Arial"/>
          <w:sz w:val="17"/>
          <w:szCs w:val="17"/>
          <w:color w:val="auto"/>
        </w:rPr>
      </w:pPr>
    </w:p>
    <w:p>
      <w:pPr>
        <w:ind w:left="1980" w:hanging="352"/>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 incorporated by reference in this prospectus.</w:t>
      </w:r>
    </w:p>
    <w:p>
      <w:pPr>
        <w:spacing w:after="0" w:line="69"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During the year ended December 31, 2017,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69" w:lineRule="exact"/>
        <w:rPr>
          <w:sz w:val="20"/>
          <w:szCs w:val="20"/>
          <w:color w:val="auto"/>
        </w:rPr>
      </w:pPr>
    </w:p>
    <w:p>
      <w:pPr>
        <w:jc w:val="both"/>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April 20, 2020, is filed as an exhibit to the registration statement of which this prospectus forms a part.</w:t>
      </w:r>
    </w:p>
    <w:p>
      <w:pPr>
        <w:sectPr>
          <w:pgSz w:w="11900" w:h="16838" w:orient="portrait"/>
          <w:cols w:equalWidth="0" w:num="1">
            <w:col w:w="10139"/>
          </w:cols>
          <w:pgMar w:left="320" w:top="131" w:right="1440" w:bottom="1440" w:gutter="0" w:footer="0" w:header="0"/>
        </w:sect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November 11, 2018, Tradeweb Markets Inc. engaged Deloitte &amp; Touche LLP as its independent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registered public accounting firm, and Tradeweb Markets LLC also engaged Deloitte &amp; Touche LLP as its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independent registered public accounting firm on February 6, 2019. During the fiscal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and the subsequent interim period through September 30, 2018, Tradeweb Markets LLC</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any person on its behalf) did not consult with Deloitte &amp; Touche LLP regarding any of the matters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described in Items 304(a)(2)(i) or 304(a)(2)(ii)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financial statements of Tradeweb Markets Inc. as of December 31, 2019 and 2018 and for the year ended December 31, 2019 and the period from October 1, 2018 to December 31, 2018 (the “Successor Period”) incorporated in this prospectus by reference from Tradeweb Markets Inc.’s Annual Report on Form 10-K/A for the year ended December 31, 2019, have been audited by Deloitte &amp; Touche LLP, an independent registered public accounting firm, as stated in their report (which report expresses an unqualified opinion on the consolidated financial statements, and includes an emphasis of matter paragraph relating to the Company’s reorganization transactions and initial public offering on April 4, 2019), which is incorporated herein by reference. Such financial statements have been so included in reliance upon the report of such firm given upon their authority as experts in accounting and auditing.</w:t>
      </w:r>
    </w:p>
    <w:p>
      <w:pPr>
        <w:spacing w:after="0" w:line="73" w:lineRule="exact"/>
        <w:rPr>
          <w:sz w:val="20"/>
          <w:szCs w:val="20"/>
          <w:color w:val="auto"/>
        </w:rPr>
      </w:pPr>
    </w:p>
    <w:p>
      <w:pPr>
        <w:ind w:left="1260" w:right="81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consolidated financial statements of Tradeweb Markets LLC and its subsidiaries for the period from January 1, 2018 to September 30, 2018 and for the year ended December 31, 2017 (the “Predecessor </w:t>
      </w:r>
      <w:hyperlink r:id="rId286">
        <w:r>
          <w:rPr>
            <w:rFonts w:ascii="Arial" w:cs="Arial" w:eastAsia="Arial" w:hAnsi="Arial"/>
            <w:sz w:val="18"/>
            <w:szCs w:val="18"/>
            <w:color w:val="auto"/>
          </w:rPr>
          <w:t xml:space="preserve">Financial Statements”) incorporated in this prospectus by reference to the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86">
        <w:r>
          <w:rPr>
            <w:rFonts w:ascii="Arial" w:cs="Arial" w:eastAsia="Arial" w:hAnsi="Arial"/>
            <w:sz w:val="18"/>
            <w:szCs w:val="18"/>
            <w:u w:val="single" w:color="auto"/>
            <w:color w:val="0000EE"/>
          </w:rPr>
          <w:t>the year ended December 31, 2019</w:t>
        </w:r>
        <w:r>
          <w:rPr>
            <w:rFonts w:ascii="Arial" w:cs="Arial" w:eastAsia="Arial" w:hAnsi="Arial"/>
            <w:sz w:val="18"/>
            <w:szCs w:val="18"/>
            <w:color w:val="0000EE"/>
          </w:rPr>
          <w:t xml:space="preserve"> </w:t>
        </w:r>
        <w:r>
          <w:rPr>
            <w:rFonts w:ascii="Arial" w:cs="Arial" w:eastAsia="Arial" w:hAnsi="Arial"/>
            <w:sz w:val="18"/>
            <w:szCs w:val="18"/>
            <w:color w:val="000000"/>
          </w:rPr>
          <w:t>of Tradeweb Markets Inc., have been so incorporated in reliance on the</w:t>
        </w:r>
      </w:hyperlink>
      <w:r>
        <w:rPr>
          <w:rFonts w:ascii="Arial" w:cs="Arial" w:eastAsia="Arial" w:hAnsi="Arial"/>
          <w:sz w:val="18"/>
          <w:szCs w:val="18"/>
          <w:color w:val="0000EE"/>
        </w:rPr>
        <w:t xml:space="preserve"> </w:t>
      </w:r>
      <w:r>
        <w:rPr>
          <w:rFonts w:ascii="Arial" w:cs="Arial" w:eastAsia="Arial" w:hAnsi="Arial"/>
          <w:sz w:val="18"/>
          <w:szCs w:val="18"/>
          <w:color w:val="000000"/>
        </w:rPr>
        <w:t>report of PricewaterhouseCoopers LLP, an independent registered public accounting firm, given on the authority of said firm as experts in accounting and auditing.</w:t>
      </w:r>
    </w:p>
    <w:p>
      <w:pPr>
        <w:spacing w:after="0" w:line="8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88"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Subsequent to completion of the Closing Date Audit, the TWM LLC Agreement was amended and restated to, among other things, (i) provide for LLC Interests and (ii) exchange all of the existing membership interests of Tradeweb Markets LLC’s existing equityholders for LLC Interests. As a result, Tradeweb Markets Inc. filed a Current Report on Form 8-K to adjust retrospectively the audited consolidated financial statements of Tradeweb Markets LLC and its subsidiaries included in Tradeweb Markets Inc.’s final prospectus, dated April 3, 2019, filed with the SEC pursuant to Rule 424(b) under the Securities Act, relating to the IPO, in order to reflect the above-mentioned amendment and resulting recapitalization.</w:t>
      </w:r>
    </w:p>
    <w:p>
      <w:pPr>
        <w:spacing w:after="0" w:line="8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In connection with the above-described recapitalization, PricewaterhouseCoopers LLP performed additional audit procedures to audit the impact of the recapitalization on the Predecessor Financial Statements and issued a dual-dated opinion on the Predecessor Financial Statements incorporated by reference in this prospectus. Prior to performing the additional audit procedures relating to the recapitalization, PricewaterhouseCoopers LLP reviewed the various services being provided to and relationships with the entities that became affiliates of Tradeweb Markets LLC in connection with the Refinitiv Transaction. PricewaterhouseCoopers LLP identified the services and relationships that were inconsistent with the auditor independence rules provided in Rule 2-01 of Regulation S-X and discussed the matters with those charged with governance for Tradeweb Markets LLC. No services or relationships were identified that were not consistent with the services described above.</w:t>
      </w:r>
    </w:p>
    <w:p>
      <w:pPr>
        <w:spacing w:after="0" w:line="8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performance of the additional audit procedures necessary to audit the impact of the recapitalization on the Predecessor Financial Statements and provide the dual-dated audit opinion on the Predecessor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any document incorporated by reference in this prospectus will be deemed to be modified or superseded to the extent that a statement contained in this prospectus or free writing prospectus provided to you in connection with this offering modified or supersedes the original statement. Any statement so modified or superseded will not be deemed, except as so modified or superseded, to be a part of this prospectus. The following documents filed with the SEC are hereby incorporated by reference in this prospectus:</w:t>
      </w:r>
    </w:p>
    <w:p>
      <w:pPr>
        <w:spacing w:after="0" w:line="151" w:lineRule="exact"/>
        <w:rPr>
          <w:sz w:val="20"/>
          <w:szCs w:val="20"/>
          <w:color w:val="auto"/>
        </w:rPr>
      </w:pPr>
    </w:p>
    <w:p>
      <w:pPr>
        <w:ind w:left="1980" w:right="679" w:hanging="352"/>
        <w:spacing w:after="0" w:line="308" w:lineRule="auto"/>
        <w:tabs>
          <w:tab w:leader="none" w:pos="1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Our </w:t>
      </w:r>
      <w:hyperlink r:id="rId286">
        <w:r>
          <w:rPr>
            <w:rFonts w:ascii="Arial" w:cs="Arial" w:eastAsia="Arial" w:hAnsi="Arial"/>
            <w:sz w:val="17"/>
            <w:szCs w:val="17"/>
            <w:u w:val="single" w:color="auto"/>
            <w:color w:val="0000EE"/>
          </w:rPr>
          <w:t>Annual Report on Form 10-K for the fiscal year ended December 31, 2019</w:t>
        </w:r>
      </w:hyperlink>
      <w:r>
        <w:rPr>
          <w:rFonts w:ascii="Arial" w:cs="Arial" w:eastAsia="Arial" w:hAnsi="Arial"/>
          <w:sz w:val="17"/>
          <w:szCs w:val="17"/>
          <w:color w:val="auto"/>
        </w:rPr>
        <w:t xml:space="preserve">, filed with the SEC on February 21, 2020, as amended by Form 10-K/A filed with the SEC on </w:t>
      </w:r>
      <w:hyperlink r:id="rId289">
        <w:r>
          <w:rPr>
            <w:rFonts w:ascii="Arial" w:cs="Arial" w:eastAsia="Arial" w:hAnsi="Arial"/>
            <w:sz w:val="17"/>
            <w:szCs w:val="17"/>
            <w:u w:val="single" w:color="auto"/>
            <w:color w:val="0000EE"/>
          </w:rPr>
          <w:t>March 4, 2020</w:t>
        </w:r>
      </w:hyperlink>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108"/>
        </w:numPr>
        <w:rPr>
          <w:rFonts w:ascii="Arial" w:cs="Arial" w:eastAsia="Arial" w:hAnsi="Arial"/>
          <w:sz w:val="18"/>
          <w:szCs w:val="18"/>
          <w:color w:val="0000EE"/>
        </w:rPr>
      </w:pPr>
      <w:hyperlink r:id="rId290">
        <w:r>
          <w:rPr>
            <w:rFonts w:ascii="Arial" w:cs="Arial" w:eastAsia="Arial" w:hAnsi="Arial"/>
            <w:sz w:val="18"/>
            <w:szCs w:val="18"/>
            <w:color w:val="auto"/>
          </w:rPr>
          <w:t xml:space="preserve">Those portions of our Definitive Proxy Statement on Schedule 14A filed with the SEC on </w:t>
        </w:r>
        <w:r>
          <w:rPr>
            <w:rFonts w:ascii="Arial" w:cs="Arial" w:eastAsia="Arial" w:hAnsi="Arial"/>
            <w:sz w:val="18"/>
            <w:szCs w:val="18"/>
            <w:u w:val="single" w:color="auto"/>
            <w:color w:val="0000EE"/>
          </w:rPr>
          <w:t>April 9,</w:t>
        </w:r>
      </w:hyperlink>
      <w:r>
        <w:rPr>
          <w:rFonts w:ascii="Arial" w:cs="Arial" w:eastAsia="Arial" w:hAnsi="Arial"/>
          <w:sz w:val="18"/>
          <w:szCs w:val="18"/>
          <w:color w:val="auto"/>
        </w:rPr>
        <w:t xml:space="preserve"> </w:t>
      </w:r>
      <w:hyperlink r:id="rId290">
        <w:r>
          <w:rPr>
            <w:rFonts w:ascii="Arial" w:cs="Arial" w:eastAsia="Arial" w:hAnsi="Arial"/>
            <w:sz w:val="18"/>
            <w:szCs w:val="18"/>
            <w:u w:val="single" w:color="auto"/>
            <w:color w:val="0000EE"/>
          </w:rPr>
          <w:t>2020</w:t>
        </w:r>
        <w:r>
          <w:rPr>
            <w:rFonts w:ascii="Arial" w:cs="Arial" w:eastAsia="Arial" w:hAnsi="Arial"/>
            <w:sz w:val="18"/>
            <w:szCs w:val="18"/>
            <w:color w:val="000000"/>
          </w:rPr>
          <w:t>, which are incorporated by reference in our 2019 Form 10-K; and</w:t>
        </w:r>
      </w:hyperlink>
    </w:p>
    <w:p>
      <w:pPr>
        <w:spacing w:after="0" w:line="129" w:lineRule="exact"/>
        <w:rPr>
          <w:rFonts w:ascii="Arial" w:cs="Arial" w:eastAsia="Arial" w:hAnsi="Arial"/>
          <w:sz w:val="18"/>
          <w:szCs w:val="18"/>
          <w:color w:val="0000EE"/>
        </w:rPr>
      </w:pPr>
    </w:p>
    <w:p>
      <w:pPr>
        <w:ind w:left="1980" w:right="739" w:hanging="352"/>
        <w:spacing w:after="0" w:line="277"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Our </w:t>
      </w:r>
      <w:hyperlink r:id="rId291">
        <w:r>
          <w:rPr>
            <w:rFonts w:ascii="Arial" w:cs="Arial" w:eastAsia="Arial" w:hAnsi="Arial"/>
            <w:sz w:val="18"/>
            <w:szCs w:val="18"/>
            <w:u w:val="single" w:color="auto"/>
            <w:color w:val="0000EE"/>
          </w:rPr>
          <w:t>Current Reports on Form 8-K filed with the SEC on March 26,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92">
        <w:r>
          <w:rPr>
            <w:rFonts w:ascii="Arial" w:cs="Arial" w:eastAsia="Arial" w:hAnsi="Arial"/>
            <w:sz w:val="18"/>
            <w:szCs w:val="18"/>
            <w:u w:val="single" w:color="auto"/>
            <w:color w:val="0000EE"/>
          </w:rPr>
          <w:t>April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(only Item 8.01).</w:t>
      </w:r>
    </w:p>
    <w:p>
      <w:pPr>
        <w:spacing w:after="0" w:line="62" w:lineRule="exact"/>
        <w:rPr>
          <w:rFonts w:ascii="Arial" w:cs="Arial" w:eastAsia="Arial" w:hAnsi="Arial"/>
          <w:sz w:val="18"/>
          <w:szCs w:val="18"/>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68"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193"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rFonts w:ascii="Arial" w:cs="Arial" w:eastAsia="Arial" w:hAnsi="Arial"/>
          <w:sz w:val="18"/>
          <w:szCs w:val="18"/>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87" w:lineRule="exact"/>
        <w:rPr>
          <w:rFonts w:ascii="Arial" w:cs="Arial" w:eastAsia="Arial" w:hAnsi="Arial"/>
          <w:sz w:val="18"/>
          <w:szCs w:val="18"/>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rFonts w:ascii="Arial" w:cs="Arial" w:eastAsia="Arial" w:hAnsi="Arial"/>
          <w:sz w:val="18"/>
          <w:szCs w:val="18"/>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are subject to the information and reporting requirements of the Exchange Act and file annual, quarterly and current reports, proxy statements and other information with the SEC.</w:t>
      </w:r>
    </w:p>
    <w:p>
      <w:pPr>
        <w:spacing w:after="0" w:line="62" w:lineRule="exact"/>
        <w:rPr>
          <w:rFonts w:ascii="Arial" w:cs="Arial" w:eastAsia="Arial" w:hAnsi="Arial"/>
          <w:sz w:val="18"/>
          <w:szCs w:val="18"/>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You can review the registration statement, as well as our SEC filings, by accessing the SEC’s website at www.sec.gov. You may also request copies of those documents, at no cost to you, by contacting us at the following address:</w:t>
      </w:r>
    </w:p>
    <w:p>
      <w:pPr>
        <w:spacing w:after="0" w:line="76"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rFonts w:ascii="Arial" w:cs="Arial" w:eastAsia="Arial" w:hAnsi="Arial"/>
          <w:sz w:val="18"/>
          <w:szCs w:val="18"/>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rFonts w:ascii="Arial" w:cs="Arial" w:eastAsia="Arial" w:hAnsi="Arial"/>
          <w:sz w:val="18"/>
          <w:szCs w:val="18"/>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278"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806565" cy="88722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806565" cy="88722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305435</wp:posOffset>
            </wp:positionV>
            <wp:extent cx="521208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11,161,083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Tradeweb Markets Inc.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620395</wp:posOffset>
            </wp:positionV>
            <wp:extent cx="1714500" cy="4375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17145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22"/>
                <w:szCs w:val="22"/>
                <w:b w:val="1"/>
                <w:bCs w:val="1"/>
                <w:color w:val="auto"/>
              </w:rPr>
              <w:t>J.P. Morgan</w:t>
            </w:r>
          </w:p>
        </w:tc>
        <w:tc>
          <w:tcPr>
            <w:tcW w:w="2240" w:type="dxa"/>
            <w:vAlign w:val="bottom"/>
          </w:tcPr>
          <w:p>
            <w:pPr>
              <w:jc w:val="center"/>
              <w:spacing w:after="0"/>
              <w:rPr>
                <w:sz w:val="20"/>
                <w:szCs w:val="20"/>
                <w:color w:val="auto"/>
              </w:rPr>
            </w:pPr>
            <w:r>
              <w:rPr>
                <w:rFonts w:ascii="Arial" w:cs="Arial" w:eastAsia="Arial" w:hAnsi="Arial"/>
                <w:sz w:val="22"/>
                <w:szCs w:val="22"/>
                <w:b w:val="1"/>
                <w:bCs w:val="1"/>
                <w:color w:val="auto"/>
                <w:w w:val="98"/>
              </w:rPr>
              <w:t>Barclays   Citigroup</w:t>
            </w:r>
          </w:p>
        </w:tc>
        <w:tc>
          <w:tcPr>
            <w:tcW w:w="2820" w:type="dxa"/>
            <w:vAlign w:val="bottom"/>
          </w:tcPr>
          <w:p>
            <w:pPr>
              <w:ind w:left="160"/>
              <w:spacing w:after="0"/>
              <w:rPr>
                <w:sz w:val="20"/>
                <w:szCs w:val="20"/>
                <w:color w:val="auto"/>
              </w:rPr>
            </w:pPr>
            <w:r>
              <w:rPr>
                <w:rFonts w:ascii="Arial" w:cs="Arial" w:eastAsia="Arial" w:hAnsi="Arial"/>
                <w:sz w:val="22"/>
                <w:szCs w:val="22"/>
                <w:b w:val="1"/>
                <w:bCs w:val="1"/>
                <w:color w:val="auto"/>
                <w:w w:val="94"/>
              </w:rPr>
              <w:t>Goldman Sachs &amp; Co. LLC</w:t>
            </w:r>
          </w:p>
        </w:tc>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c>
          <w:tcPr>
            <w:tcW w:w="1240" w:type="dxa"/>
            <w:vAlign w:val="bottom"/>
          </w:tcPr>
          <w:p>
            <w:pPr>
              <w:spacing w:after="0"/>
              <w:rPr>
                <w:sz w:val="24"/>
                <w:szCs w:val="24"/>
                <w:color w:val="auto"/>
              </w:rPr>
            </w:pPr>
          </w:p>
        </w:tc>
      </w:tr>
      <w:tr>
        <w:trPr>
          <w:trHeight w:val="355"/>
        </w:trPr>
        <w:tc>
          <w:tcPr>
            <w:tcW w:w="12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8"/>
              </w:rPr>
              <w:t>BofA Securities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Credit Suisse</w:t>
            </w:r>
          </w:p>
        </w:tc>
        <w:tc>
          <w:tcPr>
            <w:tcW w:w="2820" w:type="dxa"/>
            <w:vAlign w:val="bottom"/>
          </w:tcPr>
          <w:p>
            <w:pPr>
              <w:ind w:left="100"/>
              <w:spacing w:after="0"/>
              <w:rPr>
                <w:sz w:val="20"/>
                <w:szCs w:val="20"/>
                <w:color w:val="auto"/>
              </w:rPr>
            </w:pPr>
            <w:r>
              <w:rPr>
                <w:rFonts w:ascii="Arial" w:cs="Arial" w:eastAsia="Arial" w:hAnsi="Arial"/>
                <w:sz w:val="18"/>
                <w:szCs w:val="18"/>
                <w:b w:val="1"/>
                <w:bCs w:val="1"/>
                <w:color w:val="auto"/>
              </w:rPr>
              <w:t>Deutsche Bank Securities</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Wells Fargo Securities</w:t>
            </w:r>
          </w:p>
        </w:tc>
        <w:tc>
          <w:tcPr>
            <w:tcW w:w="1240" w:type="dxa"/>
            <w:vAlign w:val="bottom"/>
          </w:tcPr>
          <w:p>
            <w:pPr>
              <w:spacing w:after="0"/>
              <w:rPr>
                <w:sz w:val="24"/>
                <w:szCs w:val="24"/>
                <w:color w:val="auto"/>
              </w:rPr>
            </w:pPr>
          </w:p>
        </w:tc>
      </w:tr>
      <w:tr>
        <w:trPr>
          <w:trHeight w:val="3442"/>
        </w:trPr>
        <w:tc>
          <w:tcPr>
            <w:tcW w:w="12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68"/>
        </w:trPr>
        <w:tc>
          <w:tcPr>
            <w:tcW w:w="12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sectPr>
      <w:pgSz w:w="11900" w:h="16838" w:orient="portrait"/>
      <w:cols w:equalWidth="0" w:num="1">
        <w:col w:w="10720"/>
      </w:cols>
      <w:pgMar w:left="320" w:top="131"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emdash "/>
      <w:numFmt w:val="bullet"/>
      <w:start w:val="1"/>
    </w:lvl>
  </w:abstractNum>
  <w:abstractNum w:abstractNumId="6">
    <w:nsid w:val="180115BE"/>
    <w:multiLevelType w:val="hybridMultilevel"/>
    <w:lvl w:ilvl="0">
      <w:lvlJc w:val="left"/>
      <w:lvlText w:val="(%1)"/>
      <w:numFmt w:val="decimal"/>
      <w:start w:val="1"/>
    </w:lvl>
    <w:lvl w:ilvl="1">
      <w:lvlJc w:val="left"/>
      <w:lvlText w:val="(%2)"/>
      <w:numFmt w:val="lowerLetter"/>
      <w:start w:val="1"/>
    </w:lvl>
  </w:abstractNum>
  <w:abstractNum w:abstractNumId="7">
    <w:nsid w:val="235BA861"/>
    <w:multiLevelType w:val="hybridMultilevel"/>
    <w:lvl w:ilvl="0">
      <w:lvlJc w:val="left"/>
      <w:lvlText w:val="(%1)"/>
      <w:numFmt w:val="decimal"/>
      <w:start w:val="2"/>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1"/>
      <w:numFmt w:val="decimal"/>
      <w:start w:val="198"/>
    </w:lvl>
  </w:abstractNum>
  <w:abstractNum w:abstractNumId="10">
    <w:nsid w:val="15B5AF5C"/>
    <w:multiLevelType w:val="hybridMultilevel"/>
    <w:lvl w:ilvl="0">
      <w:lvlJc w:val="left"/>
      <w:lvlText w:val="(%1)"/>
      <w:numFmt w:val="decimal"/>
      <w:start w:val="1"/>
    </w:lvl>
    <w:lvl w:ilvl="1">
      <w:lvlJc w:val="left"/>
      <w:lvlText w:val="(%2)"/>
      <w:numFmt w:val="lowerLetter"/>
      <w:start w:val="1"/>
    </w:lvl>
  </w:abstractNum>
  <w:abstractNum w:abstractNumId="11">
    <w:nsid w:val="741226BB"/>
    <w:multiLevelType w:val="hybridMultilevel"/>
    <w:lvl w:ilvl="0">
      <w:lvlJc w:val="left"/>
      <w:lvlText w:val="(%1)"/>
      <w:numFmt w:val="decimal"/>
      <w:start w:val="2"/>
    </w:lvl>
  </w:abstractNum>
  <w:abstractNum w:abstractNumId="12">
    <w:nsid w:val="D34B6A8"/>
    <w:multiLevelType w:val="hybridMultilevel"/>
    <w:lvl w:ilvl="0">
      <w:lvlJc w:val="left"/>
      <w:lvlText w:val="(%1)"/>
      <w:numFmt w:val="decimal"/>
      <w:start w:val="7"/>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lowerLetter"/>
      <w:start w:val="25"/>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6"/>
    </w:lvl>
  </w:abstractNum>
  <w:abstractNum w:abstractNumId="30">
    <w:nsid w:val="15014ACB"/>
    <w:multiLevelType w:val="hybridMultilevel"/>
    <w:lvl w:ilvl="0">
      <w:lvlJc w:val="left"/>
      <w:lvlText w:val="(%1)"/>
      <w:numFmt w:val="lowerLetter"/>
      <w:start w:val="1"/>
    </w:lvl>
  </w:abstractNum>
  <w:abstractNum w:abstractNumId="31">
    <w:nsid w:val="5F5E7FD0"/>
    <w:multiLevelType w:val="hybridMultilevel"/>
    <w:lvl w:ilvl="0">
      <w:lvlJc w:val="left"/>
      <w:lvlText w:val="(%1)"/>
      <w:numFmt w:val="lowerLetter"/>
      <w:start w:val="2"/>
    </w:lvl>
  </w:abstractNum>
  <w:abstractNum w:abstractNumId="32">
    <w:nsid w:val="98A3148"/>
    <w:multiLevelType w:val="hybridMultilevel"/>
    <w:lvl w:ilvl="0">
      <w:lvlJc w:val="left"/>
      <w:lvlText w:val="(%1)"/>
      <w:numFmt w:val="decimal"/>
      <w:start w:val="960"/>
    </w:lvl>
  </w:abstractNum>
  <w:abstractNum w:abstractNumId="33">
    <w:nsid w:val="799D0247"/>
    <w:multiLevelType w:val="hybridMultilevel"/>
    <w:lvl w:ilvl="0">
      <w:lvlJc w:val="left"/>
      <w:lvlText w:val="(%1)"/>
      <w:numFmt w:val="decimal"/>
      <w:start w:val="921"/>
    </w:lvl>
  </w:abstractNum>
  <w:abstractNum w:abstractNumId="34">
    <w:nsid w:val="6B94764"/>
    <w:multiLevelType w:val="hybridMultilevel"/>
    <w:lvl w:ilvl="0">
      <w:lvlJc w:val="left"/>
      <w:lvlText w:val="(%1)"/>
      <w:numFmt w:val="lowerLetter"/>
      <w:start w:val="1"/>
    </w:lvl>
    <w:lvl w:ilvl="1">
      <w:lvlJc w:val="left"/>
      <w:lvlText w:val="(%2)"/>
      <w:numFmt w:val="decimal"/>
      <w:start w:val="1"/>
    </w:lvl>
  </w:abstractNum>
  <w:abstractNum w:abstractNumId="35">
    <w:nsid w:val="42C296BD"/>
    <w:multiLevelType w:val="hybridMultilevel"/>
    <w:lvl w:ilvl="0">
      <w:lvlJc w:val="left"/>
      <w:lvlText w:val="(%1)"/>
      <w:numFmt w:val="lowerLetter"/>
      <w:start w:val="2"/>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lowerRoman"/>
      <w:start w:val="7"/>
    </w:lvl>
  </w:abstractNum>
  <w:abstractNum w:abstractNumId="43">
    <w:nsid w:val="613EFDC5"/>
    <w:multiLevelType w:val="hybridMultilevel"/>
    <w:lvl w:ilvl="0">
      <w:lvlJc w:val="left"/>
      <w:lvlText w:val="(%1)"/>
      <w:numFmt w:val="lowerRoman"/>
      <w:start w:val="5"/>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emdash "/>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lowerLetter"/>
      <w:start w:val="2"/>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emdash "/>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
      <w:numFmt w:val="bullet"/>
      <w:start w:val="1"/>
    </w:lvl>
    <w:lvl w:ilvl="1">
      <w:lvlJc w:val="left"/>
      <w:lvlText w:val="(%2)"/>
      <w:numFmt w:val="lowerRoman"/>
      <w:start w:val="2"/>
    </w:lvl>
  </w:abstractNum>
  <w:abstractNum w:abstractNumId="68">
    <w:nsid w:val="14E17E33"/>
    <w:multiLevelType w:val="hybridMultilevel"/>
    <w:lvl w:ilvl="0">
      <w:lvlJc w:val="left"/>
      <w:lvlText w:val="•"/>
      <w:numFmt w:val="bullet"/>
      <w:start w:val="1"/>
    </w:lvl>
    <w:lvl w:ilvl="1">
      <w:lvlJc w:val="left"/>
      <w:lvlText w:val="(%2)"/>
      <w:numFmt w:val="lowerRoman"/>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1)"/>
      <w:numFmt w:val="decimal"/>
      <w:start w:val="1"/>
    </w:lvl>
    <w:lvl w:ilvl="1">
      <w:lvlJc w:val="left"/>
      <w:lvlText w:val="•"/>
      <w:numFmt w:val="bullet"/>
      <w:start w:val="1"/>
    </w:lvl>
  </w:abstractNum>
  <w:abstractNum w:abstractNumId="73">
    <w:nsid w:val="46B7D447"/>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74">
    <w:nsid w:val="4A2AC315"/>
    <w:multiLevelType w:val="hybridMultilevel"/>
    <w:lvl w:ilvl="0">
      <w:lvlJc w:val="left"/>
      <w:lvlText w:val="(%1)"/>
      <w:numFmt w:val="decimal"/>
      <w:start w:val="3"/>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5"/>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2"/>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emdash "/>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5"/>
    </w:lvl>
  </w:abstractNum>
  <w:abstractNum w:abstractNumId="88">
    <w:nsid w:val="6AA78F7F"/>
    <w:multiLevelType w:val="hybridMultilevel"/>
    <w:lvl w:ilvl="0">
      <w:lvlJc w:val="left"/>
      <w:lvlText w:val="(%1)"/>
      <w:numFmt w:val="lowerRoman"/>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1)"/>
      <w:numFmt w:val="lowerRoman"/>
      <w:start w:val="10"/>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1)"/>
      <w:numFmt w:val="lowerRoman"/>
      <w:start w:val="2"/>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1)"/>
      <w:numFmt w:val="lowerRoman"/>
      <w:start w:val="2"/>
    </w:lvl>
  </w:abstractNum>
  <w:abstractNum w:abstractNumId="98">
    <w:nsid w:val="14FCE74E"/>
    <w:multiLevelType w:val="hybridMultilevel"/>
    <w:lvl w:ilvl="0">
      <w:lvlJc w:val="left"/>
      <w:lvlText w:val="(%1)"/>
      <w:numFmt w:val="lowerRoman"/>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jpeg"/><Relationship Id="rId298" Type="http://schemas.openxmlformats.org/officeDocument/2006/relationships/image" Target="media/image286.png"/><Relationship Id="rId299" Type="http://schemas.openxmlformats.org/officeDocument/2006/relationships/image" Target="media/image287.png"/><Relationship Id="rId286" Type="http://schemas.openxmlformats.org/officeDocument/2006/relationships/hyperlink" Target="http://www.sec.gov/Archives/edgar/data/1758730/000155837020001170/tw-20191231x10k.htm" TargetMode="External"/><Relationship Id="rId289" Type="http://schemas.openxmlformats.org/officeDocument/2006/relationships/hyperlink" Target="http://www.sec.gov/Archives/edgar/data/1758730/000155837020002031/tw-20191231x10ka.htm" TargetMode="External"/><Relationship Id="rId290" Type="http://schemas.openxmlformats.org/officeDocument/2006/relationships/hyperlink" Target="http://www.sec.gov/Archives/edgar/data/1758730/000110465920045230/tm209417-2_def14a.htm" TargetMode="External"/><Relationship Id="rId291" Type="http://schemas.openxmlformats.org/officeDocument/2006/relationships/hyperlink" Target="http://www.sec.gov/Archives/edgar/data/1758730/000110465920038559/tm2013826d1_8k.htm" TargetMode="External"/><Relationship Id="rId292" Type="http://schemas.openxmlformats.org/officeDocument/2006/relationships/hyperlink" Target="http://www.sec.gov/Archives/edgar/data/1758730/000110465920048765/tm201634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2020-04-24T15:23:26Z</dcterms:created>
  <dcterms:modified xsi:type="dcterms:W3CDTF">2020-04-24T15:23:26Z</dcterms:modified>
</cp:coreProperties>
</file>