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4200" w:right="1720" w:hanging="4174"/>
        <w:spacing w:after="0" w:line="391" w:lineRule="auto"/>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Arial" w:cs="Arial" w:eastAsia="Arial" w:hAnsi="Arial"/>
          <w:sz w:val="29"/>
          <w:szCs w:val="29"/>
          <w:b w:val="1"/>
          <w:bCs w:val="1"/>
          <w:color w:val="auto"/>
        </w:rPr>
        <w:t>TRADEWEB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2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24"/>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39"/>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96" w:lineRule="exact"/>
        <w:rPr>
          <w:sz w:val="24"/>
          <w:szCs w:val="24"/>
          <w:color w:val="auto"/>
        </w:rPr>
      </w:pPr>
    </w:p>
    <w:p>
      <w:pPr>
        <w:ind w:right="220"/>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61" w:lineRule="exact"/>
        <w:rPr>
          <w:sz w:val="24"/>
          <w:szCs w:val="24"/>
          <w:color w:val="auto"/>
        </w:rPr>
      </w:pPr>
    </w:p>
    <w:p>
      <w:pPr>
        <w:ind w:right="100"/>
        <w:spacing w:after="0" w:line="21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63" w:lineRule="exact"/>
        <w:rPr>
          <w:sz w:val="24"/>
          <w:szCs w:val="24"/>
          <w:color w:val="auto"/>
        </w:rPr>
      </w:pPr>
    </w:p>
    <w:p>
      <w:pPr>
        <w:ind w:right="4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60"/>
        <w:spacing w:after="0" w:line="420"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22"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33" w:right="339" w:bottom="1440" w:gutter="0" w:footer="0" w:header="0"/>
          <w:type w:val="continuous"/>
        </w:sectPr>
      </w:pPr>
    </w:p>
    <w:p>
      <w:pPr>
        <w:ind w:right="560"/>
        <w:spacing w:after="0" w:line="212"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740" w:type="dxa"/>
            <w:vAlign w:val="bottom"/>
            <w:gridSpan w:val="2"/>
          </w:tcPr>
          <w:p>
            <w:pPr>
              <w:ind w:left="2320"/>
              <w:spacing w:after="0"/>
              <w:rPr>
                <w:sz w:val="20"/>
                <w:szCs w:val="20"/>
                <w:color w:val="auto"/>
              </w:rPr>
            </w:pPr>
            <w:r>
              <w:rPr>
                <w:rFonts w:ascii="Arial" w:cs="Arial" w:eastAsia="Arial" w:hAnsi="Arial"/>
                <w:sz w:val="14"/>
                <w:szCs w:val="14"/>
                <w:color w:val="auto"/>
              </w:rPr>
              <w:t>Class of Stock</w:t>
            </w:r>
          </w:p>
        </w:tc>
        <w:tc>
          <w:tcPr>
            <w:tcW w:w="5500" w:type="dxa"/>
            <w:vAlign w:val="bottom"/>
          </w:tcPr>
          <w:p>
            <w:pPr>
              <w:jc w:val="right"/>
              <w:ind w:right="1448"/>
              <w:spacing w:after="0"/>
              <w:rPr>
                <w:sz w:val="20"/>
                <w:szCs w:val="20"/>
                <w:color w:val="auto"/>
              </w:rPr>
            </w:pPr>
            <w:r>
              <w:rPr>
                <w:rFonts w:ascii="Arial" w:cs="Arial" w:eastAsia="Arial" w:hAnsi="Arial"/>
                <w:sz w:val="14"/>
                <w:szCs w:val="14"/>
                <w:color w:val="auto"/>
              </w:rPr>
              <w:t>Shares Outstanding as of October 19, 2023</w:t>
            </w:r>
          </w:p>
        </w:tc>
      </w:tr>
      <w:tr>
        <w:trPr>
          <w:trHeight w:val="25"/>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4"/>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114,725,695</w:t>
            </w: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23,080,571</w:t>
            </w:r>
          </w:p>
        </w:tc>
      </w:tr>
      <w:tr>
        <w:trPr>
          <w:trHeight w:val="188"/>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40" w:type="dxa"/>
            <w:vAlign w:val="bottom"/>
            <w:gridSpan w:val="10"/>
            <w:vMerge w:val="restart"/>
          </w:tcPr>
          <w:p>
            <w:pPr>
              <w:spacing w:after="0"/>
              <w:rPr>
                <w:sz w:val="20"/>
                <w:szCs w:val="20"/>
                <w:color w:val="auto"/>
              </w:rPr>
            </w:pPr>
            <w:r>
              <w:rPr>
                <w:rFonts w:ascii="Arial" w:cs="Arial" w:eastAsia="Arial" w:hAnsi="Arial"/>
                <w:sz w:val="18"/>
                <w:szCs w:val="18"/>
                <w:color w:val="3051F2"/>
                <w:w w:val="95"/>
              </w:rPr>
              <w:t>INTRODUCTORY NOTE</w:t>
            </w:r>
          </w:p>
        </w:tc>
        <w:tc>
          <w:tcPr>
            <w:tcW w:w="8300" w:type="dxa"/>
            <w:vAlign w:val="bottom"/>
            <w:gridSpan w:val="19"/>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10"/>
            <w:vMerge w:val="continue"/>
          </w:tcPr>
          <w:p>
            <w:pPr>
              <w:spacing w:after="0"/>
              <w:rPr>
                <w:sz w:val="15"/>
                <w:szCs w:val="15"/>
                <w:color w:val="auto"/>
              </w:rPr>
            </w:pPr>
          </w:p>
        </w:tc>
        <w:tc>
          <w:tcPr>
            <w:tcW w:w="8300" w:type="dxa"/>
            <w:vAlign w:val="bottom"/>
            <w:gridSpan w:val="19"/>
            <w:vMerge w:val="continue"/>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240" w:type="dxa"/>
            <w:vAlign w:val="bottom"/>
            <w:gridSpan w:val="29"/>
          </w:tcPr>
          <w:p>
            <w:pPr>
              <w:spacing w:after="0"/>
              <w:rPr>
                <w:sz w:val="20"/>
                <w:szCs w:val="20"/>
                <w:color w:val="auto"/>
              </w:rPr>
            </w:pPr>
            <w:r>
              <w:rPr>
                <w:rFonts w:ascii="Arial" w:cs="Arial" w:eastAsia="Arial" w:hAnsi="Arial"/>
                <w:sz w:val="18"/>
                <w:szCs w:val="18"/>
                <w:color w:val="3051F2"/>
              </w:rPr>
              <w:t>USE OF NON-GAAP FINANCIAL MEASURES</w:t>
            </w:r>
          </w:p>
        </w:tc>
        <w:tc>
          <w:tcPr>
            <w:tcW w:w="980" w:type="dxa"/>
            <w:vAlign w:val="bottom"/>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40" w:type="dxa"/>
            <w:vAlign w:val="bottom"/>
            <w:gridSpan w:val="29"/>
          </w:tcPr>
          <w:p>
            <w:pPr>
              <w:spacing w:after="0"/>
              <w:rPr>
                <w:sz w:val="20"/>
                <w:szCs w:val="20"/>
                <w:color w:val="auto"/>
              </w:rPr>
            </w:pPr>
            <w:r>
              <w:rPr>
                <w:rFonts w:ascii="Arial" w:cs="Arial" w:eastAsia="Arial" w:hAnsi="Arial"/>
                <w:sz w:val="18"/>
                <w:szCs w:val="18"/>
                <w:color w:val="3051F2"/>
              </w:rPr>
              <w:t>CAUTIONARY NOTE REGARDING FORWARD-LOOKING STATEMENTS</w:t>
            </w:r>
          </w:p>
        </w:tc>
        <w:tc>
          <w:tcPr>
            <w:tcW w:w="980" w:type="dxa"/>
            <w:vAlign w:val="bottom"/>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2"/>
          </w:tcPr>
          <w:p>
            <w:pPr>
              <w:spacing w:after="0"/>
              <w:rPr>
                <w:sz w:val="20"/>
                <w:szCs w:val="20"/>
                <w:color w:val="auto"/>
              </w:rPr>
            </w:pPr>
            <w:r>
              <w:rPr>
                <w:rFonts w:ascii="Arial" w:cs="Arial" w:eastAsia="Arial" w:hAnsi="Arial"/>
                <w:sz w:val="18"/>
                <w:szCs w:val="18"/>
                <w:color w:val="3051F2"/>
              </w:rPr>
              <w:t>PART I — FINANCIAL INFORMATION</w:t>
            </w:r>
          </w:p>
        </w:tc>
        <w:tc>
          <w:tcPr>
            <w:tcW w:w="44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Arial" w:cs="Arial" w:eastAsia="Arial" w:hAnsi="Arial"/>
                <w:sz w:val="18"/>
                <w:szCs w:val="18"/>
                <w:color w:val="3051F2"/>
                <w:w w:val="90"/>
              </w:rPr>
              <w:t>Item 1.</w:t>
            </w:r>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2"/>
          </w:tcPr>
          <w:p>
            <w:pPr>
              <w:spacing w:after="0"/>
              <w:rPr>
                <w:sz w:val="20"/>
                <w:szCs w:val="20"/>
                <w:color w:val="auto"/>
              </w:rPr>
            </w:pPr>
            <w:r>
              <w:rPr>
                <w:rFonts w:ascii="Arial" w:cs="Arial" w:eastAsia="Arial" w:hAnsi="Arial"/>
                <w:sz w:val="18"/>
                <w:szCs w:val="18"/>
                <w:color w:val="3051F2"/>
              </w:rPr>
              <w:t>Financial Statements</w:t>
            </w:r>
          </w:p>
        </w:tc>
        <w:tc>
          <w:tcPr>
            <w:tcW w:w="718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3051F2"/>
              </w:rPr>
              <w:t>Condensed Consolidated Statements of Financial Condition as of September 30, 2023 and December 31, 2022</w:t>
            </w:r>
          </w:p>
        </w:tc>
        <w:tc>
          <w:tcPr>
            <w:tcW w:w="98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Borders>
              <w:bottom w:val="single" w:sz="8" w:color="3051F2"/>
            </w:tcBorders>
            <w:gridSpan w:val="21"/>
          </w:tcPr>
          <w:p>
            <w:pPr>
              <w:spacing w:after="0"/>
              <w:rPr>
                <w:sz w:val="20"/>
                <w:szCs w:val="20"/>
                <w:color w:val="auto"/>
              </w:rPr>
            </w:pPr>
            <w:r>
              <w:rPr>
                <w:rFonts w:ascii="Arial" w:cs="Arial" w:eastAsia="Arial" w:hAnsi="Arial"/>
                <w:sz w:val="18"/>
                <w:szCs w:val="18"/>
                <w:color w:val="3051F2"/>
                <w:w w:val="88"/>
              </w:rPr>
              <w:t>Condensed Consolidated Statements of Income for the three and nine months ended September 30, 2023 and 2022</w:t>
            </w:r>
          </w:p>
        </w:tc>
        <w:tc>
          <w:tcPr>
            <w:tcW w:w="8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3051F2"/>
                <w:w w:val="89"/>
              </w:rPr>
              <w:t>Condensed Consolidated Statements of Comprehensive Income for the three and nine months ended September 30, 2023 and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360" w:type="dxa"/>
            <w:vAlign w:val="bottom"/>
            <w:tcBorders>
              <w:top w:val="single" w:sz="8" w:color="3051F2"/>
              <w:bottom w:val="single" w:sz="8" w:color="3051F2"/>
            </w:tcBorders>
          </w:tcPr>
          <w:p>
            <w:pPr>
              <w:spacing w:after="0" w:line="169" w:lineRule="exact"/>
              <w:rPr>
                <w:sz w:val="20"/>
                <w:szCs w:val="20"/>
                <w:color w:val="auto"/>
              </w:rPr>
            </w:pPr>
            <w:r>
              <w:rPr>
                <w:rFonts w:ascii="Arial" w:cs="Arial" w:eastAsia="Arial" w:hAnsi="Arial"/>
                <w:sz w:val="18"/>
                <w:szCs w:val="18"/>
                <w:color w:val="3051F2"/>
                <w:w w:val="84"/>
              </w:rPr>
              <w:t>2022</w:t>
            </w:r>
          </w:p>
        </w:tc>
        <w:tc>
          <w:tcPr>
            <w:tcW w:w="20" w:type="dxa"/>
            <w:vAlign w:val="bottom"/>
            <w:tcBorders>
              <w:top w:val="single" w:sz="8" w:color="3051F2"/>
            </w:tcBorders>
          </w:tcPr>
          <w:p>
            <w:pPr>
              <w:spacing w:after="0"/>
              <w:rPr>
                <w:sz w:val="14"/>
                <w:szCs w:val="14"/>
                <w:color w:val="auto"/>
              </w:rPr>
            </w:pPr>
          </w:p>
        </w:tc>
        <w:tc>
          <w:tcPr>
            <w:tcW w:w="160" w:type="dxa"/>
            <w:vAlign w:val="bottom"/>
            <w:tcBorders>
              <w:top w:val="single" w:sz="8" w:color="3051F2"/>
            </w:tcBorders>
          </w:tcPr>
          <w:p>
            <w:pPr>
              <w:spacing w:after="0"/>
              <w:rPr>
                <w:sz w:val="14"/>
                <w:szCs w:val="14"/>
                <w:color w:val="auto"/>
              </w:rPr>
            </w:pPr>
          </w:p>
        </w:tc>
        <w:tc>
          <w:tcPr>
            <w:tcW w:w="140" w:type="dxa"/>
            <w:vAlign w:val="bottom"/>
            <w:tcBorders>
              <w:top w:val="single" w:sz="8" w:color="3051F2"/>
            </w:tcBorders>
          </w:tcPr>
          <w:p>
            <w:pPr>
              <w:spacing w:after="0"/>
              <w:rPr>
                <w:sz w:val="14"/>
                <w:szCs w:val="14"/>
                <w:color w:val="auto"/>
              </w:rPr>
            </w:pPr>
          </w:p>
        </w:tc>
        <w:tc>
          <w:tcPr>
            <w:tcW w:w="80" w:type="dxa"/>
            <w:vAlign w:val="bottom"/>
            <w:tcBorders>
              <w:top w:val="single" w:sz="8" w:color="3051F2"/>
            </w:tcBorders>
          </w:tcPr>
          <w:p>
            <w:pPr>
              <w:spacing w:after="0"/>
              <w:rPr>
                <w:sz w:val="14"/>
                <w:szCs w:val="14"/>
                <w:color w:val="auto"/>
              </w:rPr>
            </w:pPr>
          </w:p>
        </w:tc>
        <w:tc>
          <w:tcPr>
            <w:tcW w:w="340" w:type="dxa"/>
            <w:vAlign w:val="bottom"/>
            <w:tcBorders>
              <w:top w:val="single" w:sz="8" w:color="3051F2"/>
            </w:tcBorders>
          </w:tcPr>
          <w:p>
            <w:pPr>
              <w:spacing w:after="0"/>
              <w:rPr>
                <w:sz w:val="14"/>
                <w:szCs w:val="14"/>
                <w:color w:val="auto"/>
              </w:rPr>
            </w:pPr>
          </w:p>
        </w:tc>
        <w:tc>
          <w:tcPr>
            <w:tcW w:w="20" w:type="dxa"/>
            <w:vAlign w:val="bottom"/>
            <w:tcBorders>
              <w:top w:val="single" w:sz="8" w:color="3051F2"/>
            </w:tcBorders>
          </w:tcPr>
          <w:p>
            <w:pPr>
              <w:spacing w:after="0"/>
              <w:rPr>
                <w:sz w:val="14"/>
                <w:szCs w:val="14"/>
                <w:color w:val="auto"/>
              </w:rPr>
            </w:pPr>
          </w:p>
        </w:tc>
        <w:tc>
          <w:tcPr>
            <w:tcW w:w="160" w:type="dxa"/>
            <w:vAlign w:val="bottom"/>
            <w:tcBorders>
              <w:top w:val="single" w:sz="8" w:color="3051F2"/>
            </w:tcBorders>
          </w:tcPr>
          <w:p>
            <w:pPr>
              <w:spacing w:after="0"/>
              <w:rPr>
                <w:sz w:val="14"/>
                <w:szCs w:val="14"/>
                <w:color w:val="auto"/>
              </w:rPr>
            </w:pPr>
          </w:p>
        </w:tc>
        <w:tc>
          <w:tcPr>
            <w:tcW w:w="280" w:type="dxa"/>
            <w:vAlign w:val="bottom"/>
            <w:tcBorders>
              <w:top w:val="single" w:sz="8" w:color="3051F2"/>
            </w:tcBorders>
          </w:tcPr>
          <w:p>
            <w:pPr>
              <w:spacing w:after="0"/>
              <w:rPr>
                <w:sz w:val="14"/>
                <w:szCs w:val="14"/>
                <w:color w:val="auto"/>
              </w:rPr>
            </w:pPr>
          </w:p>
        </w:tc>
        <w:tc>
          <w:tcPr>
            <w:tcW w:w="20" w:type="dxa"/>
            <w:vAlign w:val="bottom"/>
            <w:tcBorders>
              <w:top w:val="single" w:sz="8" w:color="3051F2"/>
            </w:tcBorders>
          </w:tcPr>
          <w:p>
            <w:pPr>
              <w:spacing w:after="0"/>
              <w:rPr>
                <w:sz w:val="14"/>
                <w:szCs w:val="14"/>
                <w:color w:val="auto"/>
              </w:rPr>
            </w:pPr>
          </w:p>
        </w:tc>
        <w:tc>
          <w:tcPr>
            <w:tcW w:w="300" w:type="dxa"/>
            <w:vAlign w:val="bottom"/>
            <w:tcBorders>
              <w:top w:val="single" w:sz="8" w:color="3051F2"/>
            </w:tcBorders>
          </w:tcPr>
          <w:p>
            <w:pPr>
              <w:spacing w:after="0"/>
              <w:rPr>
                <w:sz w:val="14"/>
                <w:szCs w:val="14"/>
                <w:color w:val="auto"/>
              </w:rPr>
            </w:pPr>
          </w:p>
        </w:tc>
        <w:tc>
          <w:tcPr>
            <w:tcW w:w="220" w:type="dxa"/>
            <w:vAlign w:val="bottom"/>
            <w:tcBorders>
              <w:top w:val="single" w:sz="8" w:color="3051F2"/>
            </w:tcBorders>
          </w:tcPr>
          <w:p>
            <w:pPr>
              <w:spacing w:after="0"/>
              <w:rPr>
                <w:sz w:val="14"/>
                <w:szCs w:val="14"/>
                <w:color w:val="auto"/>
              </w:rPr>
            </w:pPr>
          </w:p>
        </w:tc>
        <w:tc>
          <w:tcPr>
            <w:tcW w:w="340" w:type="dxa"/>
            <w:vAlign w:val="bottom"/>
            <w:tcBorders>
              <w:top w:val="single" w:sz="8" w:color="3051F2"/>
            </w:tcBorders>
          </w:tcPr>
          <w:p>
            <w:pPr>
              <w:spacing w:after="0"/>
              <w:rPr>
                <w:sz w:val="14"/>
                <w:szCs w:val="14"/>
                <w:color w:val="auto"/>
              </w:rPr>
            </w:pPr>
          </w:p>
        </w:tc>
        <w:tc>
          <w:tcPr>
            <w:tcW w:w="1560" w:type="dxa"/>
            <w:vAlign w:val="bottom"/>
            <w:tcBorders>
              <w:top w:val="single" w:sz="8" w:color="3051F2"/>
            </w:tcBorders>
          </w:tcPr>
          <w:p>
            <w:pPr>
              <w:spacing w:after="0"/>
              <w:rPr>
                <w:sz w:val="14"/>
                <w:szCs w:val="14"/>
                <w:color w:val="auto"/>
              </w:rPr>
            </w:pPr>
          </w:p>
        </w:tc>
        <w:tc>
          <w:tcPr>
            <w:tcW w:w="100" w:type="dxa"/>
            <w:vAlign w:val="bottom"/>
            <w:tcBorders>
              <w:top w:val="single" w:sz="8" w:color="3051F2"/>
            </w:tcBorders>
          </w:tcPr>
          <w:p>
            <w:pPr>
              <w:spacing w:after="0"/>
              <w:rPr>
                <w:sz w:val="14"/>
                <w:szCs w:val="14"/>
                <w:color w:val="auto"/>
              </w:rPr>
            </w:pPr>
          </w:p>
        </w:tc>
        <w:tc>
          <w:tcPr>
            <w:tcW w:w="40" w:type="dxa"/>
            <w:vAlign w:val="bottom"/>
            <w:tcBorders>
              <w:top w:val="single" w:sz="8" w:color="3051F2"/>
            </w:tcBorders>
          </w:tcPr>
          <w:p>
            <w:pPr>
              <w:spacing w:after="0"/>
              <w:rPr>
                <w:sz w:val="14"/>
                <w:szCs w:val="14"/>
                <w:color w:val="auto"/>
              </w:rPr>
            </w:pPr>
          </w:p>
        </w:tc>
        <w:tc>
          <w:tcPr>
            <w:tcW w:w="460" w:type="dxa"/>
            <w:vAlign w:val="bottom"/>
            <w:tcBorders>
              <w:top w:val="single" w:sz="8" w:color="3051F2"/>
            </w:tcBorders>
          </w:tcPr>
          <w:p>
            <w:pPr>
              <w:spacing w:after="0"/>
              <w:rPr>
                <w:sz w:val="14"/>
                <w:szCs w:val="14"/>
                <w:color w:val="auto"/>
              </w:rPr>
            </w:pPr>
          </w:p>
        </w:tc>
        <w:tc>
          <w:tcPr>
            <w:tcW w:w="1640" w:type="dxa"/>
            <w:vAlign w:val="bottom"/>
            <w:tcBorders>
              <w:top w:val="single" w:sz="8" w:color="3051F2"/>
            </w:tcBorders>
          </w:tcPr>
          <w:p>
            <w:pPr>
              <w:spacing w:after="0"/>
              <w:rPr>
                <w:sz w:val="14"/>
                <w:szCs w:val="14"/>
                <w:color w:val="auto"/>
              </w:rPr>
            </w:pPr>
          </w:p>
        </w:tc>
        <w:tc>
          <w:tcPr>
            <w:tcW w:w="1600" w:type="dxa"/>
            <w:vAlign w:val="bottom"/>
            <w:tcBorders>
              <w:top w:val="single" w:sz="8" w:color="3051F2"/>
            </w:tcBorders>
          </w:tcPr>
          <w:p>
            <w:pPr>
              <w:spacing w:after="0"/>
              <w:rPr>
                <w:sz w:val="14"/>
                <w:szCs w:val="14"/>
                <w:color w:val="auto"/>
              </w:rPr>
            </w:pPr>
          </w:p>
        </w:tc>
        <w:tc>
          <w:tcPr>
            <w:tcW w:w="100" w:type="dxa"/>
            <w:vAlign w:val="bottom"/>
            <w:tcBorders>
              <w:top w:val="single" w:sz="8" w:color="3051F2"/>
            </w:tcBorders>
          </w:tcPr>
          <w:p>
            <w:pPr>
              <w:spacing w:after="0"/>
              <w:rPr>
                <w:sz w:val="14"/>
                <w:szCs w:val="14"/>
                <w:color w:val="auto"/>
              </w:rPr>
            </w:pPr>
          </w:p>
        </w:tc>
        <w:tc>
          <w:tcPr>
            <w:tcW w:w="300" w:type="dxa"/>
            <w:vAlign w:val="bottom"/>
            <w:tcBorders>
              <w:top w:val="single" w:sz="8" w:color="3051F2"/>
            </w:tcBorders>
          </w:tcPr>
          <w:p>
            <w:pPr>
              <w:spacing w:after="0"/>
              <w:rPr>
                <w:sz w:val="14"/>
                <w:szCs w:val="14"/>
                <w:color w:val="auto"/>
              </w:rPr>
            </w:pPr>
          </w:p>
        </w:tc>
        <w:tc>
          <w:tcPr>
            <w:tcW w:w="760" w:type="dxa"/>
            <w:vAlign w:val="bottom"/>
            <w:tcBorders>
              <w:top w:val="single" w:sz="8" w:color="3051F2"/>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3051F2"/>
            </w:tcBorders>
            <w:gridSpan w:val="23"/>
          </w:tcPr>
          <w:p>
            <w:pPr>
              <w:spacing w:after="0"/>
              <w:rPr>
                <w:sz w:val="20"/>
                <w:szCs w:val="20"/>
                <w:color w:val="auto"/>
              </w:rPr>
            </w:pPr>
            <w:r>
              <w:rPr>
                <w:rFonts w:ascii="Arial" w:cs="Arial" w:eastAsia="Arial" w:hAnsi="Arial"/>
                <w:sz w:val="18"/>
                <w:szCs w:val="18"/>
                <w:color w:val="3051F2"/>
                <w:w w:val="89"/>
              </w:rPr>
              <w:t>Condensed Consolidated Statements of Changes in Equity for the three and nine months ended September 30, 2023 and 2022</w:t>
            </w: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bottom w:val="single" w:sz="8" w:color="3051F2"/>
            </w:tcBorders>
            <w:gridSpan w:val="19"/>
          </w:tcPr>
          <w:p>
            <w:pPr>
              <w:spacing w:after="0"/>
              <w:rPr>
                <w:sz w:val="20"/>
                <w:szCs w:val="20"/>
                <w:color w:val="auto"/>
              </w:rPr>
            </w:pPr>
            <w:r>
              <w:rPr>
                <w:rFonts w:ascii="Arial" w:cs="Arial" w:eastAsia="Arial" w:hAnsi="Arial"/>
                <w:sz w:val="18"/>
                <w:szCs w:val="18"/>
                <w:color w:val="3051F2"/>
                <w:w w:val="88"/>
              </w:rPr>
              <w:t>Condensed Consolidated Statements of Cash Flows for the nine months ended September 30, 2023 and 2022</w:t>
            </w:r>
          </w:p>
        </w:tc>
        <w:tc>
          <w:tcPr>
            <w:tcW w:w="12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4"/>
          </w:tcPr>
          <w:p>
            <w:pPr>
              <w:spacing w:after="0"/>
              <w:rPr>
                <w:sz w:val="20"/>
                <w:szCs w:val="20"/>
                <w:color w:val="auto"/>
              </w:rPr>
            </w:pPr>
            <w:r>
              <w:rPr>
                <w:rFonts w:ascii="Arial" w:cs="Arial" w:eastAsia="Arial" w:hAnsi="Arial"/>
                <w:sz w:val="18"/>
                <w:szCs w:val="18"/>
                <w:color w:val="3051F2"/>
                <w:w w:val="88"/>
              </w:rPr>
              <w:t>Notes to Condensed Consolidated Financial Statements</w:t>
            </w:r>
          </w:p>
        </w:tc>
        <w:tc>
          <w:tcPr>
            <w:tcW w:w="506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3051F2"/>
                <w:w w:val="90"/>
              </w:rPr>
              <w:t>Item 2.</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Management’s Discussion and Analysis of Financial Condition and Results of Operations</w:t>
            </w:r>
          </w:p>
        </w:tc>
        <w:tc>
          <w:tcPr>
            <w:tcW w:w="980" w:type="dxa"/>
            <w:vAlign w:val="bottom"/>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90"/>
              </w:rPr>
              <w:t>Item 3.</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6"/>
          </w:tcPr>
          <w:p>
            <w:pPr>
              <w:spacing w:after="0"/>
              <w:rPr>
                <w:sz w:val="20"/>
                <w:szCs w:val="20"/>
                <w:color w:val="auto"/>
              </w:rPr>
            </w:pPr>
            <w:r>
              <w:rPr>
                <w:rFonts w:ascii="Arial" w:cs="Arial" w:eastAsia="Arial" w:hAnsi="Arial"/>
                <w:sz w:val="18"/>
                <w:szCs w:val="18"/>
                <w:color w:val="3051F2"/>
                <w:w w:val="91"/>
              </w:rPr>
              <w:t>Quantitative and Qualitative Disclosures about Market Risk</w:t>
            </w:r>
          </w:p>
        </w:tc>
        <w:tc>
          <w:tcPr>
            <w:tcW w:w="2140" w:type="dxa"/>
            <w:vAlign w:val="bottom"/>
            <w:tcBorders>
              <w:top w:val="single" w:sz="8" w:color="3051F2"/>
            </w:tcBorders>
            <w:gridSpan w:val="3"/>
          </w:tcPr>
          <w:p>
            <w:pPr>
              <w:spacing w:after="0"/>
              <w:rPr>
                <w:sz w:val="24"/>
                <w:szCs w:val="24"/>
                <w:color w:val="auto"/>
              </w:rPr>
            </w:pPr>
          </w:p>
        </w:tc>
        <w:tc>
          <w:tcPr>
            <w:tcW w:w="28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4.</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10"/>
          </w:tcPr>
          <w:p>
            <w:pPr>
              <w:spacing w:after="0"/>
              <w:rPr>
                <w:sz w:val="20"/>
                <w:szCs w:val="20"/>
                <w:color w:val="auto"/>
              </w:rPr>
            </w:pPr>
            <w:r>
              <w:rPr>
                <w:rFonts w:ascii="Arial" w:cs="Arial" w:eastAsia="Arial" w:hAnsi="Arial"/>
                <w:sz w:val="18"/>
                <w:szCs w:val="18"/>
                <w:color w:val="3051F2"/>
                <w:w w:val="88"/>
              </w:rPr>
              <w:t>Controls and Procedures</w:t>
            </w:r>
          </w:p>
        </w:tc>
        <w:tc>
          <w:tcPr>
            <w:tcW w:w="75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96"/>
              </w:rPr>
              <w:t>PART II — OTHER INFORMATION</w:t>
            </w:r>
          </w:p>
        </w:tc>
        <w:tc>
          <w:tcPr>
            <w:tcW w:w="748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1.</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8"/>
          </w:tcPr>
          <w:p>
            <w:pPr>
              <w:spacing w:after="0"/>
              <w:rPr>
                <w:sz w:val="20"/>
                <w:szCs w:val="20"/>
                <w:color w:val="auto"/>
              </w:rPr>
            </w:pPr>
            <w:r>
              <w:rPr>
                <w:rFonts w:ascii="Arial" w:cs="Arial" w:eastAsia="Arial" w:hAnsi="Arial"/>
                <w:sz w:val="18"/>
                <w:szCs w:val="18"/>
                <w:color w:val="3051F2"/>
                <w:w w:val="88"/>
              </w:rPr>
              <w:t>Legal Proceedings</w:t>
            </w:r>
          </w:p>
        </w:tc>
        <w:tc>
          <w:tcPr>
            <w:tcW w:w="794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3051F2"/>
              </w:rPr>
              <w:t>Item 1A.</w:t>
            </w:r>
          </w:p>
        </w:tc>
        <w:tc>
          <w:tcPr>
            <w:tcW w:w="9440" w:type="dxa"/>
            <w:vAlign w:val="bottom"/>
            <w:gridSpan w:val="26"/>
          </w:tcPr>
          <w:p>
            <w:pPr>
              <w:ind w:left="160"/>
              <w:spacing w:after="0"/>
              <w:rPr>
                <w:sz w:val="20"/>
                <w:szCs w:val="20"/>
                <w:color w:val="auto"/>
              </w:rPr>
            </w:pPr>
            <w:r>
              <w:rPr>
                <w:rFonts w:ascii="Arial" w:cs="Arial" w:eastAsia="Arial" w:hAnsi="Arial"/>
                <w:sz w:val="18"/>
                <w:szCs w:val="18"/>
                <w:color w:val="3051F2"/>
              </w:rPr>
              <w:t>Risk Factors</w:t>
            </w:r>
          </w:p>
        </w:tc>
        <w:tc>
          <w:tcPr>
            <w:tcW w:w="980" w:type="dxa"/>
            <w:vAlign w:val="bottom"/>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Arial" w:cs="Arial" w:eastAsia="Arial" w:hAnsi="Arial"/>
                <w:sz w:val="18"/>
                <w:szCs w:val="18"/>
                <w:color w:val="3051F2"/>
              </w:rPr>
              <w:t>Item 2.</w:t>
            </w:r>
          </w:p>
        </w:tc>
        <w:tc>
          <w:tcPr>
            <w:tcW w:w="160" w:type="dxa"/>
            <w:vAlign w:val="bottom"/>
            <w:tcBorders>
              <w:bottom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7"/>
          </w:tcPr>
          <w:p>
            <w:pPr>
              <w:spacing w:after="0"/>
              <w:rPr>
                <w:sz w:val="20"/>
                <w:szCs w:val="20"/>
                <w:color w:val="auto"/>
              </w:rPr>
            </w:pPr>
            <w:r>
              <w:rPr>
                <w:rFonts w:ascii="Arial" w:cs="Arial" w:eastAsia="Arial" w:hAnsi="Arial"/>
                <w:sz w:val="18"/>
                <w:szCs w:val="18"/>
                <w:color w:val="3051F2"/>
                <w:w w:val="89"/>
              </w:rPr>
              <w:t>Unregistered Sales of Equity Securities and Use of Proceeds</w:t>
            </w:r>
          </w:p>
        </w:tc>
        <w:tc>
          <w:tcPr>
            <w:tcW w:w="492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3051F2"/>
                <w:w w:val="90"/>
              </w:rPr>
              <w:t>Item 3.</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Defaults Upon Senior Securities</w:t>
            </w:r>
          </w:p>
        </w:tc>
        <w:tc>
          <w:tcPr>
            <w:tcW w:w="980" w:type="dxa"/>
            <w:vAlign w:val="bottom"/>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90"/>
              </w:rPr>
              <w:t>Item 4.</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10"/>
          </w:tcPr>
          <w:p>
            <w:pPr>
              <w:spacing w:after="0"/>
              <w:rPr>
                <w:sz w:val="20"/>
                <w:szCs w:val="20"/>
                <w:color w:val="auto"/>
              </w:rPr>
            </w:pPr>
            <w:r>
              <w:rPr>
                <w:rFonts w:ascii="Arial" w:cs="Arial" w:eastAsia="Arial" w:hAnsi="Arial"/>
                <w:sz w:val="18"/>
                <w:szCs w:val="18"/>
                <w:color w:val="3051F2"/>
                <w:w w:val="91"/>
              </w:rPr>
              <w:t>Mine Safety Disclosures</w:t>
            </w:r>
          </w:p>
        </w:tc>
        <w:tc>
          <w:tcPr>
            <w:tcW w:w="540" w:type="dxa"/>
            <w:vAlign w:val="bottom"/>
            <w:tcBorders>
              <w:top w:val="single" w:sz="8" w:color="3051F2"/>
            </w:tcBorders>
            <w:gridSpan w:val="3"/>
          </w:tcPr>
          <w:p>
            <w:pPr>
              <w:spacing w:after="0"/>
              <w:rPr>
                <w:sz w:val="24"/>
                <w:szCs w:val="24"/>
                <w:color w:val="auto"/>
              </w:rPr>
            </w:pPr>
          </w:p>
        </w:tc>
        <w:tc>
          <w:tcPr>
            <w:tcW w:w="696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5.</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7"/>
          </w:tcPr>
          <w:p>
            <w:pPr>
              <w:spacing w:after="0"/>
              <w:rPr>
                <w:sz w:val="20"/>
                <w:szCs w:val="20"/>
                <w:color w:val="auto"/>
              </w:rPr>
            </w:pPr>
            <w:r>
              <w:rPr>
                <w:rFonts w:ascii="Arial" w:cs="Arial" w:eastAsia="Arial" w:hAnsi="Arial"/>
                <w:sz w:val="18"/>
                <w:szCs w:val="18"/>
                <w:color w:val="3051F2"/>
                <w:w w:val="92"/>
              </w:rPr>
              <w:t>Other Information</w:t>
            </w:r>
          </w:p>
        </w:tc>
        <w:tc>
          <w:tcPr>
            <w:tcW w:w="7960" w:type="dxa"/>
            <w:vAlign w:val="bottom"/>
            <w:gridSpan w:val="1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3051F2"/>
                <w:w w:val="90"/>
              </w:rPr>
              <w:t>Item 6.</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Exhibits</w:t>
            </w:r>
          </w:p>
        </w:tc>
        <w:tc>
          <w:tcPr>
            <w:tcW w:w="980" w:type="dxa"/>
            <w:vAlign w:val="bottom"/>
          </w:tcPr>
          <w:p>
            <w:pPr>
              <w:jc w:val="right"/>
              <w:spacing w:after="0"/>
              <w:rPr>
                <w:sz w:val="20"/>
                <w:szCs w:val="20"/>
                <w:color w:val="auto"/>
              </w:rPr>
            </w:pPr>
            <w:r>
              <w:rPr>
                <w:rFonts w:ascii="Arial" w:cs="Arial" w:eastAsia="Arial" w:hAnsi="Arial"/>
                <w:sz w:val="18"/>
                <w:szCs w:val="18"/>
                <w:color w:val="0000FF"/>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2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Signatures</w:t>
            </w:r>
          </w:p>
        </w:tc>
        <w:tc>
          <w:tcPr>
            <w:tcW w:w="980" w:type="dxa"/>
            <w:vAlign w:val="bottom"/>
          </w:tcPr>
          <w:p>
            <w:pPr>
              <w:jc w:val="right"/>
              <w:spacing w:after="0"/>
              <w:rPr>
                <w:sz w:val="20"/>
                <w:szCs w:val="20"/>
                <w:color w:val="auto"/>
              </w:rPr>
            </w:pPr>
            <w:r>
              <w:rPr>
                <w:rFonts w:ascii="Arial" w:cs="Arial" w:eastAsia="Arial" w:hAnsi="Arial"/>
                <w:sz w:val="18"/>
                <w:szCs w:val="18"/>
                <w:color w:val="0000FF"/>
              </w:rPr>
              <w:t>84</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4"/>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0"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Subsequent to August 2022, there were no LLC Interests (as defined below) held by Bank Stockholders.</w:t>
      </w:r>
    </w:p>
    <w:p>
      <w:pPr>
        <w:spacing w:after="0" w:line="147"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LLC Owners” refer collectively to (i) those Original LLC Owners (as defined below), including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1" w:lineRule="exact"/>
        <w:rPr>
          <w:rFonts w:ascii="Arial" w:cs="Arial" w:eastAsia="Arial" w:hAnsi="Arial"/>
          <w:sz w:val="17"/>
          <w:szCs w:val="17"/>
          <w:color w:val="auto"/>
        </w:rPr>
      </w:pPr>
    </w:p>
    <w:p>
      <w:pPr>
        <w:ind w:left="660" w:right="3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43"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(“LSEG”), in an all share transaction, which closed on January 29, 2021.</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184"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3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83"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“Management’s Discussion and Analysis of Financial Condition and Results of Operations—Non</w:t>
      </w:r>
      <w:r>
        <w:rPr>
          <w:rFonts w:ascii="Arial" w:cs="Arial" w:eastAsia="Arial" w:hAnsi="Arial"/>
          <w:sz w:val="17"/>
          <w:szCs w:val="17"/>
          <w:b w:val="1"/>
          <w:bCs w:val="1"/>
          <w:color w:val="auto"/>
        </w:rPr>
        <w:t>-</w:t>
      </w:r>
      <w:r>
        <w:rPr>
          <w:rFonts w:ascii="Arial" w:cs="Arial" w:eastAsia="Arial" w:hAnsi="Arial"/>
          <w:sz w:val="17"/>
          <w:szCs w:val="17"/>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4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 useful comparisons of our performance and trends between periods.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3" w:lineRule="exact"/>
        <w:rPr>
          <w:sz w:val="20"/>
          <w:szCs w:val="20"/>
          <w:color w:val="auto"/>
        </w:rPr>
      </w:pPr>
    </w:p>
    <w:p>
      <w:pPr>
        <w:ind w:left="660" w:right="4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19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 do not reflect income tax expense, which is a necessary element of our costs and ability to operate;</w:t>
      </w:r>
    </w:p>
    <w:p>
      <w:pPr>
        <w:spacing w:after="0" w:line="209"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24"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noncash component of certain employee compensation expense or payroll taxes associated with certain option exercises;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Constant currency measures do not reflect the impact of foreign currency fluctuations; and</w:t>
      </w:r>
    </w:p>
    <w:p>
      <w:pPr>
        <w:spacing w:after="0" w:line="184"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0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pending acquisitions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1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dealer clients;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achieve our environmental, social and governance goals;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the services of our senior management team;</w:t>
      </w:r>
    </w:p>
    <w:p>
      <w:pPr>
        <w:spacing w:after="0" w:line="198"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Refinitiv’s, and indirectly LSEG’s, control of us and our status as a controlled company; and</w:t>
      </w:r>
    </w:p>
    <w:p>
      <w:pPr>
        <w:spacing w:after="0" w:line="184"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 of our Annual Report on Form 10-K for the year ended December 31, 2022 (the “2022 Form 10-K”), filed with the Securities and Exchange Commission (“SEC”) and in other filings we may make from time to time with the SEC.</w:t>
      </w:r>
    </w:p>
    <w:p>
      <w:pPr>
        <w:spacing w:after="0" w:line="143"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5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(formerly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Financial Condition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03"/>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26"/>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1,493,410</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1,257,229</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11,632</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26,433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23,906</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$187 and $129 at September 30, 2023 and December 31, 2022,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167,039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142,676</w:t>
            </w:r>
          </w:p>
        </w:tc>
      </w:tr>
      <w:tr>
        <w:trPr>
          <w:trHeight w:val="26"/>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36,151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37,413</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19,406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24,933</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134,275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141,833</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2,815,317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2,780,259</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1,032,354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1,072,818</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and due from affiliates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2,728</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693,171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689,442</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77,866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74,262</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6,504,553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6,260,131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0"/>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11,264</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150,884</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31,404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22,827</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46,668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46,690</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22,040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27,943</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Payable and due to affiliates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7,232</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18,004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21,251</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Tax receivable agreement liability</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447,976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425,724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692,812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713,815</w:t>
            </w:r>
          </w:p>
        </w:tc>
      </w:tr>
      <w:tr>
        <w:trPr>
          <w:trHeight w:val="129"/>
        </w:trPr>
        <w:tc>
          <w:tcPr>
            <w:tcW w:w="8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48"/>
        </w:trPr>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Class A common stock, $0.00001 par value; 1,000,000,000 shares authorized; 114,711,483 and 110,746,606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30, 2023 and December 31, 2022,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September 30, 2023 and December 31, 2022,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C common stock, $0.00001 par value; 350,000,000 shares authorized; none and 3,251,177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30, 2023 and December 31, 2022,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23,080,571 and 23,092,704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September 30, 2023 and December 31, 2022, respectively</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4,706,499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4,577,270</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(10,113)</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570,149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386,632</w:t>
            </w:r>
          </w:p>
        </w:tc>
      </w:tr>
      <w:tr>
        <w:trPr>
          <w:trHeight w:val="176"/>
        </w:trPr>
        <w:tc>
          <w:tcPr>
            <w:tcW w:w="8440" w:type="dxa"/>
            <w:vAlign w:val="bottom"/>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5,265,814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4,953,791</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545,927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592,525</w:t>
            </w:r>
          </w:p>
        </w:tc>
      </w:tr>
      <w:tr>
        <w:trPr>
          <w:trHeight w:val="176"/>
        </w:trPr>
        <w:tc>
          <w:tcPr>
            <w:tcW w:w="8440" w:type="dxa"/>
            <w:vAlign w:val="bottom"/>
          </w:tcPr>
          <w:p>
            <w:pPr>
              <w:ind w:left="1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5,811,741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5,546,316</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6,504,553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6,260,131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263,485</w:t>
            </w:r>
          </w:p>
        </w:tc>
        <w:tc>
          <w:tcPr>
            <w:tcW w:w="8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228,015</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776,544</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717,489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46,361</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41,342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136,483</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124,337</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15,460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46,515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46,354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8,677</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7,559</w:t>
            </w:r>
          </w:p>
        </w:tc>
        <w:tc>
          <w:tcPr>
            <w:tcW w:w="0" w:type="dxa"/>
            <w:vAlign w:val="bottom"/>
          </w:tcPr>
          <w:p>
            <w:pPr>
              <w:spacing w:after="0"/>
              <w:rPr>
                <w:sz w:val="1"/>
                <w:szCs w:val="1"/>
                <w:color w:val="auto"/>
              </w:rPr>
            </w:pPr>
          </w:p>
        </w:tc>
      </w:tr>
      <w:tr>
        <w:trPr>
          <w:trHeight w:val="184"/>
        </w:trPr>
        <w:tc>
          <w:tcPr>
            <w:tcW w:w="560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328,357</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287,115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968,219</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895,739</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116,016</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102,720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334,433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330,601</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46,559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44,778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137,850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133,998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19,733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56,001</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48,626</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6,700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31,692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24,806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10,479</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32,321</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25,832</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4,132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12,283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10,857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203,619</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604,580</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574,720</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124,738</w:t>
            </w:r>
          </w:p>
        </w:tc>
        <w:tc>
          <w:tcPr>
            <w:tcW w:w="8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102,810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363,639</w:t>
            </w:r>
          </w:p>
        </w:tc>
        <w:tc>
          <w:tcPr>
            <w:tcW w:w="8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321,019</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interest income (expense)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17,465</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45,065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3,507</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Other income (loss), net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(1,907)</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140,296</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106,223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406,682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324,526</w:t>
            </w:r>
          </w:p>
        </w:tc>
        <w:tc>
          <w:tcPr>
            <w:tcW w:w="0" w:type="dxa"/>
            <w:vAlign w:val="bottom"/>
          </w:tcPr>
          <w:p>
            <w:pPr>
              <w:spacing w:after="0"/>
              <w:rPr>
                <w:sz w:val="1"/>
                <w:szCs w:val="1"/>
                <w:color w:val="auto"/>
              </w:rPr>
            </w:pPr>
          </w:p>
        </w:tc>
      </w:tr>
      <w:tr>
        <w:trPr>
          <w:trHeight w:val="176"/>
        </w:trPr>
        <w:tc>
          <w:tcPr>
            <w:tcW w:w="560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(28,666)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(24,657)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(90,920)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(63,915)</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111,630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81,566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315,762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260,611</w:t>
            </w:r>
          </w:p>
        </w:tc>
        <w:tc>
          <w:tcPr>
            <w:tcW w:w="0" w:type="dxa"/>
            <w:vAlign w:val="bottom"/>
          </w:tcPr>
          <w:p>
            <w:pPr>
              <w:spacing w:after="0"/>
              <w:rPr>
                <w:sz w:val="1"/>
                <w:szCs w:val="1"/>
                <w:color w:val="auto"/>
              </w:rPr>
            </w:pPr>
          </w:p>
        </w:tc>
      </w:tr>
      <w:tr>
        <w:trPr>
          <w:trHeight w:val="182"/>
        </w:trPr>
        <w:tc>
          <w:tcPr>
            <w:tcW w:w="5600" w:type="dxa"/>
            <w:vAlign w:val="bottom"/>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13,016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40,210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40,219</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98,614</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275,552</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220,392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Earnings per share attributable to Tradeweb Markets Inc. Class A and B common stockholders: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0.47</w:t>
            </w:r>
          </w:p>
        </w:tc>
        <w:tc>
          <w:tcPr>
            <w:tcW w:w="8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211,618,475</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205,721,162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210,444,082</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204,767,261</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213,491,634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208,329,469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212,276,908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207,748,037</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111,630</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81,566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315,762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w w:val="98"/>
              </w:rPr>
              <w:t>260,611</w:t>
            </w:r>
          </w:p>
        </w:tc>
        <w:tc>
          <w:tcPr>
            <w:tcW w:w="0" w:type="dxa"/>
            <w:vAlign w:val="bottom"/>
          </w:tcPr>
          <w:p>
            <w:pPr>
              <w:spacing w:after="0"/>
              <w:rPr>
                <w:sz w:val="1"/>
                <w:szCs w:val="1"/>
                <w:color w:val="auto"/>
              </w:rPr>
            </w:pPr>
          </w:p>
        </w:tc>
      </w:tr>
      <w:tr>
        <w:trPr>
          <w:trHeight w:val="162"/>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7"/>
              </w:rPr>
              <w:t>Foreign currency translation adjustments, with no tax benefit for each of the three and nine</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(4,456)</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(12,406)</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w w:val="95"/>
              </w:rPr>
              <w:t>(26,181)</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months ended September 30, 2023 and 2022</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(4,456)</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(12,406)</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w w:val="95"/>
              </w:rPr>
              <w:t>(26,181)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107,174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69,160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315,139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ind w:left="340"/>
              <w:spacing w:after="0"/>
              <w:rPr>
                <w:sz w:val="20"/>
                <w:szCs w:val="20"/>
                <w:color w:val="auto"/>
              </w:rPr>
            </w:pPr>
            <w:r>
              <w:rPr>
                <w:rFonts w:ascii="Arial" w:cs="Arial" w:eastAsia="Arial" w:hAnsi="Arial"/>
                <w:sz w:val="14"/>
                <w:szCs w:val="14"/>
                <w:color w:val="auto"/>
              </w:rPr>
              <w:t>234,430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40,210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40,219</w:t>
            </w:r>
          </w:p>
        </w:tc>
        <w:tc>
          <w:tcPr>
            <w:tcW w:w="0" w:type="dxa"/>
            <w:vAlign w:val="bottom"/>
          </w:tcPr>
          <w:p>
            <w:pPr>
              <w:spacing w:after="0"/>
              <w:rPr>
                <w:sz w:val="1"/>
                <w:szCs w:val="1"/>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ind w:left="440"/>
              <w:spacing w:after="0"/>
              <w:rPr>
                <w:sz w:val="20"/>
                <w:szCs w:val="20"/>
                <w:color w:val="auto"/>
              </w:rPr>
            </w:pPr>
            <w:r>
              <w:rPr>
                <w:rFonts w:ascii="Arial" w:cs="Arial" w:eastAsia="Arial" w:hAnsi="Arial"/>
                <w:sz w:val="14"/>
                <w:szCs w:val="14"/>
                <w:color w:val="auto"/>
                <w:w w:val="94"/>
              </w:rPr>
              <w:t>(3,288)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94,596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58,198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274,953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197,499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Arial" w:cs="Arial" w:eastAsia="Arial" w:hAnsi="Arial"/>
                <w:sz w:val="13"/>
                <w:szCs w:val="13"/>
                <w:b w:val="1"/>
                <w:bCs w:val="1"/>
                <w:color w:val="auto"/>
                <w:w w:val="88"/>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4,577,270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386,632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592,525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5,546,316</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6,320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6,320</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Share repurchases pursuant to share repurchase</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(22,706)</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Arial" w:cs="Arial" w:eastAsia="Arial" w:hAnsi="Arial"/>
                <w:sz w:val="14"/>
                <w:szCs w:val="14"/>
                <w:color w:val="auto"/>
                <w:w w:val="95"/>
              </w:rPr>
              <w:t>exchanges and the issuance of common stock from</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15,082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15,082</w:t>
            </w: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6,910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($0.09 per share)</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(18,733)</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11,905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Payroll taxes paid for 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(39,878)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(39,878)</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87,856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102,193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color w:val="auto"/>
              </w:rPr>
              <w:t>Balance at March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4,577,609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(7,765)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433,049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597,970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5,600,865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Issuance of common stock from equity incentive</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1,262</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w w:val="99"/>
              </w:rPr>
              <w:t>Share repurchases pursuant to share repurchase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(7,602)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(7,602)</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exchanges and the issuance of common stock from</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27,827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27,827</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72,870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(72,750)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Dividends ($0.09 per share)</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(19,048)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16,097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16,097</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Payroll taxes paid for stock-based compensation</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89,082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101,939</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4,693,795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495,481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534,908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5,717,368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Issuance of common stock from equity incentive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412</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7"/>
                <w:szCs w:val="7"/>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Share repurchases pursuant to share repurchase</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(4,897)</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Arial" w:cs="Arial" w:eastAsia="Arial" w:hAnsi="Arial"/>
                <w:sz w:val="14"/>
                <w:szCs w:val="14"/>
                <w:color w:val="auto"/>
                <w:w w:val="95"/>
              </w:rPr>
              <w:t>exchanges and the issuance of common stock from</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2,801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($0.09 per share)</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(19,049)</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17,668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Payroll taxes paid for 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(7,773)</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98,614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111,630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(4,456)</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color w:val="auto"/>
              </w:rPr>
              <w:t>Balance at September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4,706,499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(10,836)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570,149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545,927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5,811,741</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Consolidated Statements of Changes in Equity – (Continued)</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9"/>
          </w:tcPr>
          <w:p>
            <w:pPr>
              <w:ind w:left="180"/>
              <w:spacing w:after="0"/>
              <w:rPr>
                <w:sz w:val="20"/>
                <w:szCs w:val="20"/>
                <w:color w:val="auto"/>
              </w:rPr>
            </w:pPr>
            <w:r>
              <w:rPr>
                <w:rFonts w:ascii="Arial" w:cs="Arial" w:eastAsia="Arial" w:hAnsi="Arial"/>
                <w:sz w:val="13"/>
                <w:szCs w:val="13"/>
                <w:b w:val="1"/>
                <w:bCs w:val="1"/>
                <w:color w:val="auto"/>
                <w:w w:val="88"/>
              </w:rPr>
              <w:t>Tradeweb Markets Inc. Stockholders’ Equity</w:t>
            </w: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3"/>
              </w:rPr>
              <w:t>Class A</w:t>
            </w:r>
          </w:p>
        </w:tc>
        <w:tc>
          <w:tcPr>
            <w:tcW w:w="12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3"/>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3"/>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7"/>
              </w:rPr>
              <w:t>Class D</w:t>
            </w:r>
          </w:p>
        </w:tc>
        <w:tc>
          <w:tcPr>
            <w:tcW w:w="12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Income (Loss)</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3"/>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4,401,366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242,623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663,348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5,308,943</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from equity incentive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Share repurchases pursuant to share repurchase</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(47,323)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(47,323)</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Arial" w:cs="Arial" w:eastAsia="Arial" w:hAnsi="Arial"/>
                <w:sz w:val="14"/>
                <w:szCs w:val="14"/>
                <w:color w:val="auto"/>
                <w:w w:val="95"/>
              </w:rPr>
              <w:t>exchanges and the issuance of common stock from</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38,676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38,676</w:t>
            </w:r>
          </w:p>
        </w:tc>
        <w:tc>
          <w:tcPr>
            <w:tcW w:w="0" w:type="dxa"/>
            <w:vAlign w:val="bottom"/>
          </w:tcPr>
          <w:p>
            <w:pPr>
              <w:spacing w:after="0"/>
              <w:rPr>
                <w:sz w:val="1"/>
                <w:szCs w:val="1"/>
                <w:color w:val="auto"/>
              </w:rPr>
            </w:pPr>
          </w:p>
        </w:tc>
      </w:tr>
      <w:tr>
        <w:trPr>
          <w:trHeight w:val="26"/>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($0.08 per share)</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Payroll taxes paid for 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(95,758)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(95,758)</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82,965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97,445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4,388,663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261,915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645,115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5,293,731</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Issuance of common stock from equity incentive</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w w:val="99"/>
              </w:rPr>
              <w:t>Share repurchases pursuant to share repurchase</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exchanges and the issuance of common stock from</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Dividends ($0.08 per share)</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(16,360)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20,887</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Payroll taxes paid for stock-based compensation</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13,256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81,600</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(9,677)</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4,420,405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304,899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5,370,768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Issuance of common stock from equity incentive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2,059</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7"/>
                <w:szCs w:val="7"/>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9"/>
              </w:rPr>
              <w:t>Share repurchases pursuant to share repurchase</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programs</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4"/>
                <w:szCs w:val="14"/>
                <w:color w:val="auto"/>
              </w:rPr>
              <w:t>Tax receivable agreement liability and deferred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tcPr>
          <w:p>
            <w:pPr>
              <w:ind w:left="20"/>
              <w:spacing w:after="0" w:line="143" w:lineRule="exact"/>
              <w:rPr>
                <w:sz w:val="20"/>
                <w:szCs w:val="20"/>
                <w:color w:val="auto"/>
              </w:rPr>
            </w:pPr>
            <w:r>
              <w:rPr>
                <w:rFonts w:ascii="Arial" w:cs="Arial" w:eastAsia="Arial" w:hAnsi="Arial"/>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Arial" w:cs="Arial" w:eastAsia="Arial" w:hAnsi="Arial"/>
                <w:sz w:val="14"/>
                <w:szCs w:val="14"/>
                <w:color w:val="auto"/>
                <w:w w:val="95"/>
              </w:rPr>
              <w:t>exchanges and the issuance of common stock from</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equity incentive plans</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27,740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27,740</w:t>
            </w: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non-controlling interests</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79,606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(79,294)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Dividends ($0.08 per share)</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(16,653)</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14,622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Payroll taxes paid for stock-based compensation</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69,083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81,566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(10,885)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(12,406)</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4,542,160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(21,601)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348,329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584,677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5,453,567</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48"/>
              <w:spacing w:after="0"/>
              <w:rPr>
                <w:sz w:val="20"/>
                <w:szCs w:val="20"/>
                <w:color w:val="auto"/>
              </w:rPr>
            </w:pPr>
            <w:r>
              <w:rPr>
                <w:rFonts w:ascii="Arial" w:cs="Arial" w:eastAsia="Arial" w:hAnsi="Arial"/>
                <w:sz w:val="14"/>
                <w:szCs w:val="14"/>
                <w:b w:val="1"/>
                <w:bCs w:val="1"/>
                <w:color w:val="auto"/>
                <w:w w:val="94"/>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315,762</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260,611</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137,850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133,998</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44,670</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49,432</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70,071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49,078</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(income) loss,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(Increase) decrease in operating assets: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(5,074)</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(22,330)</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(29,938)</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Receivable and due from affiliates/payable and due to affiliates, net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(8,071)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(5,167)</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(2,890)</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(4,433)</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(33,814)</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(26,155)</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3,856</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(8,318)</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(1,385)</w:t>
            </w:r>
          </w:p>
        </w:tc>
      </w:tr>
      <w:tr>
        <w:trPr>
          <w:trHeight w:val="184"/>
        </w:trPr>
        <w:tc>
          <w:tcPr>
            <w:tcW w:w="8440" w:type="dxa"/>
            <w:vAlign w:val="bottom"/>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501,328</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424,822</w:t>
            </w:r>
          </w:p>
        </w:tc>
      </w:tr>
      <w:tr>
        <w:trPr>
          <w:trHeight w:val="26"/>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(69,648)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foreign currency call option, net of sale proceeds</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Purchases of furniture, equipment, software and leasehold improvements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(17,467)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(17,959)</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(32,105)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(27,470)</w:t>
            </w:r>
          </w:p>
        </w:tc>
      </w:tr>
      <w:tr>
        <w:trPr>
          <w:trHeight w:val="176"/>
        </w:trPr>
        <w:tc>
          <w:tcPr>
            <w:tcW w:w="8440" w:type="dxa"/>
            <w:vAlign w:val="bottom"/>
          </w:tcPr>
          <w:p>
            <w:pPr>
              <w:ind w:left="36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(120,509)</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(45,429)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bl>
    <w:p>
      <w:pPr>
        <w:spacing w:after="0" w:line="8" w:lineRule="exact"/>
        <w:rPr>
          <w:sz w:val="20"/>
          <w:szCs w:val="20"/>
          <w:color w:val="auto"/>
        </w:rPr>
      </w:pPr>
    </w:p>
    <w:p>
      <w:pPr>
        <w:sectPr>
          <w:pgSz w:w="11900" w:h="16838" w:orient="portrait"/>
          <w:cols w:equalWidth="0" w:num="1">
            <w:col w:w="11240"/>
          </w:cols>
          <w:pgMar w:left="320" w:top="125" w:right="339" w:bottom="1440" w:gutter="0" w:footer="0" w:header="0"/>
        </w:sectPr>
      </w:pPr>
    </w:p>
    <w:p>
      <w:pPr>
        <w:ind w:left="140"/>
        <w:spacing w:after="0"/>
        <w:rPr>
          <w:sz w:val="20"/>
          <w:szCs w:val="20"/>
          <w:color w:val="auto"/>
        </w:rPr>
      </w:pPr>
      <w:r>
        <w:rPr>
          <w:rFonts w:ascii="Arial" w:cs="Arial" w:eastAsia="Arial" w:hAnsi="Arial"/>
          <w:sz w:val="14"/>
          <w:szCs w:val="14"/>
          <w:color w:val="auto"/>
        </w:rPr>
        <w:t>Share repurchases pursuant to share repurchase programs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stock-based compensation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Dividends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Payroll taxes paid for stock-based compensation</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 on tax receivable agreement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Effect of exchange rate changes on cash, cash equivalents and restricted cash</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of period</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jc w:val="right"/>
              <w:spacing w:after="0"/>
              <w:rPr>
                <w:sz w:val="20"/>
                <w:szCs w:val="20"/>
                <w:color w:val="auto"/>
              </w:rPr>
            </w:pPr>
            <w:r>
              <w:rPr>
                <w:rFonts w:ascii="Arial" w:cs="Arial" w:eastAsia="Arial" w:hAnsi="Arial"/>
                <w:sz w:val="14"/>
                <w:szCs w:val="14"/>
                <w:color w:val="auto"/>
              </w:rPr>
              <w:t>(32,874)</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(65,323)</w:t>
            </w:r>
          </w:p>
        </w:tc>
      </w:tr>
      <w:tr>
        <w:trPr>
          <w:trHeight w:val="203"/>
        </w:trPr>
        <w:tc>
          <w:tcPr>
            <w:tcW w:w="1360" w:type="dxa"/>
            <w:vAlign w:val="bottom"/>
          </w:tcPr>
          <w:p>
            <w:pPr>
              <w:jc w:val="right"/>
              <w:spacing w:after="0"/>
              <w:rPr>
                <w:sz w:val="20"/>
                <w:szCs w:val="20"/>
                <w:color w:val="auto"/>
              </w:rPr>
            </w:pPr>
            <w:r>
              <w:rPr>
                <w:rFonts w:ascii="Arial" w:cs="Arial" w:eastAsia="Arial" w:hAnsi="Arial"/>
                <w:sz w:val="14"/>
                <w:szCs w:val="14"/>
                <w:color w:val="auto"/>
              </w:rPr>
              <w:t>7,994</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9,675</w:t>
            </w:r>
          </w:p>
        </w:tc>
      </w:tr>
      <w:tr>
        <w:trPr>
          <w:trHeight w:val="203"/>
        </w:trPr>
        <w:tc>
          <w:tcPr>
            <w:tcW w:w="1360" w:type="dxa"/>
            <w:vAlign w:val="bottom"/>
          </w:tcPr>
          <w:p>
            <w:pPr>
              <w:jc w:val="right"/>
              <w:spacing w:after="0"/>
              <w:rPr>
                <w:sz w:val="20"/>
                <w:szCs w:val="20"/>
                <w:color w:val="auto"/>
              </w:rPr>
            </w:pPr>
            <w:r>
              <w:rPr>
                <w:rFonts w:ascii="Arial" w:cs="Arial" w:eastAsia="Arial" w:hAnsi="Arial"/>
                <w:sz w:val="14"/>
                <w:szCs w:val="14"/>
                <w:color w:val="auto"/>
              </w:rPr>
              <w:t>(56,830)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(49,363)</w:t>
            </w:r>
          </w:p>
        </w:tc>
      </w:tr>
      <w:tr>
        <w:trPr>
          <w:trHeight w:val="203"/>
        </w:trPr>
        <w:tc>
          <w:tcPr>
            <w:tcW w:w="1360" w:type="dxa"/>
            <w:vAlign w:val="bottom"/>
          </w:tcPr>
          <w:p>
            <w:pPr>
              <w:jc w:val="right"/>
              <w:spacing w:after="0"/>
              <w:rPr>
                <w:sz w:val="20"/>
                <w:szCs w:val="20"/>
                <w:color w:val="auto"/>
              </w:rPr>
            </w:pPr>
            <w:r>
              <w:rPr>
                <w:rFonts w:ascii="Arial" w:cs="Arial" w:eastAsia="Arial" w:hAnsi="Arial"/>
                <w:sz w:val="14"/>
                <w:szCs w:val="14"/>
                <w:color w:val="auto"/>
              </w:rPr>
              <w:t>(7,532)</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(7,603)</w:t>
            </w:r>
          </w:p>
        </w:tc>
      </w:tr>
      <w:tr>
        <w:trPr>
          <w:trHeight w:val="230"/>
        </w:trPr>
        <w:tc>
          <w:tcPr>
            <w:tcW w:w="1360" w:type="dxa"/>
            <w:vAlign w:val="bottom"/>
          </w:tcPr>
          <w:p>
            <w:pPr>
              <w:jc w:val="right"/>
              <w:spacing w:after="0"/>
              <w:rPr>
                <w:sz w:val="20"/>
                <w:szCs w:val="20"/>
                <w:color w:val="auto"/>
              </w:rPr>
            </w:pPr>
            <w:r>
              <w:rPr>
                <w:rFonts w:ascii="Arial" w:cs="Arial" w:eastAsia="Arial" w:hAnsi="Arial"/>
                <w:sz w:val="14"/>
                <w:szCs w:val="14"/>
                <w:color w:val="auto"/>
              </w:rPr>
              <w:t>(49,184)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(100,248)</w:t>
            </w:r>
          </w:p>
        </w:tc>
      </w:tr>
      <w:tr>
        <w:trPr>
          <w:trHeight w:val="202"/>
        </w:trPr>
        <w:tc>
          <w:tcPr>
            <w:tcW w:w="1360" w:type="dxa"/>
            <w:vAlign w:val="bottom"/>
          </w:tcPr>
          <w:p>
            <w:pPr>
              <w:jc w:val="right"/>
              <w:spacing w:after="0"/>
              <w:rPr>
                <w:sz w:val="20"/>
                <w:szCs w:val="20"/>
                <w:color w:val="auto"/>
              </w:rPr>
            </w:pPr>
            <w:r>
              <w:rPr>
                <w:rFonts w:ascii="Arial" w:cs="Arial" w:eastAsia="Arial" w:hAnsi="Arial"/>
                <w:sz w:val="14"/>
                <w:szCs w:val="14"/>
                <w:color w:val="auto"/>
              </w:rPr>
              <w:t>(5,724)</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(8,995)</w:t>
            </w:r>
          </w:p>
        </w:tc>
      </w:tr>
      <w:tr>
        <w:trPr>
          <w:trHeight w:val="25"/>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6"/>
        </w:trPr>
        <w:tc>
          <w:tcPr>
            <w:tcW w:w="1360" w:type="dxa"/>
            <w:vAlign w:val="bottom"/>
          </w:tcPr>
          <w:p>
            <w:pPr>
              <w:jc w:val="right"/>
              <w:spacing w:after="0"/>
              <w:rPr>
                <w:sz w:val="20"/>
                <w:szCs w:val="20"/>
                <w:color w:val="auto"/>
              </w:rPr>
            </w:pPr>
            <w:r>
              <w:rPr>
                <w:rFonts w:ascii="Arial" w:cs="Arial" w:eastAsia="Arial" w:hAnsi="Arial"/>
                <w:sz w:val="14"/>
                <w:szCs w:val="14"/>
                <w:color w:val="auto"/>
              </w:rPr>
              <w:t>(144,150)</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(221,857)</w:t>
            </w:r>
          </w:p>
        </w:tc>
      </w:tr>
    </w:tbl>
    <w:p>
      <w:pPr>
        <w:spacing w:after="0" w:line="42" w:lineRule="exact"/>
        <w:rPr>
          <w:sz w:val="20"/>
          <w:szCs w:val="20"/>
          <w:color w:val="auto"/>
        </w:rPr>
      </w:pPr>
    </w:p>
    <w:p>
      <w:pPr>
        <w:ind w:left="2280" w:hanging="1263"/>
        <w:spacing w:after="0"/>
        <w:tabs>
          <w:tab w:leader="none" w:pos="2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(19,357)</w:t>
      </w:r>
    </w:p>
    <w:p>
      <w:pPr>
        <w:spacing w:after="0" w:line="80" w:lineRule="exact"/>
        <w:rPr>
          <w:rFonts w:ascii="Arial" w:cs="Arial" w:eastAsia="Arial" w:hAnsi="Arial"/>
          <w:sz w:val="13"/>
          <w:szCs w:val="13"/>
          <w:color w:val="auto"/>
        </w:rPr>
      </w:pPr>
    </w:p>
    <w:p>
      <w:pPr>
        <w:ind w:left="820"/>
        <w:spacing w:after="0"/>
        <w:rPr>
          <w:rFonts w:ascii="Arial" w:cs="Arial" w:eastAsia="Arial" w:hAnsi="Arial"/>
          <w:sz w:val="13"/>
          <w:szCs w:val="13"/>
          <w:color w:val="auto"/>
        </w:rPr>
      </w:pPr>
      <w:r>
        <w:rPr>
          <w:rFonts w:ascii="Arial" w:cs="Arial" w:eastAsia="Arial" w:hAnsi="Arial"/>
          <w:sz w:val="14"/>
          <w:szCs w:val="14"/>
          <w:color w:val="auto"/>
        </w:rPr>
        <w:t>236,181</w:t>
      </w:r>
      <w:r>
        <w:rPr>
          <w:rFonts w:ascii="Arial" w:cs="Arial" w:eastAsia="Arial" w:hAnsi="Arial"/>
          <w:sz w:val="13"/>
          <w:szCs w:val="13"/>
          <w:color w:val="auto"/>
        </w:rPr>
        <w:t>138,179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17741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1,258,229</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973,048</w:t>
            </w:r>
          </w:p>
        </w:tc>
      </w:tr>
      <w:tr>
        <w:trPr>
          <w:trHeight w:val="25"/>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6"/>
        </w:trPr>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1,494,410</w:t>
            </w:r>
          </w:p>
        </w:tc>
        <w:tc>
          <w:tcPr>
            <w:tcW w:w="8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1,111,227</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25" w:right="3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 (Continued)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Income taxes paid, net of (refunds)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24,624</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10,992</w:t>
            </w: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Furniture, equipment, software and leasehold improvement additions included in accounts payable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702</w:t>
            </w: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Unsettled share repurchases included in other liabilities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Withholding taxes payable relating to stock-based compensation settlements included in accrued compensation</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27,976</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35,894</w:t>
            </w:r>
          </w:p>
        </w:tc>
      </w:tr>
      <w:tr>
        <w:trPr>
          <w:trHeight w:val="20"/>
        </w:trPr>
        <w:tc>
          <w:tcPr>
            <w:tcW w:w="8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2"/>
        </w:trPr>
        <w:tc>
          <w:tcPr>
            <w:tcW w:w="8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tax asset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109,759</w:t>
            </w:r>
          </w:p>
        </w:tc>
      </w:tr>
      <w:tr>
        <w:trPr>
          <w:trHeight w:val="20"/>
        </w:trPr>
        <w:tc>
          <w:tcPr>
            <w:tcW w:w="8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03"/>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26"/>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1,493,410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1,257,229</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1,494,410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1,258,229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3051F2"/>
                <w:w w:val="90"/>
              </w:rPr>
              <w:t>Note 1</w:t>
            </w:r>
          </w:p>
        </w:tc>
        <w:tc>
          <w:tcPr>
            <w:tcW w:w="220" w:type="dxa"/>
            <w:vAlign w:val="bottom"/>
            <w:gridSpan w:val="3"/>
          </w:tcPr>
          <w:p>
            <w:pPr>
              <w:spacing w:after="0"/>
              <w:rPr>
                <w:sz w:val="17"/>
                <w:szCs w:val="17"/>
                <w:color w:val="auto"/>
              </w:rPr>
            </w:pPr>
          </w:p>
        </w:tc>
        <w:tc>
          <w:tcPr>
            <w:tcW w:w="4620" w:type="dxa"/>
            <w:vAlign w:val="bottom"/>
            <w:gridSpan w:val="18"/>
          </w:tcPr>
          <w:p>
            <w:pPr>
              <w:ind w:left="140"/>
              <w:spacing w:after="0" w:line="196" w:lineRule="exact"/>
              <w:rPr>
                <w:sz w:val="20"/>
                <w:szCs w:val="20"/>
                <w:color w:val="auto"/>
              </w:rPr>
            </w:pPr>
            <w:r>
              <w:rPr>
                <w:rFonts w:ascii="Arial" w:cs="Arial" w:eastAsia="Arial" w:hAnsi="Arial"/>
                <w:sz w:val="18"/>
                <w:szCs w:val="18"/>
                <w:color w:val="3051F2"/>
              </w:rPr>
              <w:t>Organization</w:t>
            </w:r>
          </w:p>
        </w:tc>
        <w:tc>
          <w:tcPr>
            <w:tcW w:w="5880" w:type="dxa"/>
            <w:vAlign w:val="bottom"/>
            <w:gridSpan w:val="2"/>
          </w:tcPr>
          <w:p>
            <w:pPr>
              <w:jc w:val="right"/>
              <w:spacing w:after="0" w:line="196" w:lineRule="exact"/>
              <w:rPr>
                <w:sz w:val="20"/>
                <w:szCs w:val="20"/>
                <w:color w:val="auto"/>
              </w:rPr>
            </w:pPr>
            <w:r>
              <w:rPr>
                <w:rFonts w:ascii="Arial" w:cs="Arial" w:eastAsia="Arial" w:hAnsi="Arial"/>
                <w:sz w:val="18"/>
                <w:szCs w:val="18"/>
                <w:color w:val="3051F2"/>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color w:val="3051F2"/>
                <w:w w:val="90"/>
              </w:rPr>
              <w:t>Note 2</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Arial" w:cs="Arial" w:eastAsia="Arial" w:hAnsi="Arial"/>
                <w:sz w:val="18"/>
                <w:szCs w:val="18"/>
                <w:color w:val="3051F2"/>
              </w:rPr>
              <w:t>Significant Accounting Policies</w:t>
            </w:r>
          </w:p>
        </w:tc>
        <w:tc>
          <w:tcPr>
            <w:tcW w:w="5880" w:type="dxa"/>
            <w:vAlign w:val="bottom"/>
            <w:gridSpan w:val="2"/>
          </w:tcPr>
          <w:p>
            <w:pPr>
              <w:jc w:val="right"/>
              <w:spacing w:after="0"/>
              <w:rPr>
                <w:sz w:val="20"/>
                <w:szCs w:val="20"/>
                <w:color w:val="auto"/>
              </w:rPr>
            </w:pPr>
            <w:r>
              <w:rPr>
                <w:rFonts w:ascii="Arial" w:cs="Arial" w:eastAsia="Arial" w:hAnsi="Arial"/>
                <w:sz w:val="18"/>
                <w:szCs w:val="18"/>
                <w:color w:val="3051F2"/>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color w:val="3051F2"/>
                <w:w w:val="90"/>
              </w:rPr>
              <w:t>Note 3</w:t>
            </w:r>
          </w:p>
        </w:tc>
        <w:tc>
          <w:tcPr>
            <w:tcW w:w="220" w:type="dxa"/>
            <w:vAlign w:val="bottom"/>
            <w:gridSpan w:val="3"/>
          </w:tcPr>
          <w:p>
            <w:pPr>
              <w:spacing w:after="0"/>
              <w:rPr>
                <w:sz w:val="21"/>
                <w:szCs w:val="21"/>
                <w:color w:val="auto"/>
              </w:rPr>
            </w:pPr>
          </w:p>
        </w:tc>
        <w:tc>
          <w:tcPr>
            <w:tcW w:w="4620" w:type="dxa"/>
            <w:vAlign w:val="bottom"/>
            <w:gridSpan w:val="18"/>
          </w:tcPr>
          <w:p>
            <w:pPr>
              <w:ind w:left="140"/>
              <w:spacing w:after="0"/>
              <w:rPr>
                <w:sz w:val="20"/>
                <w:szCs w:val="20"/>
                <w:color w:val="auto"/>
              </w:rPr>
            </w:pPr>
            <w:r>
              <w:rPr>
                <w:rFonts w:ascii="Arial" w:cs="Arial" w:eastAsia="Arial" w:hAnsi="Arial"/>
                <w:sz w:val="18"/>
                <w:szCs w:val="18"/>
                <w:color w:val="3051F2"/>
              </w:rPr>
              <w:t>Restricted Cash</w:t>
            </w:r>
          </w:p>
        </w:tc>
        <w:tc>
          <w:tcPr>
            <w:tcW w:w="5880" w:type="dxa"/>
            <w:vAlign w:val="bottom"/>
            <w:gridSpan w:val="2"/>
          </w:tcPr>
          <w:p>
            <w:pPr>
              <w:jc w:val="right"/>
              <w:spacing w:after="0"/>
              <w:rPr>
                <w:sz w:val="20"/>
                <w:szCs w:val="20"/>
                <w:color w:val="auto"/>
              </w:rPr>
            </w:pPr>
            <w:r>
              <w:rPr>
                <w:rFonts w:ascii="Arial" w:cs="Arial" w:eastAsia="Arial" w:hAnsi="Arial"/>
                <w:sz w:val="18"/>
                <w:szCs w:val="18"/>
                <w:color w:val="3051F2"/>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3051F2"/>
                <w:w w:val="90"/>
              </w:rPr>
              <w:t>Note 4</w:t>
            </w:r>
          </w:p>
        </w:tc>
        <w:tc>
          <w:tcPr>
            <w:tcW w:w="220" w:type="dxa"/>
            <w:vAlign w:val="bottom"/>
            <w:gridSpan w:val="3"/>
          </w:tcPr>
          <w:p>
            <w:pPr>
              <w:spacing w:after="0"/>
              <w:rPr>
                <w:sz w:val="20"/>
                <w:szCs w:val="20"/>
                <w:color w:val="auto"/>
              </w:rPr>
            </w:pPr>
          </w:p>
        </w:tc>
        <w:tc>
          <w:tcPr>
            <w:tcW w:w="4620" w:type="dxa"/>
            <w:vAlign w:val="bottom"/>
            <w:gridSpan w:val="18"/>
          </w:tcPr>
          <w:p>
            <w:pPr>
              <w:ind w:left="140"/>
              <w:spacing w:after="0"/>
              <w:rPr>
                <w:sz w:val="20"/>
                <w:szCs w:val="20"/>
                <w:color w:val="auto"/>
              </w:rPr>
            </w:pPr>
            <w:r>
              <w:rPr>
                <w:rFonts w:ascii="Arial" w:cs="Arial" w:eastAsia="Arial" w:hAnsi="Arial"/>
                <w:sz w:val="18"/>
                <w:szCs w:val="18"/>
                <w:color w:val="3051F2"/>
              </w:rPr>
              <w:t>Acquisitions</w:t>
            </w:r>
          </w:p>
        </w:tc>
        <w:tc>
          <w:tcPr>
            <w:tcW w:w="5880" w:type="dxa"/>
            <w:vAlign w:val="bottom"/>
            <w:gridSpan w:val="2"/>
          </w:tcPr>
          <w:p>
            <w:pPr>
              <w:jc w:val="right"/>
              <w:spacing w:after="0"/>
              <w:rPr>
                <w:sz w:val="20"/>
                <w:szCs w:val="20"/>
                <w:color w:val="auto"/>
              </w:rPr>
            </w:pPr>
            <w:r>
              <w:rPr>
                <w:rFonts w:ascii="Arial" w:cs="Arial" w:eastAsia="Arial" w:hAnsi="Arial"/>
                <w:sz w:val="18"/>
                <w:szCs w:val="18"/>
                <w:color w:val="3051F2"/>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90"/>
              </w:rPr>
              <w:t>Note 5</w:t>
            </w:r>
          </w:p>
        </w:tc>
        <w:tc>
          <w:tcPr>
            <w:tcW w:w="2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83"/>
              </w:rPr>
              <w:t>Revenue</w:t>
            </w:r>
          </w:p>
        </w:tc>
        <w:tc>
          <w:tcPr>
            <w:tcW w:w="200" w:type="dxa"/>
            <w:vAlign w:val="bottom"/>
            <w:tcBorders>
              <w:top w:val="single" w:sz="8" w:color="3051F2"/>
              <w:bottom w:val="single" w:sz="8" w:color="3051F2"/>
            </w:tcBorders>
          </w:tcPr>
          <w:p>
            <w:pPr>
              <w:spacing w:after="0"/>
              <w:rPr>
                <w:sz w:val="19"/>
                <w:szCs w:val="19"/>
                <w:color w:val="auto"/>
              </w:rPr>
            </w:pPr>
          </w:p>
        </w:tc>
        <w:tc>
          <w:tcPr>
            <w:tcW w:w="120" w:type="dxa"/>
            <w:vAlign w:val="bottom"/>
            <w:tcBorders>
              <w:top w:val="single" w:sz="8" w:color="3051F2"/>
              <w:bottom w:val="single" w:sz="8" w:color="3051F2"/>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80" w:type="dxa"/>
            <w:vAlign w:val="bottom"/>
            <w:gridSpan w:val="2"/>
          </w:tcPr>
          <w:p>
            <w:pPr>
              <w:jc w:val="right"/>
              <w:spacing w:after="0"/>
              <w:rPr>
                <w:sz w:val="20"/>
                <w:szCs w:val="20"/>
                <w:color w:val="auto"/>
              </w:rPr>
            </w:pPr>
            <w:r>
              <w:rPr>
                <w:rFonts w:ascii="Arial" w:cs="Arial" w:eastAsia="Arial" w:hAnsi="Arial"/>
                <w:sz w:val="18"/>
                <w:szCs w:val="18"/>
                <w:color w:val="3051F2"/>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6</w:t>
            </w:r>
          </w:p>
        </w:tc>
        <w:tc>
          <w:tcPr>
            <w:tcW w:w="14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Arial" w:cs="Arial" w:eastAsia="Arial" w:hAnsi="Arial"/>
                <w:sz w:val="18"/>
                <w:szCs w:val="18"/>
                <w:color w:val="3051F2"/>
                <w:w w:val="8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7</w:t>
            </w:r>
          </w:p>
        </w:tc>
        <w:tc>
          <w:tcPr>
            <w:tcW w:w="14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Arial" w:cs="Arial" w:eastAsia="Arial" w:hAnsi="Arial"/>
                <w:sz w:val="18"/>
                <w:szCs w:val="18"/>
                <w:color w:val="3051F2"/>
                <w:w w:val="89"/>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8</w:t>
            </w:r>
          </w:p>
        </w:tc>
        <w:tc>
          <w:tcPr>
            <w:tcW w:w="14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Arial" w:cs="Arial" w:eastAsia="Arial" w:hAnsi="Arial"/>
                <w:sz w:val="18"/>
                <w:szCs w:val="18"/>
                <w:color w:val="3051F2"/>
                <w:w w:val="92"/>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9</w:t>
            </w:r>
          </w:p>
        </w:tc>
        <w:tc>
          <w:tcPr>
            <w:tcW w:w="14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Arial" w:cs="Arial" w:eastAsia="Arial" w:hAnsi="Arial"/>
                <w:sz w:val="18"/>
                <w:szCs w:val="18"/>
                <w:color w:val="3051F2"/>
                <w:w w:val="8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10</w:t>
            </w:r>
          </w:p>
        </w:tc>
        <w:tc>
          <w:tcPr>
            <w:tcW w:w="14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Arial" w:cs="Arial" w:eastAsia="Arial" w:hAnsi="Arial"/>
                <w:sz w:val="18"/>
                <w:szCs w:val="18"/>
                <w:color w:val="3051F2"/>
                <w:w w:val="8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0" w:type="dxa"/>
            <w:vAlign w:val="bottom"/>
            <w:tcBorders>
              <w:bottom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11</w:t>
            </w:r>
          </w:p>
        </w:tc>
        <w:tc>
          <w:tcPr>
            <w:tcW w:w="140" w:type="dxa"/>
            <w:vAlign w:val="bottom"/>
          </w:tcPr>
          <w:p>
            <w:pPr>
              <w:spacing w:after="0"/>
              <w:rPr>
                <w:sz w:val="18"/>
                <w:szCs w:val="18"/>
                <w:color w:val="auto"/>
              </w:rPr>
            </w:pPr>
          </w:p>
        </w:tc>
        <w:tc>
          <w:tcPr>
            <w:tcW w:w="2540" w:type="dxa"/>
            <w:vAlign w:val="bottom"/>
            <w:tcBorders>
              <w:bottom w:val="single" w:sz="8" w:color="3051F2"/>
            </w:tcBorders>
            <w:gridSpan w:val="14"/>
          </w:tcPr>
          <w:p>
            <w:pPr>
              <w:spacing w:after="0"/>
              <w:rPr>
                <w:sz w:val="20"/>
                <w:szCs w:val="20"/>
                <w:color w:val="auto"/>
              </w:rPr>
            </w:pPr>
            <w:r>
              <w:rPr>
                <w:rFonts w:ascii="Arial" w:cs="Arial" w:eastAsia="Arial" w:hAnsi="Arial"/>
                <w:sz w:val="18"/>
                <w:szCs w:val="18"/>
                <w:color w:val="3051F2"/>
                <w:w w:val="90"/>
              </w:rPr>
              <w:t>Fair Value of Financial Instruments</w:t>
            </w: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12</w:t>
            </w:r>
          </w:p>
        </w:tc>
        <w:tc>
          <w:tcPr>
            <w:tcW w:w="14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Arial" w:cs="Arial" w:eastAsia="Arial" w:hAnsi="Arial"/>
                <w:sz w:val="18"/>
                <w:szCs w:val="18"/>
                <w:color w:val="3051F2"/>
                <w:w w:val="90"/>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13</w:t>
            </w:r>
          </w:p>
        </w:tc>
        <w:tc>
          <w:tcPr>
            <w:tcW w:w="14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Arial" w:cs="Arial" w:eastAsia="Arial" w:hAnsi="Arial"/>
                <w:sz w:val="18"/>
                <w:szCs w:val="18"/>
                <w:color w:val="3051F2"/>
                <w:w w:val="8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14</w:t>
            </w:r>
          </w:p>
        </w:tc>
        <w:tc>
          <w:tcPr>
            <w:tcW w:w="14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Arial" w:cs="Arial" w:eastAsia="Arial" w:hAnsi="Arial"/>
                <w:sz w:val="18"/>
                <w:szCs w:val="18"/>
                <w:color w:val="3051F2"/>
                <w:w w:val="86"/>
              </w:rPr>
              <w:t>Earnings Per Share</w:t>
            </w: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43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15</w:t>
            </w:r>
          </w:p>
        </w:tc>
        <w:tc>
          <w:tcPr>
            <w:tcW w:w="14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Arial" w:cs="Arial" w:eastAsia="Arial" w:hAnsi="Arial"/>
                <w:sz w:val="18"/>
                <w:szCs w:val="18"/>
                <w:color w:val="3051F2"/>
                <w:w w:val="90"/>
              </w:rPr>
              <w:t>Regulatory Capital Requirements</w:t>
            </w: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44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16</w:t>
            </w:r>
          </w:p>
        </w:tc>
        <w:tc>
          <w:tcPr>
            <w:tcW w:w="140" w:type="dxa"/>
            <w:vAlign w:val="bottom"/>
          </w:tcPr>
          <w:p>
            <w:pPr>
              <w:spacing w:after="0"/>
              <w:rPr>
                <w:sz w:val="18"/>
                <w:szCs w:val="18"/>
                <w:color w:val="auto"/>
              </w:rPr>
            </w:pPr>
          </w:p>
        </w:tc>
        <w:tc>
          <w:tcPr>
            <w:tcW w:w="340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89"/>
              </w:rPr>
              <w:t>Business Segment and Geographic Information</w:t>
            </w: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45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color w:val="3051F2"/>
              </w:rPr>
              <w:t>Note 17</w:t>
            </w:r>
          </w:p>
        </w:tc>
        <w:tc>
          <w:tcPr>
            <w:tcW w:w="14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Arial" w:cs="Arial" w:eastAsia="Arial" w:hAnsi="Arial"/>
                <w:sz w:val="18"/>
                <w:szCs w:val="18"/>
                <w:color w:val="3051F2"/>
                <w:w w:val="85"/>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Arial" w:cs="Arial" w:eastAsia="Arial" w:hAnsi="Arial"/>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18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the Refinitiv business from a consortium, including certain investment funds affiliated with The Blackstone Group Inc. (f/k/a The Blackstone Group L.P.) (“Blackstone”) as well as Thomson Reuters Corporation (“TR”), in an all share transaction (the “LSEG Transaction”).</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September 30, 2023, Tradeweb Markets Inc. owned 90.2% of TWM LLC and the non-controlling interest holders owned the remaining 9.8% of TWM LLC. As of December 31, 2022, Tradeweb Markets Inc. owned 88.7% of TWM LLC and the non-controlling interest holders owned the remaining 11.3% of TWM LLC.</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30" w:lineRule="exact"/>
        <w:rPr>
          <w:sz w:val="20"/>
          <w:szCs w:val="20"/>
          <w:color w:val="auto"/>
        </w:rPr>
      </w:pPr>
    </w:p>
    <w:p>
      <w:pPr>
        <w:ind w:left="660" w:right="1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5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Exchange Act and a member of FINRA and MSRB. DW is also registered as an introducing broker with the CFTC and a member of the NFA.</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Exchange Act and a member of FINRA and MSRB.</w:t>
      </w:r>
    </w:p>
    <w:p>
      <w:pPr>
        <w:spacing w:after="0" w:line="129"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Tradeweb Europe Limited (“TEL”), a MiFID Investment Firm regulated by the Financial Conduct Authority (the “FCA”) in the UK and certain other global regulators and that maintains branches in Asia.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 and certain other global regulators.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DW SEF LLC (“DW SEF”), a SEF regulated by the CFTC and certain other global regulators.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1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pacing w:after="0" w:line="14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Tradeweb EU B.V. (“TWEU”), a MiFID Investment Firm regulated by the Netherlands Authority for the Financial Markets (“AFM”), the De Nederlandsche Bank (“DNB”) and certain other global regulators and that maintains a branch in France.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Tradeweb Execution Services Limited (“TESL”), an Investment Firm (“BIPRU Firm”) regulated by the FCA in the UK.</w:t>
      </w:r>
    </w:p>
    <w:p>
      <w:pPr>
        <w:spacing w:after="0" w:line="184"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Tradeweb Commercial Information Consulting (Shanghai) Co., Ltd. a wholly-owned foreign enterprise (WOFE) for the purpose of providing consulting and marketing activities in China. The offshore electronic trading platform is recognized by the People’s Bank of China for the provision of Bond Connect and CIBM Direct.</w:t>
      </w:r>
    </w:p>
    <w:p>
      <w:pPr>
        <w:spacing w:after="0" w:line="15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Tradeweb Execution Services B.V. (“TESBV”), a MiFID investment firm authorized and regulated by the AFM, with permission to trade on a matched principal basis.</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Yieldbroker Pty Limited (“YB” or “Yieldbroker”), acquired in August 2023, a Tier 1 Australian Markets Licensee in Australia, regulated by the Australian Securities &amp; Investments Commission (“ASIC”), that maintains a branch in Singapore which is regulated by the Monetary Authority of Singapore (“MAS”) as a Regulated Market Operator.</w:t>
      </w:r>
    </w:p>
    <w:p>
      <w:pPr>
        <w:spacing w:after="0" w:line="14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May 2023, the Company announced that it had entered into a definitive agreement to acquire all of the outstanding equity interests of Yieldbroker. Yieldbroker is a leading Australian trading platform for Australian and New Zealand government bonds and interest rate derivatives covering the institutional and wholesale client sectors. This acquisition combines Australia and New Zealand’s highly attractive, fast-growing markets with Tradeweb’s international reach and scale. The A$123.6 million, all-cash transaction closed on August 31, 2023 (the “Yieldbroker Acquisition”), following the satisfaction of closing conditions and regulatory reviews. See Note 4 – Acquisitions for additional details on this acquisition.</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2021, the Company acquired Nasdaq’s U.S. fixed income electronic trading platform, formerly known as eSpeed (the “NFI Acquisition”), which is a fully executable central limit order book (CLOB) for electronic trading in on-the-run (OTR) U.S. government bonds. The NFI Acquisition included the acquisition of Execution Access, LLC, (“EA”), a registered broker-dealer under the Exchange Act and a member of FINRA. In November 2022, EA merged with and into DW with DW being the surviving entity.</w:t>
      </w:r>
    </w:p>
    <w:p>
      <w:pPr>
        <w:spacing w:after="0" w:line="14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5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6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w:t>
      </w:r>
    </w:p>
    <w:p>
      <w:pPr>
        <w:spacing w:after="0" w:line="198" w:lineRule="exact"/>
        <w:rPr>
          <w:sz w:val="20"/>
          <w:szCs w:val="20"/>
          <w:color w:val="auto"/>
        </w:rPr>
      </w:pPr>
    </w:p>
    <w:p>
      <w:pPr>
        <w:ind w:left="660" w:right="32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 investors collectively owned 114,711,483 shares of Class A common stock, representing 8.7% of the combined voting power of Tradeweb Markets Inc.’s issued and outstanding common stock and indirectly, through Tradeweb Markets Inc., owned 48.9% of the economic interest in TWM LLC;</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91.2% of the combined voting power of Tradeweb Markets Inc.’s issued and outstanding common stock and directly and indirectly, through Tradeweb Markets Inc., owned 51.1% of the economic interest in TWM LLC; and</w:t>
      </w:r>
    </w:p>
    <w:p>
      <w:pPr>
        <w:spacing w:after="0" w:line="143"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stockholders that continued to own LLC Interests also collectively owned 92,242 shares of Class D common stock, representing 0.1% of the combined voting power of Tradeweb Markets Inc.’s issued and outstanding common stock. Collectively, these stockholders directly owned less than 0.1% of the economic interest in TWM LLC.</w:t>
      </w:r>
    </w:p>
    <w:p>
      <w:pPr>
        <w:spacing w:after="0" w:line="1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the Company’s basic and diluted earnings per share calculations for the three and nine months ended September 30, 2023 were impacted by 265,681 and 266,453, respectively, of weighted average shares resulting from unvested restricted stock units and unsettled vested performance</w:t>
      </w:r>
      <w:r>
        <w:rPr>
          <w:rFonts w:ascii="Arial" w:cs="Arial" w:eastAsia="Arial" w:hAnsi="Arial"/>
          <w:sz w:val="18"/>
          <w:szCs w:val="18"/>
          <w:b w:val="1"/>
          <w:bCs w:val="1"/>
          <w:color w:val="auto"/>
        </w:rPr>
        <w:t>-</w:t>
      </w:r>
      <w:r>
        <w:rPr>
          <w:rFonts w:ascii="Arial" w:cs="Arial" w:eastAsia="Arial" w:hAnsi="Arial"/>
          <w:sz w:val="18"/>
          <w:szCs w:val="18"/>
          <w:color w:val="auto"/>
        </w:rPr>
        <w:t>based restricted stock units that were considered participating securities for purposes of calculating earnings per share in accordance with the two</w:t>
      </w:r>
      <w:r>
        <w:rPr>
          <w:rFonts w:ascii="Arial" w:cs="Arial" w:eastAsia="Arial" w:hAnsi="Arial"/>
          <w:sz w:val="18"/>
          <w:szCs w:val="18"/>
          <w:b w:val="1"/>
          <w:bCs w:val="1"/>
          <w:color w:val="auto"/>
        </w:rPr>
        <w:t>-</w:t>
      </w:r>
      <w:r>
        <w:rPr>
          <w:rFonts w:ascii="Arial" w:cs="Arial" w:eastAsia="Arial" w:hAnsi="Arial"/>
          <w:sz w:val="18"/>
          <w:szCs w:val="18"/>
          <w:color w:val="auto"/>
        </w:rPr>
        <w:t>class method. The Company’s diluted earnings per share calculations for the three and nine months ended September 30, 2023 also include 1,873,159 and 1,832,826, respectively, of weighted average shares resulting from the dilutive effect of its equity incentive plans. See Note 14 – Earnings Per Share for additional details.</w:t>
      </w:r>
    </w:p>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These condensed consolidated financial statements are unaudited and should be read in conjunction with the audited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Annual Report on Form 10-K for the year ended December 31, 2022. The consolidated financial information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has been derived from audited financial statements not included herein. These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in accordance with accounting principles generally accepted in the United States of America (“GAAP”) and the rules and regulations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Securities and Exchange Commission (“SEC”) with respect to interim financial reporting and Form 10-Q. In accordance with such rules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certain disclosures that are normally included in annual financial statements have been omitted. These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reflect all normal and recurring adjustments that are, in the opinion of management, necessary for a fair statement of the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presented. Operating results for interim periods are not necessarily indicative of the results that may be expected for the full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0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Certain reclassifications have been made to the December 31, 2022 consolidated statement of financial condition, and related financial information, to conform to the current period presentation. These primarily include reclassifying approximately $2.7 million of related party balances from other assets to receivable and due from affiliates and $5.8 million of related party balances from accounts payable, accrued expenses and other liabilities to payable and due to affiliates. These reclassifications had no impact on total assets, total liabilities or total equity on the consolidated statement of financial condition, nor did they have any impact on the consolidated statements of income, comprehensive income, changes in equity or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remaining maturities at the time of purchase of three months or 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See Note 12 – Credit Risk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02" w:lineRule="exact"/>
        <w:rPr>
          <w:sz w:val="20"/>
          <w:szCs w:val="20"/>
          <w:color w:val="auto"/>
        </w:rPr>
      </w:pPr>
    </w:p>
    <w:p>
      <w:pPr>
        <w:ind w:right="5560"/>
        <w:spacing w:after="0" w:line="510" w:lineRule="auto"/>
        <w:rPr>
          <w:sz w:val="20"/>
          <w:szCs w:val="20"/>
          <w:color w:val="auto"/>
        </w:rPr>
      </w:pPr>
      <w:r>
        <w:rPr>
          <w:rFonts w:ascii="Arial" w:cs="Arial" w:eastAsia="Arial" w:hAnsi="Arial"/>
          <w:sz w:val="16"/>
          <w:szCs w:val="16"/>
          <w:color w:val="auto"/>
        </w:rPr>
        <w:t xml:space="preserve">Deposits with clearing organizations are comprised of cash deposits. </w:t>
      </w:r>
      <w:r>
        <w:rPr>
          <w:rFonts w:ascii="Arial" w:cs="Arial" w:eastAsia="Arial" w:hAnsi="Arial"/>
          <w:sz w:val="16"/>
          <w:szCs w:val="16"/>
          <w:b w:val="1"/>
          <w:bCs w:val="1"/>
          <w:color w:val="auto"/>
        </w:rPr>
        <w:t>Furniture, Equipment, Purchased Software and Leasehold Improvements</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3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As of September 30, 2023 and December 31, 2022, accumulated depreciation related to furniture, equipment, purchased software and leasehold improvements totaled $89.4 million and $73.8 million, respectively. Depreciation expense for furniture, equipment, purchased software and leasehold improvements was $5.4 million and $5.0 million for the three months ended September 30, 2023 and 2022, respectively, and $15.9 million and $14.6 million for the nine months ended September 30, 2023 and 2022,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Yieldbroker Acquisition and the NFI Acquisition are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and December 31, 2022, accumulated amortization related to software development costs totaled $207.9 million and</w:t>
      </w:r>
    </w:p>
    <w:p>
      <w:pPr>
        <w:spacing w:after="0" w:line="3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$166.6 million, respectively. Amortization expense for software development costs was $14.1 million and $13.0 million for the three months ended September 30, 2023 and 2022, respectively, and $41.3 million and $39.0 million for the nine months ended September 30, 2023 and 2022,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Yieldbroker Acquisition and the NFI Acquisition. Goodwill is not amortized, but is tested for impairment annually on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tested for impairment on October 1, 2022 and no impairment of goodwill was 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Intangible assets with a finite life are amortized over the estimated lives, ranging from four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September 30, 2023 and December 31, 2022, accumulated amortization related to intangible assets totaled $514.9 million and $434.2 million, respectively. Amortization expense for definite-lived intangible assets was $27.1 million and $26.8 million for the three months ended September 30, 2023 and 2022, respectively and $80.7 million and $80.4 million for the nine months ended September 30, 2023 and 2022,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189"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Sold Under Agreements to Repurchase</w:t>
      </w:r>
    </w:p>
    <w:p>
      <w:pPr>
        <w:spacing w:after="0" w:line="202"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From time to time, the Company sells securities under agreements to repurchase in order to facilitate the clearance of securities. Securities sold under agreements to 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Deferred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No offering costs were incurred during the three and nine months ended September 30, 2023 and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Company’s classification of revenues in the condensed consolidated statements of income represents revenues from contracts with customers disaggregated by type of revenue. See Note 5 – Revenue for additional details regarding revenue types and the Company’s policies regarding revenue recognition.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Exchange Derivative Contracts</w:t>
      </w:r>
    </w:p>
    <w:p>
      <w:pPr>
        <w:spacing w:after="0" w:line="20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$0.7 million gain and a $0.6 million loss during the three months ended September 30, 2023 and 2022, respectively and realized and unrealized losses during the nine months ended September 30, 2023 and 2022 totaled</w:t>
      </w:r>
    </w:p>
    <w:p>
      <w:pPr>
        <w:spacing w:after="0" w:line="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$1.0 million and $2.3 million,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3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enters into foreign currency forward contracts to mitigate its U.S. dollar and British pound sterling versus euro exposure, generally with a duration of less than 12 months. In June 2023, the Company also entered into a foreign currency call option on Australian dollars, see Note 4 – Acquisitions for additional details.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changes in the fair value during the period of the foreign currency call option on Australian dollars, which was entered into for foreign exchange risk management purposes relating to investing activities, are recognized in the condensed consolidated statements of income within other income/loss. The Company does not use derivative instruments for trading or speculative purposes. Realized and unrealized gains on foreign currency forward contracts during the three months ended September 30, 2023 and 2022 totaled $3.9 million and $6.8 million, respectively, and realized and unrealized gains on foreign currency forward contracts during the nine months ended September 30, 2023 and 2022 totaled $4.9 million and $12.9 million, respectively. Realized and unrealized losses on the foreign currency call option on the Australian dollar call option during the three and nine months ended September 30, 2023 totaled $1.9 million and $1.3 million, respectively. As of September 30, 2023 and December 31, 2022, the counterparty on each of the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 See Note 11 – Fair Value of Financial Instruments for additional details on the Company’s derivative instruments.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3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The 1% excise tax did not have a material impact to our financial condition, results of operations and cash flows as of and for the three and nine months ended September 30, 2023. The Company will continue to evaluate the impact of the 15% corporate minimum tax on subsequent periods.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may be subject to the provisions of the Two Pillar Plan, and related tax impacts per local country adoption, as it is a consolidating subsidiary of LSEG. The Company will continue to monitor and evaluate the impact of the Two Pillar Plan on future periods as further information becomes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Class A common stock on the grant date.</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3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dilutive effect of stock options and other stock</w:t>
      </w:r>
      <w:r>
        <w:rPr>
          <w:rFonts w:ascii="Arial" w:cs="Arial" w:eastAsia="Arial" w:hAnsi="Arial"/>
          <w:sz w:val="16"/>
          <w:szCs w:val="16"/>
          <w:b w:val="1"/>
          <w:bCs w:val="1"/>
          <w:color w:val="auto"/>
        </w:rPr>
        <w:t>-</w:t>
      </w:r>
      <w:r>
        <w:rPr>
          <w:rFonts w:ascii="Arial" w:cs="Arial" w:eastAsia="Arial" w:hAnsi="Arial"/>
          <w:sz w:val="16"/>
          <w:szCs w:val="16"/>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0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19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21"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June 2022, the Financial Accounting Standards Board (“FASB”) issued Accounting Standards Update (“ASU”) 2022-03,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820): Fair Value Measurement of Equity Securities Subject to Contractual Sale Restrictions </w:t>
      </w:r>
      <w:r>
        <w:rPr>
          <w:rFonts w:ascii="Arial" w:cs="Arial" w:eastAsia="Arial" w:hAnsi="Arial"/>
          <w:sz w:val="16"/>
          <w:szCs w:val="16"/>
          <w:color w:val="auto"/>
        </w:rPr>
        <w:t>(“ASU 2022-03”), which clarifies that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 on the sale of an equity security is not considered part of the unit of 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September 30, 2023, the Company has not yet adopted ASU 2022-03 and does not expect that the adoption of this ASU will have a material impact on the Company’s consolidated financial statements.</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Restricted Cash</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September 30, 2023 and December 31, 2022, cash in the amount of $1.0 million, has been segregated in the PAB reserve account, exceeding the requirements pursuant to SEC Rule 15c3-3.</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Acquisitions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Yieldbroker</w:t>
      </w:r>
    </w:p>
    <w:p>
      <w:pPr>
        <w:spacing w:after="0" w:line="19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August 31, 2023, the Company completed its acquisition of all of the outstanding equity interests of Yieldbroker Pty Limited. The all-cash purchase price of A$123.6 million ($80.1 million U.S. dollars as translated as of August 31, 2023) was net of cash acquired and prior to working capital and other closing adjustments. Working capital adjustments will be finalized during the fourth quarter of 2023.</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Yieldbroker Pty Limited is a corporation registered under the Corporations Act 2001 in Australia and a Tier 1 Australian Markets Licensee in Australia, regulated by the ASIC, that maintains a branch in Singapore which is regulated by the MAS as a Regulated Market Operator. Yieldbroker operates a leading Australian trading platform for Australian and New Zealand government bonds and interest rate derivatives covering the institutional and wholesale client sectors.</w:t>
      </w:r>
    </w:p>
    <w:p>
      <w:pPr>
        <w:spacing w:after="0" w:line="18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acquisition was accounted for as a business combination and the Company utilized the assistance of a third-party valuation specialist to determine the fair value of the assets acquired and liabilities assumed at the date of the closing of the acquisition. The fair values were determined based on assumptions that reasonable market participants would use in the principal (or most advantageous) market and primarily included significant unobservable inputs (Level 3).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purchase price was allocated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Purchase Price</w:t>
            </w:r>
          </w:p>
        </w:tc>
      </w:t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Allocation</w:t>
            </w:r>
          </w:p>
        </w:tc>
      </w:tr>
      <w:tr>
        <w:trPr>
          <w:trHeight w:val="53"/>
        </w:trPr>
        <w:tc>
          <w:tcPr>
            <w:tcW w:w="98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25"/>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Lease right-of-use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35,058</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 Customer relationships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Intangible assets - Tradename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r>
      <w:tr>
        <w:trPr>
          <w:trHeight w:val="223"/>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paid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82,401</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(12,753)</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Preliminary working capital and other closing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b w:val="1"/>
                <w:bCs w:val="1"/>
                <w:color w:val="auto"/>
              </w:rPr>
              <w:t>Purchase price, net of cash acquired and excluding working capital and other closing adjustments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80,080</w:t>
            </w:r>
          </w:p>
        </w:tc>
      </w:tr>
      <w:tr>
        <w:trPr>
          <w:trHeight w:val="20"/>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primary areas of the preliminary purchase price allocation that are not yet finalized as of September 30, 2023 relate primarily to the valuation of the identifiable intangible assets and software and final working capital adjustments. The allocation of the purchase price will be finalized upon completion of the analysis of the acquired assets within one year of the date of the closing of the acquisition.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acquired software development costs will be amortized over a useful life of one year, the acquired tradename will be amortized over a useful life of four years and the customer relationships will be amortized over a useful life of 13 years. The goodwill recognized in connection with the Yieldbroker Acquisition is primarily attributable to the acquisition of an assembled workforce and expected future customers, future technology and synergies from the integration of the operations of Yieldbroker into the Company's operations and its single business segment. All of the goodwill recognized in connection with the Yieldbroker Acquisition is expected to be deductible for income tax purposes.</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and nine months ended September 30, 2023, the Company recognized $0.5 million and $2.2 million, respectively, in transaction costs incurred to effect the Yieldbroker Acquisition, which are included as a component of professional fees in the accompanying condensed consolidated statements of income. During both the three and nine months ended September 30, 2023, the Company also recognized $0.8 million in transaction costs incurred to effect the Yieldbroker Acquisition, which are included as a component of general and administrative expenses in the accompanying condensed consolidated statements of income.</w:t>
      </w:r>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Yieldbroker Acquisition was not material to the Company's condensed consolidated financial statements and therefore pro forma and current period results of this acquisition have not been presented.</w:t>
      </w:r>
    </w:p>
    <w:p>
      <w:pPr>
        <w:spacing w:after="0" w:line="14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June 1, 2023, the Company entered into a foreign currency call option on Australian dollars, giving the Company an option to buy A$120.7 million, in order to partially mitigate the Company’s U.S. dollar versus Australian dollar foreign exchange exposure on the then-anticipated payment of the Australian dollar denominated purchase price for the Yieldbroker Acquisition. The counterparty on the foreign currency call option contract was an affiliate of LSEG. On August 25, 2023, the Company unwound the out-of-the-money foreign currency call option and received $1.1 million from an affiliate of LSEG.</w:t>
      </w:r>
    </w:p>
    <w:p>
      <w:pPr>
        <w:spacing w:after="0" w:line="1"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Realized and unrealized losses on the Australian dollar call option during the three and nine months ended September 30, 2023 totaled $1.9 million and $1.3 million, respectively, included within other income/loss. See Note 11 – Fair Value of Financial Instruments for additional details.</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are recorded as a reduction to revenue in the period the relevant trades occur.</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9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29"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the Company’s market data and pricing information for historical data sets provided by other companies.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w:t>
      </w:r>
      <w:r>
        <w:rPr>
          <w:rFonts w:ascii="Arial" w:cs="Arial" w:eastAsia="Arial" w:hAnsi="Arial"/>
          <w:sz w:val="18"/>
          <w:szCs w:val="18"/>
          <w:b w:val="1"/>
          <w:bCs w:val="1"/>
          <w:color w:val="auto"/>
        </w:rPr>
        <w:t>-</w:t>
      </w:r>
      <w:r>
        <w:rPr>
          <w:rFonts w:ascii="Arial" w:cs="Arial" w:eastAsia="Arial" w:hAnsi="Arial"/>
          <w:sz w:val="18"/>
          <w:szCs w:val="18"/>
          <w:color w:val="auto"/>
        </w:rPr>
        <w:t>based fees. The breakdown of revenues between fixed and variable revenues for the three and nine months ended September 30, 2023 and 2022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2023</w:t>
            </w:r>
          </w:p>
        </w:tc>
        <w:tc>
          <w:tcPr>
            <w:tcW w:w="260" w:type="dxa"/>
            <w:vAlign w:val="bottom"/>
          </w:tcPr>
          <w:p>
            <w:pPr>
              <w:spacing w:after="0"/>
              <w:rPr>
                <w:sz w:val="17"/>
                <w:szCs w:val="17"/>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September 30, 2022</w:t>
            </w:r>
          </w:p>
        </w:tc>
      </w:tr>
      <w:tr>
        <w:trPr>
          <w:trHeight w:val="26"/>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39"/>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225,934</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37,551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192,191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35,824</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40,872</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15,370</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226,727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94,242</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68"/>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24"/>
                <w:szCs w:val="24"/>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Nine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2023</w:t>
            </w:r>
          </w:p>
        </w:tc>
        <w:tc>
          <w:tcPr>
            <w:tcW w:w="260" w:type="dxa"/>
            <w:vAlign w:val="bottom"/>
          </w:tcPr>
          <w:p>
            <w:pPr>
              <w:spacing w:after="0"/>
              <w:rPr>
                <w:sz w:val="17"/>
                <w:szCs w:val="17"/>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September 30, 2022</w:t>
            </w:r>
          </w:p>
        </w:tc>
      </w:tr>
      <w:tr>
        <w:trPr>
          <w:trHeight w:val="25"/>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6"/>
                <w:szCs w:val="16"/>
                <w:color w:val="auto"/>
              </w:rPr>
            </w:pPr>
          </w:p>
        </w:tc>
      </w:tr>
      <w:tr>
        <w:trPr>
          <w:trHeight w:val="230"/>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39"/>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665,749</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110,795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607,126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110,363</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122,907</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46,354</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667,938</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609,233</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286,506</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5"/>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22,827</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100,331</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(91,832)</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Deferred revenue acquired in connection with the Yieldbroker Acquisition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Deferred revenue balance - September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w:t>
            </w:r>
          </w:p>
        </w:tc>
      </w:tr>
      <w:tr>
        <w:trPr>
          <w:trHeight w:val="21"/>
        </w:trPr>
        <w:tc>
          <w:tcPr>
            <w:tcW w:w="9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2023, the Company recognized $22.2 million in total revenue that was deferred as of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2022, the Company recognized $23.1 million in total revenue that was deferred as of December 31,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Income Taxes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effective tax rate for the three months ended September 30, 2023 and 2022 was approximately 20.4% and 23.2%, respectively. The effective tax rate for the three months ended September 30, 2023 differed from the U.S. federal statutory rate of 21.0% primarily due to the return-to-provision adjustment and the effect of non-controlling interests, partially offset by the effect of state, local and foreign taxes. The effective tax rate for the three months ended September 30, 2022 differed from the U.S. federal statutory rate of 21.0% primarily due to the effect of state, local and foreign taxes and the return-to-provision adjustments, partially offset by the effect of non-controlling interests and the tax impact of the issuance of common stock from equity incentive plans.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effective tax rate for the nine months ended September 30, 2023 and 2022 was approximately 22.4% and 19.7%, respectively. The effective tax rate for the nine months ended September 30, 2023 differed from the U.S. federal statutory rate of 21.0% primarily due to state, local and foreign taxes, partially offset by the effect of non-controlling interests, the exercise of equity compensation and the return-to-provision adjustment. The effective tax rate for the nine months ended September 30, 2022 differed from the U.S. federal statutory rate of 21.0% primarily due to the tax impact of the issuance of common stock from equity incentive plans, return-to-provision adjustments and the effect of non-controlling interests, partially offset by state, local and foreign taxes.</w:t>
      </w:r>
    </w:p>
    <w:p>
      <w:pPr>
        <w:spacing w:after="0" w:line="16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7 – Tax Receivable Agreement for further details. The tax benefit has been recognized in deferred tax assets on the condensed consolidated statement of financial condition.</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Reorganization Transactions, a Refinitiv entity was contributed to the Corporation, pursuant to which the Corporation received 96,933,192 LLC Interests and Refinitiv received 96,933,192 shares of Class B common stock (“Refinitiv Contribution”). As a result of the Refinitiv Contribution, the Company assumed the tax liabilities of the contributed entity. During the second quarter of 2023, the contributed entity reached an audit settlement with the State of New Jersey for the tax years 2008 - 2015. As of September 30, 2023 and December 31, 2022, none and $2.7 million, respectively, is included in accounts payable, accrued expenses and other liabilities on the condensed consolidated statements of financial condition relating to these tax liabilities. The Company is indemnified by Refinitiv for these tax liabilities that were assumed by the Company as a result of the Refinitiv Contribution. As of September 30, 2023 and December 31, 2022, none and $2.7 million, respectively, is included in receivable and due from affiliates on the condensed consolidated statements of financial condition associated with this related party indemnification.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Tax Receivable Agreement</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statements of income in the period in which the change occurs. As of September 30, 2023 and December 31, 2022, the tax receivable agreement liability on the condensed consolidated statements of financial condition totaled $448.0 million and $425.7 million, respectively. During each of the three and nine months ended September 30, 2023 and 2022, no tax receivable agreement liability adjustment was recognized in the condensed consolidated statements of income.</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Non-Controlling Interests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980" w:type="dxa"/>
            <w:vAlign w:val="bottom"/>
            <w:gridSpan w:val="4"/>
          </w:tcPr>
          <w:p>
            <w:pPr>
              <w:ind w:left="840"/>
              <w:spacing w:after="0"/>
              <w:rPr>
                <w:sz w:val="20"/>
                <w:szCs w:val="20"/>
                <w:color w:val="auto"/>
              </w:rPr>
            </w:pPr>
            <w:r>
              <w:rPr>
                <w:rFonts w:ascii="Arial" w:cs="Arial" w:eastAsia="Arial" w:hAnsi="Arial"/>
                <w:sz w:val="14"/>
                <w:szCs w:val="14"/>
                <w:b w:val="1"/>
                <w:bCs w:val="1"/>
                <w:color w:val="auto"/>
              </w:rPr>
              <w:t>September 30, 2023</w:t>
            </w:r>
          </w:p>
        </w:tc>
        <w:tc>
          <w:tcPr>
            <w:tcW w:w="2900" w:type="dxa"/>
            <w:vAlign w:val="bottom"/>
            <w:gridSpan w:val="3"/>
          </w:tcPr>
          <w:p>
            <w:pPr>
              <w:jc w:val="right"/>
              <w:ind w:right="757"/>
              <w:spacing w:after="0"/>
              <w:rPr>
                <w:sz w:val="20"/>
                <w:szCs w:val="20"/>
                <w:color w:val="auto"/>
              </w:rPr>
            </w:pPr>
            <w:r>
              <w:rPr>
                <w:rFonts w:ascii="Arial" w:cs="Arial" w:eastAsia="Arial" w:hAnsi="Arial"/>
                <w:sz w:val="14"/>
                <w:szCs w:val="14"/>
                <w:b w:val="1"/>
                <w:bCs w:val="1"/>
                <w:color w:val="auto"/>
              </w:rPr>
              <w:t>September 30, 2022</w:t>
            </w:r>
          </w:p>
        </w:tc>
      </w:tr>
      <w:tr>
        <w:trPr>
          <w:trHeight w:val="25"/>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3"/>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LLC</w:t>
            </w:r>
          </w:p>
        </w:tc>
        <w:tc>
          <w:tcPr>
            <w:tcW w:w="1460" w:type="dxa"/>
            <w:vAlign w:val="bottom"/>
            <w:tcBorders>
              <w:top w:val="single" w:sz="8" w:color="auto"/>
            </w:tcBorders>
          </w:tcPr>
          <w:p>
            <w:pPr>
              <w:jc w:val="right"/>
              <w:ind w:right="297"/>
              <w:spacing w:after="0" w:line="133"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LLC</w:t>
            </w:r>
          </w:p>
        </w:tc>
        <w:tc>
          <w:tcPr>
            <w:tcW w:w="1480" w:type="dxa"/>
            <w:vAlign w:val="bottom"/>
            <w:tcBorders>
              <w:top w:val="single" w:sz="8" w:color="auto"/>
            </w:tcBorders>
          </w:tcPr>
          <w:p>
            <w:pPr>
              <w:jc w:val="right"/>
              <w:ind w:right="317"/>
              <w:spacing w:after="0" w:line="133" w:lineRule="exact"/>
              <w:rPr>
                <w:sz w:val="20"/>
                <w:szCs w:val="20"/>
                <w:color w:val="auto"/>
              </w:rPr>
            </w:pPr>
            <w:r>
              <w:rPr>
                <w:rFonts w:ascii="Arial" w:cs="Arial" w:eastAsia="Arial" w:hAnsi="Arial"/>
                <w:sz w:val="14"/>
                <w:szCs w:val="14"/>
                <w:b w:val="1"/>
                <w:bCs w:val="1"/>
                <w:color w:val="auto"/>
              </w:rPr>
              <w:t>Ownership</w:t>
            </w:r>
          </w:p>
        </w:tc>
      </w:tr>
      <w:tr>
        <w:trPr>
          <w:trHeight w:val="192"/>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46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8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211,644,675</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208,177,751</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88.8 %</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23,080,571</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26,347,881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234,725,246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234,525,632</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as applicable, on a one-for-one basis or, at the Company’s option, a cash payment in accordance with the terms of the TWM LLC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w:t>
            </w:r>
          </w:p>
        </w:tc>
        <w:tc>
          <w:tcPr>
            <w:tcW w:w="3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Controlling Interests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220,392</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Increase/(decrease) in Tradeweb Markets Inc.’s additional paid-in capital</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 a result of ownership changes in TWM LLC</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108,311</w:t>
            </w:r>
          </w:p>
        </w:tc>
        <w:tc>
          <w:tcPr>
            <w:tcW w:w="0" w:type="dxa"/>
            <w:vAlign w:val="bottom"/>
          </w:tcPr>
          <w:p>
            <w:pPr>
              <w:spacing w:after="0"/>
              <w:rPr>
                <w:sz w:val="1"/>
                <w:szCs w:val="1"/>
                <w:color w:val="auto"/>
              </w:rPr>
            </w:pPr>
          </w:p>
        </w:tc>
      </w:tr>
      <w:tr>
        <w:trPr>
          <w:trHeight w:val="155"/>
        </w:trPr>
        <w:tc>
          <w:tcPr>
            <w:tcW w:w="56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Change from net income attributable to Tradeweb Markets Inc. and</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98,210</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148,689</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354,928</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328,703</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Stockholders’ Equity and Stock-Based Compensation Plans</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rights and privileges of the Company’s stockholders’ equity and LLC Interests are described in the audited consolidated financial statements included in the Company’s Annual Report on Form 10-K for the year ended December 31, 2022 and there have been no changes to those rights and privileges during the nine months ended September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movement in the Company’s outstanding shares of common stock during the period: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340" w:type="dxa"/>
            <w:vAlign w:val="bottom"/>
          </w:tcPr>
          <w:p>
            <w:pPr>
              <w:jc w:val="right"/>
              <w:ind w:right="351"/>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6"/>
                <w:szCs w:val="16"/>
                <w:color w:val="auto"/>
              </w:rPr>
            </w:pP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B</w:t>
            </w:r>
          </w:p>
        </w:tc>
        <w:tc>
          <w:tcPr>
            <w:tcW w:w="144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C</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D</w:t>
            </w:r>
          </w:p>
        </w:tc>
        <w:tc>
          <w:tcPr>
            <w:tcW w:w="13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110,746,606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3,251,177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23,092,704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234,023,679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8,733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(8,733)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986,090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986,090</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Pr>
          <w:p>
            <w:pPr>
              <w:jc w:val="right"/>
              <w:spacing w:after="0"/>
              <w:rPr>
                <w:sz w:val="20"/>
                <w:szCs w:val="20"/>
                <w:color w:val="auto"/>
              </w:rPr>
            </w:pPr>
            <w:r>
              <w:rPr>
                <w:rFonts w:ascii="Arial" w:cs="Arial" w:eastAsia="Arial" w:hAnsi="Arial"/>
                <w:sz w:val="18"/>
                <w:szCs w:val="18"/>
                <w:color w:val="auto"/>
              </w:rPr>
              <w:t>(313,311)</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(313,311)</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111,428,118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23,083,971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234,696,458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3,254,577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(3,251,177)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(3,400)</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92,687</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Pr>
          <w:p>
            <w:pPr>
              <w:jc w:val="right"/>
              <w:spacing w:after="0"/>
              <w:rPr>
                <w:sz w:val="20"/>
                <w:szCs w:val="20"/>
                <w:color w:val="auto"/>
              </w:rPr>
            </w:pPr>
            <w:r>
              <w:rPr>
                <w:rFonts w:ascii="Arial" w:cs="Arial" w:eastAsia="Arial" w:hAnsi="Arial"/>
                <w:sz w:val="18"/>
                <w:szCs w:val="18"/>
                <w:color w:val="auto"/>
              </w:rPr>
              <w:t>(107,365)</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(107,365)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114,668,017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23,080,571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234,681,780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108,520</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Pr>
          <w:p>
            <w:pPr>
              <w:jc w:val="right"/>
              <w:spacing w:after="0"/>
              <w:rPr>
                <w:sz w:val="20"/>
                <w:szCs w:val="20"/>
                <w:color w:val="auto"/>
              </w:rPr>
            </w:pPr>
            <w:r>
              <w:rPr>
                <w:rFonts w:ascii="Arial" w:cs="Arial" w:eastAsia="Arial" w:hAnsi="Arial"/>
                <w:sz w:val="18"/>
                <w:szCs w:val="18"/>
                <w:color w:val="auto"/>
              </w:rPr>
              <w:t>(65,054)</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(65,054)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114,711,483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23,080,571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234,725,246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jc w:val="right"/>
              <w:ind w:right="1131"/>
              <w:spacing w:after="0"/>
              <w:rPr>
                <w:sz w:val="20"/>
                <w:szCs w:val="20"/>
                <w:color w:val="auto"/>
              </w:rPr>
            </w:pPr>
            <w:r>
              <w:rPr>
                <w:rFonts w:ascii="Arial" w:cs="Arial" w:eastAsia="Arial" w:hAnsi="Arial"/>
                <w:sz w:val="18"/>
                <w:szCs w:val="18"/>
                <w:color w:val="auto"/>
                <w:w w:val="99"/>
              </w:rPr>
              <w:t>31</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144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A</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B</w:t>
            </w:r>
          </w:p>
        </w:tc>
        <w:tc>
          <w:tcPr>
            <w:tcW w:w="144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C</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Class D</w:t>
            </w:r>
          </w:p>
        </w:tc>
        <w:tc>
          <w:tcPr>
            <w:tcW w:w="136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106,286,821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28,873,139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233,747,977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552,606</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(552,606)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1,068,080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1,068,080</w:t>
            </w:r>
          </w:p>
        </w:tc>
        <w:tc>
          <w:tcPr>
            <w:tcW w:w="0" w:type="dxa"/>
            <w:vAlign w:val="bottom"/>
          </w:tcPr>
          <w:p>
            <w:pPr>
              <w:spacing w:after="0"/>
              <w:rPr>
                <w:sz w:val="1"/>
                <w:szCs w:val="1"/>
                <w:color w:val="auto"/>
              </w:rPr>
            </w:pPr>
          </w:p>
        </w:tc>
      </w:tr>
      <w:tr>
        <w:trPr>
          <w:trHeight w:val="188"/>
        </w:trPr>
        <w:tc>
          <w:tcPr>
            <w:tcW w:w="4160" w:type="dxa"/>
            <w:vAlign w:val="bottom"/>
          </w:tcPr>
          <w:p>
            <w:pPr>
              <w:ind w:left="20"/>
              <w:spacing w:after="0" w:line="189"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Pr>
          <w:p>
            <w:pPr>
              <w:jc w:val="right"/>
              <w:spacing w:after="0"/>
              <w:rPr>
                <w:sz w:val="20"/>
                <w:szCs w:val="20"/>
                <w:color w:val="auto"/>
              </w:rPr>
            </w:pPr>
            <w:r>
              <w:rPr>
                <w:rFonts w:ascii="Arial" w:cs="Arial" w:eastAsia="Arial" w:hAnsi="Arial"/>
                <w:sz w:val="18"/>
                <w:szCs w:val="18"/>
                <w:color w:val="auto"/>
              </w:rPr>
              <w:t>(559,428)</w:t>
            </w: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(559,428)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107,348,079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28,320,533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234,256,629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3,700</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(3,700)</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367,374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367,374</w:t>
            </w:r>
          </w:p>
        </w:tc>
        <w:tc>
          <w:tcPr>
            <w:tcW w:w="0" w:type="dxa"/>
            <w:vAlign w:val="bottom"/>
          </w:tcPr>
          <w:p>
            <w:pPr>
              <w:spacing w:after="0"/>
              <w:rPr>
                <w:sz w:val="1"/>
                <w:szCs w:val="1"/>
                <w:color w:val="auto"/>
              </w:rPr>
            </w:pPr>
          </w:p>
        </w:tc>
      </w:tr>
      <w:tr>
        <w:trPr>
          <w:trHeight w:val="188"/>
        </w:trPr>
        <w:tc>
          <w:tcPr>
            <w:tcW w:w="4160" w:type="dxa"/>
            <w:vAlign w:val="bottom"/>
          </w:tcPr>
          <w:p>
            <w:pPr>
              <w:ind w:left="20"/>
              <w:spacing w:after="0" w:line="189"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Pr>
          <w:p>
            <w:pPr>
              <w:jc w:val="right"/>
              <w:spacing w:after="0"/>
              <w:rPr>
                <w:sz w:val="20"/>
                <w:szCs w:val="20"/>
                <w:color w:val="auto"/>
              </w:rPr>
            </w:pPr>
            <w:r>
              <w:rPr>
                <w:rFonts w:ascii="Arial" w:cs="Arial" w:eastAsia="Arial" w:hAnsi="Arial"/>
                <w:sz w:val="18"/>
                <w:szCs w:val="18"/>
                <w:color w:val="auto"/>
              </w:rPr>
              <w:t>(103,458)</w:t>
            </w: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(103,458)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107,615,695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28,316,833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234,520,545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3,623,777</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1,596,352</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(5,220,129)</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134,896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134,896</w:t>
            </w:r>
          </w:p>
        </w:tc>
        <w:tc>
          <w:tcPr>
            <w:tcW w:w="0" w:type="dxa"/>
            <w:vAlign w:val="bottom"/>
          </w:tcPr>
          <w:p>
            <w:pPr>
              <w:spacing w:after="0"/>
              <w:rPr>
                <w:sz w:val="1"/>
                <w:szCs w:val="1"/>
                <w:color w:val="auto"/>
              </w:rPr>
            </w:pPr>
          </w:p>
        </w:tc>
      </w:tr>
      <w:tr>
        <w:trPr>
          <w:trHeight w:val="188"/>
        </w:trPr>
        <w:tc>
          <w:tcPr>
            <w:tcW w:w="4160" w:type="dxa"/>
            <w:vAlign w:val="bottom"/>
          </w:tcPr>
          <w:p>
            <w:pPr>
              <w:ind w:left="20"/>
              <w:spacing w:after="0" w:line="189" w:lineRule="exact"/>
              <w:rPr>
                <w:sz w:val="20"/>
                <w:szCs w:val="20"/>
                <w:color w:val="auto"/>
              </w:rPr>
            </w:pPr>
            <w:r>
              <w:rPr>
                <w:rFonts w:ascii="Arial" w:cs="Arial" w:eastAsia="Arial" w:hAnsi="Arial"/>
                <w:sz w:val="18"/>
                <w:szCs w:val="18"/>
                <w:color w:val="auto"/>
              </w:rPr>
              <w:t>Share repurchases pursuant to share repurchase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programs</w:t>
            </w:r>
          </w:p>
        </w:tc>
        <w:tc>
          <w:tcPr>
            <w:tcW w:w="1340" w:type="dxa"/>
            <w:vAlign w:val="bottom"/>
          </w:tcPr>
          <w:p>
            <w:pPr>
              <w:jc w:val="right"/>
              <w:spacing w:after="0"/>
              <w:rPr>
                <w:sz w:val="20"/>
                <w:szCs w:val="20"/>
                <w:color w:val="auto"/>
              </w:rPr>
            </w:pPr>
            <w:r>
              <w:rPr>
                <w:rFonts w:ascii="Arial" w:cs="Arial" w:eastAsia="Arial" w:hAnsi="Arial"/>
                <w:sz w:val="18"/>
                <w:szCs w:val="18"/>
                <w:color w:val="auto"/>
              </w:rPr>
              <w:t>(129,809)</w:t>
            </w: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(129,809)</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111,244,559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23,096,704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234,525,632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April 3, 2023, the stockholder that owned 3,251,177 LLC Interests and 3,251,177 shares of Class C common stock, redeemed its LLC Interests for 3,251,177 shares of Class A common stock, and the shares of Class C common stock previously held by the stockholder were cancelled.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1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stock options, restricted stock units (“RSUs”) and dividend equivalent rights. The awards may have performance-based and/or time-based vesting conditions. RSUs and performance-based restricted stock units each represent promises to issue actual shares of Class A common stock at the end of a vesting period. Stock options have a maximum contractual term of 10 years.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February 16, 2022, the Company announced that Mr. Olesky would retire as Chief Executive Officer (“CEO”) of the Company, effective December 31, 2022, resulting in an acceleration of the total unamortized stock-based compensation associated with equity awards granted to him. The unamortized expense was accelerated over a revised estimated service period that ended on August 11, 2022, representing Mr. Olesky’s required six month notice period under the Company’s 2019 Omnibus Equity Incentive Plan. In addition, in December 2022, $5.5 million in stock-based compensation awards, relating to 2022 performance, were granted to Mr. Olesky and immediately recognized into expense upon grant.</w:t>
      </w:r>
    </w:p>
    <w:p>
      <w:pPr>
        <w:spacing w:after="0" w:line="14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During the year ended December 31, 2022, the Company recorded a total of $15.0 million in accelerated stock-based compensation expenses (“CEO Retirement Accelerated Stock-Based Compensation Expense”) and related payroll that would not have been recognized if Mr. Olesky had not announced his retirement, including $2.0 million and $9.4 million recognized during the three and nine months ended September 30, 2022, respectively. There was no CEO Retirement Accelerated Stock-Based Compensation Expense recorded during the three and nine months ended September 30, 2023.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addition to the performance-based restricted stock units previously awarded pursuant to the 2019 Omnibus Equity Incentive Plan, which vest based on the financial performance of the Company (“PRSUs”), during the nine months ended September 30, 2023, on March 15, 2023, the Company granted to certain executives, an aggregate of 251,113 performance-based restricted stock units that vest based on market conditions (“PSUs”). PSUs are promises to issue actual shares of Class A common stock which cliff vest on January 1 of the third calendar year from the calendar year of the date of grant. The number of shares a participant will receive upon vesting is determined by a performance modifier, which is adjusted as a result of the Company’s total shareholder return over a three-year performance period. The performance modifier can vary between 0% (minimum) and 250% (maximum) of the target (100%) award amount. The PSUs granted on March 15, 2023 had a grant date fair value of $98.33 per share, or $24.7 million in total, which will be expensed on a straight-line basis through December 31, 2025, the end of the three-year performance period. The grant date fair value of the March 2023 PSUs was estimated using the Monte Carlo simulation model and the significant valuation assumptions used in the valuation were a maturity of 2.8 years annualized volatility of 28.81% and a risk-free interest rate of 3.77%. There were no PSUs granted during the three months ended September 30, 2023 or the three and nine months ended September 30, 2022.</w:t>
      </w:r>
    </w:p>
    <w:p>
      <w:pPr>
        <w:spacing w:after="0" w:line="15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the three months ended September 30, 2023, the Company granted 1,743 RSUs at a weighted-average grant-date fair value of $86.43. No PRSUs were granted during the three months ended September 30, 2023. During the nine months ended September 30, 2023, the Company granted 571,980 RSUs and 326,050 PRSUs at a weighted-average grant-date fair value of $69.66 and $69.56, respectively. RSU awards granted to employees will generally vest one-third each year over a three-year period, and RSU awards granted to non-employee directors will vest after one year. 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 for awards granted during 2022 and prior years. PRSUs granted during 2023 have a 250% maximum performance modifier.</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Company’s total stock-based compensation expense, including the CEO Retirement Accelerated Stock-Based Compensation Expense,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Pr>
          <w:p>
            <w:pPr>
              <w:spacing w:after="0"/>
              <w:rPr>
                <w:sz w:val="17"/>
                <w:szCs w:val="17"/>
                <w:color w:val="auto"/>
              </w:rPr>
            </w:pPr>
          </w:p>
        </w:tc>
      </w:tr>
      <w:tr>
        <w:trPr>
          <w:trHeight w:val="25"/>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8"/>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2022</w:t>
            </w:r>
          </w:p>
        </w:tc>
      </w:tr>
      <w:tr>
        <w:trPr>
          <w:trHeight w:val="25"/>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1"/>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14,757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44,670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49,432</w:t>
            </w:r>
          </w:p>
        </w:tc>
      </w:tr>
    </w:tbl>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stock-based compensation expense above excludes $0.4 million and $1.0 million of stock-based compensation expense capitalized to software development costs during the three and nine months ended September 30, 2023,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December 5, 2022, the Company announced that its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the Company’s Class A common stock. The 2022 Share Repurchase Program authorizes the purchase of up to $300.0 million of the Company’s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the Company’s Class A common stock and other factors. The 2022 Share Repurchase Program does not require the Company to acquire a specific number of shares and may be suspended, amended or discontinued at any time. During the three months ended September 30, 2023 and 2022, the Company acquired a total of 65,054 and 129,809 shares of Class A common stock, at an average price of $75.28 and $69.33, for purchases totaling $4.9 million and $9.0 million, respectively. During the nine months ended September 30, 2023 and 2022, the Company acquired a total of 485,730 and 792,695 shares of Class A common stock, at an average price of $72.48 and $82.41, for purchases totaling $35.2 million and $65.3 million,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Each share of Class A common stock repurchased pursuant to the 2021 and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 Subsequent to their repurchase, the shares of Class A common stock and the LLC Interests were all cancelled and retired. As of September 30, 2023, a total of $239.8 million remained available for repurchase pursuant to the 2022 Share Repurchase Program.</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shares repurchased pursuant to the 2021 and 2022 Share Repurchase Programs, the excess of the repurchase price paid over the par value of the Class A common stock is be recorded as a reduction to retained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Repurchases</w:t>
      </w:r>
    </w:p>
    <w:p>
      <w:pPr>
        <w:spacing w:after="0" w:line="18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During the three months ended September 30, 2023 and 2022, the Company withheld 92,373 and 33,348 shares, respectively, of common stock from employee stock option, PRSU and RSU awards, at an average price per share of $84.15 and $68.13, respectively, and an aggregate value of $7.8 million and $2.3 million, respectively, based on the price of the Class A common stock on the date the relevant withholding occurred. During the nine months ended September 30, 2023 and 2022, the Company withheld 693,456 and 1,048,837 shares, respectively, of common stock from employee stock option, PRSU and RSU awards, at an average price per share of $71.38 and $95.59, respectively, and an aggregate value of $49.5 million and $100.3 million, respectively, based on the price of the Class A common stock on the date the relevant withholding occurred.</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programs discussed above.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2023 and December 31, 2022, the following balances with such affiliates were included in the condensed consolidated statements of financial condition in the following line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w:t>
            </w:r>
          </w:p>
        </w:tc>
      </w:tr>
      <w:tr>
        <w:trPr>
          <w:trHeight w:val="203"/>
        </w:trPr>
        <w:tc>
          <w:tcPr>
            <w:tcW w:w="48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5"/>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1"/>
        </w:trPr>
        <w:tc>
          <w:tcPr>
            <w:tcW w:w="4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Receivable and due from affiliates</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2,728</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Payable and due to affiliates</w:t>
            </w:r>
          </w:p>
        </w:tc>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7,232</w:t>
            </w:r>
          </w:p>
        </w:tc>
      </w:tr>
      <w:tr>
        <w:trPr>
          <w:trHeight w:val="904"/>
        </w:trPr>
        <w:tc>
          <w:tcPr>
            <w:tcW w:w="4820" w:type="dxa"/>
            <w:vAlign w:val="bottom"/>
          </w:tcPr>
          <w:p>
            <w:pPr>
              <w:spacing w:after="0"/>
              <w:rPr>
                <w:sz w:val="24"/>
                <w:szCs w:val="24"/>
                <w:color w:val="auto"/>
              </w:rPr>
            </w:pPr>
          </w:p>
        </w:tc>
        <w:tc>
          <w:tcPr>
            <w:tcW w:w="3620" w:type="dxa"/>
            <w:vAlign w:val="bottom"/>
          </w:tcPr>
          <w:p>
            <w:pPr>
              <w:jc w:val="right"/>
              <w:ind w:right="263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condensed consolidated statements of income in the following line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2320" w:type="dxa"/>
            <w:vAlign w:val="bottom"/>
            <w:gridSpan w:val="4"/>
          </w:tcPr>
          <w:p>
            <w:pPr>
              <w:jc w:val="center"/>
              <w:ind w:right="352"/>
              <w:spacing w:after="0"/>
              <w:rPr>
                <w:sz w:val="20"/>
                <w:szCs w:val="20"/>
                <w:color w:val="auto"/>
              </w:rPr>
            </w:pPr>
            <w:r>
              <w:rPr>
                <w:rFonts w:ascii="Arial" w:cs="Arial" w:eastAsia="Arial" w:hAnsi="Arial"/>
                <w:sz w:val="14"/>
                <w:szCs w:val="14"/>
                <w:b w:val="1"/>
                <w:bCs w:val="1"/>
                <w:color w:val="auto"/>
                <w:w w:val="94"/>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18"/>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Subscription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w:t>
            </w: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61" w:lineRule="exact"/>
        <w:rPr>
          <w:sz w:val="20"/>
          <w:szCs w:val="20"/>
          <w:color w:val="auto"/>
        </w:rPr>
      </w:pPr>
    </w:p>
    <w:p>
      <w:pPr>
        <w:ind w:left="340" w:right="180" w:hanging="332"/>
        <w:spacing w:after="0" w:line="266" w:lineRule="auto"/>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maintains agreements with Refinitiv to provide the Company with certain real estate, payroll, benefits administration and other administrative services.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measured at fair value on the condensed consolidated statements of financial condition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have been categorized based upon the fair value hierarchy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5"/>
                <w:szCs w:val="15"/>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As of September 30, 2023</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1,361,198</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1,361,198</w:t>
            </w: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Receivable and due from affiliates – Foreign exchange derivative contracts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1,361,198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1,364,217</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Payable and due to affiliates – Foreign exchange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As of December 31, 2022</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1,106,916</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1,106,916</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1,106,916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 xml:space="preserve">Payable and due to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exchange derivative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4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September 30, 2023 and December 31, 2022, the counterparty on each of these foreign exchange derivative contracts was an affiliate of LSEG and therefore the corresponding assets or liabilities on such contracts were included in receivable and due from affiliates or payable and due to affiliates, respectively, on the accompanying condensed consolidated statements of financial condition.</w:t>
      </w:r>
    </w:p>
    <w:p>
      <w:pPr>
        <w:spacing w:after="0" w:line="200" w:lineRule="exact"/>
        <w:rPr>
          <w:sz w:val="20"/>
          <w:szCs w:val="20"/>
          <w:color w:val="auto"/>
        </w:rPr>
      </w:pPr>
    </w:p>
    <w:p>
      <w:pPr>
        <w:spacing w:after="0" w:line="34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exchange derivative contracts not designated as hedges for accounting purposes: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203"/>
        </w:trPr>
        <w:tc>
          <w:tcPr>
            <w:tcW w:w="49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r>
      <w:tr>
        <w:trPr>
          <w:trHeight w:val="25"/>
        </w:trPr>
        <w:tc>
          <w:tcPr>
            <w:tcW w:w="4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1"/>
        </w:trPr>
        <w:tc>
          <w:tcPr>
            <w:tcW w:w="4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4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 Gross notional amount</w:t>
            </w:r>
          </w:p>
        </w:tc>
        <w:tc>
          <w:tcPr>
            <w:tcW w:w="3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178,620</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162,845</w:t>
            </w:r>
          </w:p>
        </w:tc>
      </w:tr>
      <w:tr>
        <w:trPr>
          <w:trHeight w:val="891"/>
        </w:trPr>
        <w:tc>
          <w:tcPr>
            <w:tcW w:w="4960" w:type="dxa"/>
            <w:vAlign w:val="bottom"/>
          </w:tcPr>
          <w:p>
            <w:pPr>
              <w:spacing w:after="0"/>
              <w:rPr>
                <w:sz w:val="24"/>
                <w:szCs w:val="24"/>
                <w:color w:val="auto"/>
              </w:rPr>
            </w:pPr>
          </w:p>
        </w:tc>
        <w:tc>
          <w:tcPr>
            <w:tcW w:w="3480" w:type="dxa"/>
            <w:vAlign w:val="bottom"/>
          </w:tcPr>
          <w:p>
            <w:pPr>
              <w:jc w:val="right"/>
              <w:ind w:right="263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r>
      <w:tr>
        <w:trPr>
          <w:trHeight w:val="217"/>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Foreign currency forward contracts not designated in accounting hedge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 – General and administrative (expenses)/income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12,937</w:t>
            </w:r>
          </w:p>
        </w:tc>
      </w:tr>
      <w:tr>
        <w:trPr>
          <w:trHeight w:val="175"/>
        </w:trPr>
        <w:tc>
          <w:tcPr>
            <w:tcW w:w="5620" w:type="dxa"/>
            <w:vAlign w:val="bottom"/>
          </w:tcPr>
          <w:p>
            <w:pPr>
              <w:ind w:left="20"/>
              <w:spacing w:after="0" w:line="176" w:lineRule="exact"/>
              <w:rPr>
                <w:sz w:val="20"/>
                <w:szCs w:val="20"/>
                <w:color w:val="auto"/>
              </w:rPr>
            </w:pPr>
            <w:r>
              <w:rPr>
                <w:rFonts w:ascii="Arial" w:cs="Arial" w:eastAsia="Arial" w:hAnsi="Arial"/>
                <w:sz w:val="18"/>
                <w:szCs w:val="18"/>
                <w:color w:val="auto"/>
                <w:w w:val="96"/>
              </w:rPr>
              <w:t>Foreign currency call option contract not designated in accounting hedge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04"/>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relationship – Other income/(loss)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340"/>
              <w:spacing w:after="0"/>
              <w:rPr>
                <w:sz w:val="20"/>
                <w:szCs w:val="20"/>
                <w:color w:val="auto"/>
              </w:rPr>
            </w:pPr>
            <w:r>
              <w:rPr>
                <w:rFonts w:ascii="Arial" w:cs="Arial" w:eastAsia="Arial" w:hAnsi="Arial"/>
                <w:sz w:val="18"/>
                <w:szCs w:val="18"/>
                <w:color w:val="auto"/>
                <w:w w:val="91"/>
              </w:rPr>
              <w:t>(1,289)</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ind w:left="340" w:right="180" w:hanging="332"/>
        <w:spacing w:after="0" w:line="277" w:lineRule="auto"/>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June 1, 2023, the Company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On August 25, 2023, the Company unwound the out-of-the-money foreign currency call option and received $1.1 million. See Note 4 – Acquisitions for additional details.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financial instruments not measured at fair value on the condensed consolidated statements of financial condition as of September 30, 2023 and December 31, 2022 have been categorized based upon the fair value hierarchy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39"/>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September 30, 2023</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133,212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133,212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133,212</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167,039</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334,073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151,313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151,313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151,313</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23,906</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Included in other assets on the condensed consolidated statements of financial condition are equity investments without readily determinable fair values of $20.0 million as of both September 30, 2023 and December 31,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Credit Risk</w:t>
      </w:r>
    </w:p>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Cash and cash equivalents includes cash and money market instruments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26"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September 30, 2023 and December 31, 2022, the Company maintained an allowance for credit losses with regard to these receivables of $0.2 million and $0.1 million, respectively. For the three months ended September 30, 2023 and 2022, credit loss expense was $13,000 and $60,000, respectively. For the nine months ended September 30, 2023 and 2022 credit loss expense was $60,000 and $34,000, respectively.</w:t>
      </w:r>
    </w:p>
    <w:p>
      <w:pPr>
        <w:spacing w:after="0" w:line="1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including the matters set forth below, could reasonably be expected to have a material adverse effect on its business, financial condition or results of operations.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normal course of business, the Company enters into agreements with its customers which provide the customers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filed its brief in response on November 17, 2022. Plaintiffs filed their brief in reply in further support of their appeal on December 14,</w:t>
      </w:r>
    </w:p>
    <w:p>
      <w:pPr>
        <w:spacing w:after="0" w:line="2"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2022. Oral argument in the appeal was held on October 3, 2023, and the Second Circuit now has the appeal under advisement. We believe that we have meritorious defenses to the claims set forth in the complaint and intend to continue to vigorously defend our position.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18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April 8, 2019, the Company entered into a five year, $500.0 million senior secured revolving credit facility (“Revolving Credit Facility”) with a syndicate of banks. The Revolving Credit Facility was subsequently amended on November 7, 2019 and March 31, 2023. The Revolving Credit Facility provides additional borrowing capacity to be used to fund ongoing working capital needs, letters of credit and for general corporate purposes, including potential future acquisitions and expansions.</w:t>
      </w:r>
    </w:p>
    <w:p>
      <w:pPr>
        <w:spacing w:after="0" w:line="14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Under the terms of the credit agreement that governs the Revolving Credit Facility, borrowings under the Revolving Credit Facility bear interest at a rate equal to, at the Company’s option, either (a) a base rate equal to the greatest of (i) the administrative agent’s prime rate, (ii) the federal funds effective rate plus ½ of 1.00% and (iii) one month Term SOFR plus 1.00% plus a credit adjustment spread of 0.10%, in each case plus 0.75%, (b) Term SOFR plus</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1.75% plus a credit adjustment spread of 0.10%, subject to a 0.00% floor, (c) SONIA plus 1.75%, subject to a 0.00% floor or (d) EURIBOR plus 1.75%, subject to a 0.00% floor. The credit agreement also includes a commitment fee of 0.25% for available but unborrowed amounts and other administrative fees that are payable quarterly. The Revolving Credit Facility is available until April 2024, provided the Company is in compliance with all covenants. Financial covenant requirements include maintaining minimum ratios related to interest coverage and leverage.</w:t>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both September 30, 2023 and December 31, 2022, there were $0.5 million in letters of credit issued under the Revolving Credit Facility and no borrowings outstanding.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operating leases for corporate offices and data centers with initial lease terms ranging from one to ten years. The following table presents the future minimum lease payments and the maturity of lease liabilities as of September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8,925</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7"/>
        </w:trPr>
        <w:tc>
          <w:tcPr>
            <w:tcW w:w="9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7"/>
        </w:trPr>
        <w:tc>
          <w:tcPr>
            <w:tcW w:w="9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31, 2023, the Company entered into a joint venture agreement (the “JV Agreement”) with subsidiaries of Bloomberg Inc. and MarketAxess Holdings Inc. to jointly establish and fund an independent company (the “CTP JV”) for the purpose of participating in the public procurement procedure to become the fixed income consolidated tape (“CTP”) provider in the European Union. The CTP JV will be incorporated prior to the European Securities and Markets Authority (“ESMA”) tender process and in accordance with project planning. The operation of the CTP JV is contingent upon selection through the ESMA tender process and regulatory approvals.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calculations of basic and diluted earnings per share of Class A and Class B common stock for Tradeweb Markets Inc.:</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7"/>
                <w:szCs w:val="17"/>
                <w:color w:val="auto"/>
              </w:rPr>
            </w:pPr>
          </w:p>
        </w:tc>
        <w:tc>
          <w:tcPr>
            <w:tcW w:w="25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98,614</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69,083</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275,552</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220,392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5"/>
              </w:rPr>
              <w:t>Less: Distributed and undistributed earnings allocated to unvested RSUs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ind w:left="420"/>
              <w:spacing w:after="0" w:line="243" w:lineRule="exact"/>
              <w:rPr>
                <w:sz w:val="20"/>
                <w:szCs w:val="20"/>
                <w:color w:val="auto"/>
              </w:rPr>
            </w:pPr>
            <w:r>
              <w:rPr>
                <w:rFonts w:ascii="Arial" w:cs="Arial" w:eastAsia="Arial" w:hAnsi="Arial"/>
                <w:sz w:val="18"/>
                <w:szCs w:val="18"/>
                <w:color w:val="auto"/>
              </w:rPr>
              <w:t xml:space="preserve">and unsettled vested PRSUs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Arial" w:cs="Arial" w:eastAsia="Arial" w:hAnsi="Arial"/>
                <w:sz w:val="18"/>
                <w:szCs w:val="18"/>
                <w:color w:val="auto"/>
              </w:rPr>
              <w:t>Net income attributable to outstanding shares of Class A and Class B</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98,490</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69,001</w:t>
            </w:r>
          </w:p>
        </w:tc>
        <w:tc>
          <w:tcPr>
            <w:tcW w:w="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275,204</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220,281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common stock - Basic and Diluted</w:t>
            </w:r>
          </w:p>
        </w:tc>
        <w:tc>
          <w:tcPr>
            <w:tcW w:w="2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 Basic</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211,618,475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205,721,162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210,444,082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204,767,261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Arial" w:cs="Arial" w:eastAsia="Arial" w:hAnsi="Arial"/>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504,945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746,043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380,740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796,090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1,661,705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1,240,923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1,940,970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200,559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211,163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243,716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PSUs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213,491,634</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208,329,469</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212,276,908</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207,748,037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outstanding - Diluted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60" w:hanging="332"/>
        <w:spacing w:after="0" w:line="267"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the three months ended September 30, 2023 and 2022, there was a total of 265,681 and 246,238, respectively, and during the nine months ended September 30, 2023 and 2022, there was a total of 266,453 and 121,115, respectively, weighted average unvested RSUs and unsettled vested PRSUs that were considered a participating security for purposes of calculating earnings per share in accordance with the two-class method.</w:t>
      </w:r>
    </w:p>
    <w:p>
      <w:pPr>
        <w:spacing w:after="0" w:line="1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are evaluated under the if-converted method. The potential dilutive effect of PRSUs, shares underlying options, RSUs and PSUs are evaluated under the treasury stock method.</w:t>
      </w:r>
    </w:p>
    <w:p>
      <w:pPr>
        <w:spacing w:after="0" w:line="12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following table summarizes the PRSUs, shares underlying options, RSUs, PSUs and weighted-average LLC Interests that were anti-dilutive for the periods indicated. As a result, these shares, which were outstanding, were excluded from the computation of diluted earnings per share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3"/>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324,467</w:t>
            </w:r>
          </w:p>
        </w:tc>
        <w:tc>
          <w:tcPr>
            <w:tcW w:w="8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3"/>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spacing w:after="0"/>
              <w:rPr>
                <w:sz w:val="20"/>
                <w:szCs w:val="20"/>
                <w:color w:val="auto"/>
              </w:rPr>
            </w:pPr>
            <w:r>
              <w:rPr>
                <w:rFonts w:ascii="Arial" w:cs="Arial" w:eastAsia="Arial" w:hAnsi="Arial"/>
                <w:sz w:val="18"/>
                <w:szCs w:val="18"/>
                <w:color w:val="auto"/>
              </w:rPr>
              <w:t>110,927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321,920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110,927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38,761</w:t>
            </w: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PSUs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LLC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23,080,571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28,750,603</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24,179,583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29,667,383</w:t>
            </w:r>
          </w:p>
        </w:tc>
      </w:tr>
    </w:tbl>
    <w:p>
      <w:pPr>
        <w:spacing w:after="0" w:line="25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Regulatory Capital Requirements</w:t>
      </w:r>
    </w:p>
    <w:p>
      <w:pPr>
        <w:spacing w:after="0" w:line="20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TWL, DW and TWD are subject to the Uniform Net Capital Rule 15c3-1 under the Exchange Act. TEL and TESL are subject to certain financial resource requirements with the FCA in the UK, TWJ is subject to certain financial resource requirements with the FCA in Japan, TWEU and TESBV are subject to certain finance resource requirements with the AFM in the Netherlands and YB is subject to certain financial resource requirements with ASIC. At September 30, 2023 and December 31, 2022, the regulatory capital requirements and regulatory capital for these entities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200" w:type="dxa"/>
            <w:vAlign w:val="bottom"/>
          </w:tcPr>
          <w:p>
            <w:pPr>
              <w:spacing w:after="0"/>
              <w:rPr>
                <w:sz w:val="17"/>
                <w:szCs w:val="17"/>
                <w:color w:val="auto"/>
              </w:rPr>
            </w:pPr>
          </w:p>
        </w:tc>
        <w:tc>
          <w:tcPr>
            <w:tcW w:w="70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TWL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4"/>
                <w:szCs w:val="14"/>
                <w:b w:val="1"/>
                <w:bCs w:val="1"/>
                <w:color w:val="auto"/>
              </w:rPr>
              <w:t>DW</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TWD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TEL</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TWJ</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TWEU</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TESL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b w:val="1"/>
                <w:bCs w:val="1"/>
                <w:color w:val="auto"/>
              </w:rPr>
              <w:t>TESBV</w:t>
            </w:r>
          </w:p>
        </w:tc>
        <w:tc>
          <w:tcPr>
            <w:tcW w:w="140" w:type="dxa"/>
            <w:vAlign w:val="bottom"/>
          </w:tcPr>
          <w:p>
            <w:pPr>
              <w:spacing w:after="0"/>
              <w:rPr>
                <w:sz w:val="17"/>
                <w:szCs w:val="17"/>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YB</w:t>
            </w:r>
          </w:p>
        </w:tc>
      </w:tr>
      <w:tr>
        <w:trPr>
          <w:trHeight w:val="26"/>
        </w:trPr>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11"/>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7"/>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6"/>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29"/>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149,497</w:t>
            </w: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40,524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74,995</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80" w:type="dxa"/>
            <w:vAlign w:val="bottom"/>
            <w:gridSpan w:val="3"/>
            <w:shd w:val="clear" w:color="auto" w:fill="CCEEFF"/>
          </w:tcPr>
          <w:p>
            <w:pPr>
              <w:jc w:val="center"/>
              <w:ind w:left="56"/>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1,974</w:t>
            </w:r>
          </w:p>
        </w:tc>
      </w:tr>
      <w:tr>
        <w:trPr>
          <w:trHeight w:val="176"/>
        </w:trPr>
        <w:tc>
          <w:tcPr>
            <w:tcW w:w="2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Regulatory Capital</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Requirement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2,639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2,852</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741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33,024</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5,358</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917</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860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1,014</w:t>
            </w:r>
          </w:p>
        </w:tc>
      </w:tr>
      <w:tr>
        <w:trPr>
          <w:trHeight w:val="248"/>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38,875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146,645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39,783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41,971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823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698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r>
        <w:trPr>
          <w:trHeight w:val="475"/>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TWL</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DW</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TWD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TEL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4"/>
          </w:tcPr>
          <w:p>
            <w:pPr>
              <w:ind w:left="40"/>
              <w:spacing w:after="0"/>
              <w:rPr>
                <w:sz w:val="20"/>
                <w:szCs w:val="20"/>
                <w:color w:val="auto"/>
              </w:rPr>
            </w:pPr>
            <w:r>
              <w:rPr>
                <w:rFonts w:ascii="Arial" w:cs="Arial" w:eastAsia="Arial" w:hAnsi="Arial"/>
                <w:sz w:val="14"/>
                <w:szCs w:val="14"/>
                <w:b w:val="1"/>
                <w:bCs w:val="1"/>
                <w:color w:val="auto"/>
              </w:rPr>
              <w:t>TWJ</w:t>
            </w:r>
          </w:p>
        </w:tc>
        <w:tc>
          <w:tcPr>
            <w:tcW w:w="200" w:type="dxa"/>
            <w:vAlign w:val="bottom"/>
          </w:tcPr>
          <w:p>
            <w:pPr>
              <w:spacing w:after="0"/>
              <w:rPr>
                <w:sz w:val="24"/>
                <w:szCs w:val="24"/>
                <w:color w:val="auto"/>
              </w:rPr>
            </w:pPr>
          </w:p>
        </w:tc>
        <w:tc>
          <w:tcPr>
            <w:tcW w:w="68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TWEU</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4"/>
          </w:tcPr>
          <w:p>
            <w:pPr>
              <w:jc w:val="center"/>
              <w:ind w:right="135"/>
              <w:spacing w:after="0"/>
              <w:rPr>
                <w:sz w:val="20"/>
                <w:szCs w:val="20"/>
                <w:color w:val="auto"/>
              </w:rPr>
            </w:pPr>
            <w:r>
              <w:rPr>
                <w:rFonts w:ascii="Arial" w:cs="Arial" w:eastAsia="Arial" w:hAnsi="Arial"/>
                <w:sz w:val="14"/>
                <w:szCs w:val="14"/>
                <w:b w:val="1"/>
                <w:bCs w:val="1"/>
                <w:color w:val="auto"/>
              </w:rPr>
              <w:t>TESL</w:t>
            </w:r>
          </w:p>
        </w:tc>
        <w:tc>
          <w:tcPr>
            <w:tcW w:w="100" w:type="dxa"/>
            <w:vAlign w:val="bottom"/>
          </w:tcPr>
          <w:p>
            <w:pPr>
              <w:spacing w:after="0"/>
              <w:rPr>
                <w:sz w:val="24"/>
                <w:szCs w:val="24"/>
                <w:color w:val="auto"/>
              </w:rPr>
            </w:pPr>
          </w:p>
        </w:tc>
        <w:tc>
          <w:tcPr>
            <w:tcW w:w="12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8"/>
              </w:rPr>
              <w:t>TESBV</w:t>
            </w:r>
          </w:p>
        </w:tc>
      </w:tr>
      <w:tr>
        <w:trPr>
          <w:trHeight w:val="26"/>
        </w:trPr>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11"/>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w w:val="99"/>
              </w:rPr>
              <w:t>(in thousands)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6"/>
        </w:trPr>
        <w:tc>
          <w:tcPr>
            <w:tcW w:w="2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41,933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131,026</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44,094</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59,904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1,677</w:t>
            </w:r>
          </w:p>
        </w:tc>
        <w:tc>
          <w:tcPr>
            <w:tcW w:w="400" w:type="dxa"/>
            <w:vAlign w:val="bottom"/>
          </w:tcPr>
          <w:p>
            <w:pPr>
              <w:spacing w:after="0"/>
              <w:rPr>
                <w:sz w:val="19"/>
                <w:szCs w:val="19"/>
                <w:color w:val="auto"/>
              </w:rPr>
            </w:pPr>
          </w:p>
        </w:tc>
      </w:tr>
      <w:tr>
        <w:trPr>
          <w:trHeight w:val="229"/>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2"/>
              </w:rPr>
              <w:t>Regulatory Capital Requirement</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3,574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32,589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801</w:t>
            </w:r>
          </w:p>
        </w:tc>
        <w:tc>
          <w:tcPr>
            <w:tcW w:w="400" w:type="dxa"/>
            <w:vAlign w:val="bottom"/>
          </w:tcPr>
          <w:p>
            <w:pPr>
              <w:spacing w:after="0"/>
              <w:rPr>
                <w:sz w:val="19"/>
                <w:szCs w:val="19"/>
                <w:color w:val="auto"/>
              </w:rPr>
            </w:pPr>
          </w:p>
        </w:tc>
      </w:tr>
      <w:tr>
        <w:trPr>
          <w:trHeight w:val="248"/>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38,264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127,452</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3"/>
            <w:shd w:val="clear" w:color="auto" w:fill="CCEEFF"/>
          </w:tcPr>
          <w:p>
            <w:pPr>
              <w:ind w:left="100"/>
              <w:spacing w:after="0"/>
              <w:rPr>
                <w:sz w:val="20"/>
                <w:szCs w:val="20"/>
                <w:color w:val="auto"/>
              </w:rPr>
            </w:pPr>
            <w:r>
              <w:rPr>
                <w:rFonts w:ascii="Arial" w:cs="Arial" w:eastAsia="Arial" w:hAnsi="Arial"/>
                <w:sz w:val="18"/>
                <w:szCs w:val="18"/>
                <w:color w:val="auto"/>
                <w:w w:val="87"/>
              </w:rPr>
              <w:t>43,319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27,315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876</w:t>
            </w:r>
          </w:p>
        </w:tc>
        <w:tc>
          <w:tcPr>
            <w:tcW w:w="400" w:type="dxa"/>
            <w:vAlign w:val="bottom"/>
          </w:tcPr>
          <w:p>
            <w:pPr>
              <w:spacing w:after="0"/>
              <w:rPr>
                <w:sz w:val="21"/>
                <w:szCs w:val="2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September 30, 2023 and December 31, 2022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September 30, 2023</w:t>
            </w:r>
          </w:p>
        </w:tc>
        <w:tc>
          <w:tcPr>
            <w:tcW w:w="380" w:type="dxa"/>
            <w:vAlign w:val="bottom"/>
          </w:tcPr>
          <w:p>
            <w:pPr>
              <w:spacing w:after="0"/>
              <w:rPr>
                <w:sz w:val="16"/>
                <w:szCs w:val="16"/>
                <w:color w:val="auto"/>
              </w:rPr>
            </w:pPr>
          </w:p>
        </w:tc>
        <w:tc>
          <w:tcPr>
            <w:tcW w:w="23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2022</w:t>
            </w:r>
          </w:p>
        </w:tc>
      </w:tr>
      <w:tr>
        <w:trPr>
          <w:trHeight w:val="25"/>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39"/>
        </w:trPr>
        <w:tc>
          <w:tcPr>
            <w:tcW w:w="3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1"/>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3980" w:type="dxa"/>
            <w:vAlign w:val="bottom"/>
          </w:tcPr>
          <w:p>
            <w:pPr>
              <w:spacing w:after="0"/>
              <w:rPr>
                <w:sz w:val="24"/>
                <w:szCs w:val="24"/>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r>
      <w:tr>
        <w:trPr>
          <w:trHeight w:val="217"/>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195,094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172,814</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577,774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551,322</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205,532</w:t>
            </w: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75,267</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63,618</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328,357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968,219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895,739</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203,619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184,305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604,580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574,720</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363,639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321,019</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5"/>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207,842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185,097</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617,463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565,540</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350,756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330,199</w:t>
            </w:r>
          </w:p>
        </w:tc>
      </w:tr>
      <w:tr>
        <w:trPr>
          <w:trHeight w:val="223"/>
        </w:trPr>
        <w:tc>
          <w:tcPr>
            <w:tcW w:w="56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328,357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968,219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5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U.S.</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4,022,318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4,044,230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50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5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4,037,503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4,057,256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October 26, 2023, the board of directors of Tradeweb Markets Inc. declared a cash dividend of $0.09 per share of Class A common stock and Class B common stock for the third quarter of 2023. This dividend will be payable on December 15, 2023 to stockholders of record as of December 1, 2023.</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26, 2023, Tradeweb Markets Inc., as the sole manager, approved a distribution by TWM LLC to its equityholders, including Tradeweb Markets Inc., in an aggregate amount of $49.9 million, as adjusted by required state and local tax withholdings that will be determined prior to the record date of December 1, 2023, payable on December 13, 2023.</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October 25, 2023, the Company entered into a master data license agreement (the “Master Data Agreement”) with Refinitiv US LLC and Refinitiv US Organization LLC (together, the “Refinitiv Parties”), which effective as of November 1, 2023 amends and restates in its entirety the Second Amended and Restated Market Data Agreement, dated November 1, 2018, by and among Tradeweb Markets and the Refinitiv Parties, as amended. Pursuant to the Master Data Agreement, on October 25, 2023, Tradeweb Markets and the Refinitiv Parties entered into separate data schedules (the “Current Data Schedules”) under which Tradeweb Markets will license certain data sets to Refinitiv US LLC and its relevant affiliates (collectively, the “Refinitiv Subscriber”) in exchange for either fixed license fees or fees payable based on a percentage of revenue generated by the Refinitiv Subscriber. As of the date hereof, Tradeweb Markets will provide the Refinitiv Subscriber with certain market data (including real time feeds) for multiple fixed income and derivatives products under a partially exclusive license pursuant to which the Refinitiv Subscriber is permitted to distribute such market data to its customers subject to the terms of the Master Data Agreement. Tradeweb Markets will also earn revenues from the Refinitiv Subscriber for servicing certain of its customers, as well as earn a share of revenue generated from the licensing of 19901 data sets to clients, which utilizes Tradeweb Markets data.</w:t>
      </w:r>
    </w:p>
    <w:p>
      <w:pPr>
        <w:spacing w:after="0" w:line="128" w:lineRule="exact"/>
        <w:rPr>
          <w:sz w:val="20"/>
          <w:szCs w:val="20"/>
          <w:color w:val="auto"/>
        </w:rPr>
      </w:pPr>
    </w:p>
    <w:p>
      <w:pPr>
        <w:ind w:right="40" w:firstLine="648"/>
        <w:spacing w:after="0" w:line="243" w:lineRule="auto"/>
        <w:rPr>
          <w:sz w:val="20"/>
          <w:szCs w:val="20"/>
          <w:color w:val="auto"/>
        </w:rPr>
      </w:pPr>
      <w:r>
        <w:rPr>
          <w:rFonts w:ascii="Arial" w:cs="Arial" w:eastAsia="Arial" w:hAnsi="Arial"/>
          <w:sz w:val="17"/>
          <w:szCs w:val="17"/>
          <w:color w:val="auto"/>
        </w:rPr>
        <w:t>The Master Data Agreement is effective as of November 1, 2023 and will continue in effect until the earlier of its termination in accordance with its terms and five years after the termination of all data schedules thereunder. The initial license and service periods under the Current Data Schedules run from November 1, 2023 through October 31, 2025 and unless otherwise agreed to by the parties, also includes the option for a twelve-month transition period following the initial period to allow for an orderly transition of the market data distribution arrangements contemplated under the applicable Current Data Schedule. The Master Data Agreement includes customary termination provisions, including termination of a data schedule in the event of a material breach of such data schedule that is not cured within 30 days of receipt of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the section titled “Item 1A. Risk Factors” in Part I of the 2022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Asia and Australia.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3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institutional client sector serves institutional investors in over 65 countries around the globe and across over 25 currencies.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Yieldbroker</w:t>
      </w:r>
    </w:p>
    <w:p>
      <w:pPr>
        <w:spacing w:after="0" w:line="18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August 31, 2023, we completed the acquisition of all of the outstanding equity interests of Yieldbroker Pty Limited (“Yieldbroker” or the “Yieldbroker Acquisition”). The all-cash purchase price of A$123.6 million ($80.1 million U.S. dollars as translated as of August 31, 2023) was net of cash acquired and prior to working capital and other closing adjustments.</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Yieldbroker is a Tier 1 Australian Markets Licensee in Australia, regulated by the Australian Securities &amp; Investments Commission (“ASIC”), that maintains a branch in Singapore which is regulated by the Monetary Authority of Singapore (“MAS”) as a Regulated Market Operator. Yieldbroker operates a leading Australian trading platform for Australian and New Zealand government bonds and interest rate derivatives covering the institutional and wholesale client sectors. This acquisition combines Australia and New Zealand’s highly attractive, fast-growing markets with Tradeweb’s international reach and scale. The one month of activity from the Yieldbroker Acquisition did not have a significant impact to our results of operations for the three months ended September 30, 2023. See Note 4 – Acquisitions to the condensed consolidated financial statements included in this Quarterly Report on Form 10-Q for additional details on this acquisition.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and Chairperson Transition</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16, 2022, we announced that Mr. Lee Olesky would retire as Chief Executive Officer (“CEO”) of the Company, effective December 31, 2022. On February 11, 2022, the board of directors elected our then-current President, Mr. Billy Hult, to succeed Mr. Olesky as CEO of the Company, effective January 1, 2023. On May 9, 2023, Mr. Olesky informed the board of directors that he would resign from his position as Chairperson and as a member of the board of directors, effective as of June 30, 2023. On May 12, 2023, the board of directors elected Jacques Aigrain to succeed Mr. Olesky as Chairperson of the board of directors.</w:t>
      </w:r>
    </w:p>
    <w:p>
      <w:pPr>
        <w:spacing w:after="0" w:line="147"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During the year ended December 31, 2022, we recorded a total of $15.0 million in accelerated stock-based compensation expenses (“CEO Retirement Accelerated Stock-Based Compensation Expense”) and related payroll that would not have been recognized if Mr. Olesky had not announced his retirement, including $2.0 million and $9.4 million recognized during the three and nine months ended September 30, 2022, respectively. There was no CEO Retirement Accelerated Stock-Based Compensation Expense recorded during the three and nine months ended September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85"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2023 include, among other things, evolving monetary policies of central banks, economic, political and social conditions, legislative, regulatory or government policy changes and concerns with respect to the banking industry, including as a result of any bank failures.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 to result in rising interest rates and have other adverse effects on the securities markets and the overall economy, they may adversely affect our results of operations and financial condition.</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9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U.S. and global issues and priorities. The impact of any changes in the legal or regulatory landscape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3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The 1% excise tax did not have a material impact to our financial condition, results of operations and cash flows as of and for the three and nine months ended September 30, 2023. The Company will continue to evaluate the impact of the 15% corporate minimum tax on subsequent periods. The adoption of the IRA will not have an impact to our non-GAAP adjusted effective tax rate used for purposes of calculating our non-GAAP measure of Adjusted Net Income.</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by January 1, 2024. The Company may be subject to the provisions of the Two Pillar Plan, and related tax impacts per local country adoption, as it is a consolidating subsidiary of LSEG. The Company will continue to monitor and evaluate the impact of the Two Pillar Plan on future periods as further information becomes available.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derived primarily from transaction fees, commissions, subscription fees and market data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6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3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 purposes of our discussion of our results of operations, we include Refinitiv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185"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Occupancy expense consists of operating lease rent and related costs for office space and data centers leased in North America, Europe, Asia and Australia.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Liability Adjustment</w:t>
      </w:r>
    </w:p>
    <w:p>
      <w:pPr>
        <w:spacing w:after="0" w:line="18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each of the three and nine months ended September 30, 2023 and 2022.</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income (loss), net consists of any income or loss earned from investments, any mark-to-market adjustments or impairments recorded on investments, unrealized and realized gain/loss on foreign exchange derivative contracts entered into for foreign exchange risk management purposes relating to investing activities and any other non-operating items.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Continuing LLC Owners owned the remaining 35.7% of TWM LLC. As of September 30, 2023, we owned 90.2% of TWM LLC and Continuing LLC Owners owned the remaining 9.8% of TWM LLC.</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2023 and Three Months Ended September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September 30, 2023 and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17,465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411.7 %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140,296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106,223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34,073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30,064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98,614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42.7 %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three months ended September 30, 2023 and 2022, and the resulting dollar and percentage changes,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520" w:type="dxa"/>
            <w:vAlign w:val="bottom"/>
          </w:tcPr>
          <w:p>
            <w:pPr>
              <w:spacing w:after="0"/>
              <w:rPr>
                <w:sz w:val="13"/>
                <w:szCs w:val="13"/>
                <w:color w:val="auto"/>
              </w:rPr>
            </w:pPr>
          </w:p>
        </w:tc>
        <w:tc>
          <w:tcPr>
            <w:tcW w:w="7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263,485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80.2 %</w:t>
            </w:r>
          </w:p>
        </w:tc>
        <w:tc>
          <w:tcPr>
            <w:tcW w:w="8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228,015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79.4 %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35,470</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61,821</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56,712</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3,051</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2,388</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328,357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287,115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Subscription fees for the three months ended September 30, 2023 and 2022 include $15.5 million and $15.4 million respectively, of Refinitiv market data fees.</w:t>
      </w:r>
    </w:p>
    <w:p>
      <w:pPr>
        <w:spacing w:after="0" w:line="21" w:lineRule="exact"/>
        <w:rPr>
          <w:rFonts w:ascii="Arial" w:cs="Arial" w:eastAsia="Arial" w:hAnsi="Arial"/>
          <w:sz w:val="14"/>
          <w:szCs w:val="14"/>
          <w:color w:val="auto"/>
        </w:rPr>
      </w:pPr>
    </w:p>
    <w:p>
      <w:pPr>
        <w:ind w:left="340" w:right="300" w:hanging="332"/>
        <w:spacing w:after="0" w:line="295" w:lineRule="auto"/>
        <w:tabs>
          <w:tab w:leader="none" w:pos="332"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general, revenues for the three months ended September 30, 2023 continued to be impacted by a challenging macroeconomic backdrop, including rising interest rates, sustained broader market rate volatility and an inverted yield curve that impacted duration traded and overall fees per million. The primary driver of the $41.2 million increase in revenue was related to an $35.5 million increase in transaction fees and commissions to $263.5 million for the three months ended September 30, 2023 from $228.0 million for the three months ended September 30, 2022, primarily due to higher revenues for rate derivatives products, U.S. and European corporate bonds and U.S. and European government bonds.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three months ended September 30, 2023 and 2022, and the resulting dollar and percentage changes,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172,832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148,167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22,956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328,357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September 30, 2023 and 2022,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114,128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58,704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93,673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54,494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1580" w:type="dxa"/>
            <w:vAlign w:val="bottom"/>
            <w:gridSpan w:val="3"/>
          </w:tcPr>
          <w:p>
            <w:pPr>
              <w:ind w:left="680"/>
              <w:spacing w:after="0"/>
              <w:rPr>
                <w:sz w:val="20"/>
                <w:szCs w:val="20"/>
                <w:color w:val="auto"/>
              </w:rPr>
            </w:pPr>
            <w:r>
              <w:rPr>
                <w:rFonts w:ascii="Arial" w:cs="Arial" w:eastAsia="Arial" w:hAnsi="Arial"/>
                <w:sz w:val="18"/>
                <w:szCs w:val="18"/>
                <w:color w:val="auto"/>
              </w:rPr>
              <w:t>N/M</w:t>
            </w:r>
          </w:p>
        </w:tc>
        <w:tc>
          <w:tcPr>
            <w:tcW w:w="800" w:type="dxa"/>
            <w:vAlign w:val="bottom"/>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101,630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94,242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September 30, 2023 and 2022, and the resulting percentage changes,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center"/>
              <w:ind w:left="55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2023</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4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080" w:type="dxa"/>
            <w:vAlign w:val="bottom"/>
          </w:tcPr>
          <w:p>
            <w:pPr>
              <w:jc w:val="right"/>
              <w:ind w:right="351"/>
              <w:spacing w:after="0"/>
              <w:rPr>
                <w:sz w:val="20"/>
                <w:szCs w:val="20"/>
                <w:color w:val="auto"/>
              </w:rPr>
            </w:pPr>
            <w:r>
              <w:rPr>
                <w:rFonts w:ascii="Arial" w:cs="Arial" w:eastAsia="Arial" w:hAnsi="Arial"/>
                <w:sz w:val="14"/>
                <w:szCs w:val="14"/>
                <w:b w:val="1"/>
                <w:bCs w:val="1"/>
                <w:color w:val="auto"/>
              </w:rPr>
              <w:t>Volume</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853,316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54,264,525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652,804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41,932,450</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30.7 %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361,432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22,842,103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20,774,062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31,422,422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21,158,388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326,175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20,799,345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203,038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13,066,309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10,623,077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8,092,079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1,906,796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1,887,479</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457,163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360,559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Credit Derivatives, China Bonds and U.S. Cash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“EP”</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1,449,634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1,526,920</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1,197,947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1,015,143</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19.7 %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601,332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565,934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449,209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522,075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33,065,896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400,726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25,721,492</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30.3 %</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23"/>
                <w:szCs w:val="23"/>
                <w:b w:val="1"/>
                <w:bCs w:val="1"/>
                <w:color w:val="auto"/>
                <w:vertAlign w:val="superscript"/>
              </w:rPr>
              <w:t>(4)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1,424,256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90,435,165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1,098,663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70,556,565</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29.6 %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b w:val="1"/>
                <w:bCs w:val="1"/>
                <w:color w:val="auto"/>
              </w:rPr>
              <w:t>29.3 %</w:t>
            </w:r>
          </w:p>
        </w:tc>
        <w:tc>
          <w:tcPr>
            <w:tcW w:w="0" w:type="dxa"/>
            <w:vAlign w:val="bottom"/>
          </w:tcPr>
          <w:p>
            <w:pPr>
              <w:spacing w:after="0" w:line="20" w:lineRule="exact"/>
              <w:rPr>
                <w:sz w:val="1"/>
                <w:szCs w:val="1"/>
                <w:color w:val="auto"/>
              </w:rPr>
            </w:pPr>
          </w:p>
        </w:tc>
      </w:tr>
      <w:tr>
        <w:trPr>
          <w:trHeight w:val="272"/>
        </w:trPr>
        <w:tc>
          <w:tcPr>
            <w:tcW w:w="408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1,258,547</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79,812,088</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973,066</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62,464,486</w:t>
            </w:r>
          </w:p>
        </w:tc>
        <w:tc>
          <w:tcPr>
            <w:tcW w:w="15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4" w:lineRule="exact"/>
        <w:rPr>
          <w:rFonts w:ascii="Arial" w:cs="Arial" w:eastAsia="Arial" w:hAnsi="Arial"/>
          <w:sz w:val="14"/>
          <w:szCs w:val="14"/>
          <w:color w:val="auto"/>
        </w:rPr>
      </w:pPr>
    </w:p>
    <w:p>
      <w:pPr>
        <w:ind w:left="340" w:right="220" w:hanging="332"/>
        <w:spacing w:after="0" w:line="26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totals for all periods presented.</w:t>
      </w:r>
    </w:p>
    <w:p>
      <w:pPr>
        <w:spacing w:after="0" w:line="14" w:lineRule="exact"/>
        <w:rPr>
          <w:rFonts w:ascii="Arial" w:cs="Arial" w:eastAsia="Arial" w:hAnsi="Arial"/>
          <w:sz w:val="14"/>
          <w:szCs w:val="14"/>
          <w:color w:val="auto"/>
        </w:rPr>
      </w:pPr>
    </w:p>
    <w:p>
      <w:pPr>
        <w:ind w:left="340" w:right="60" w:hanging="332"/>
        <w:spacing w:after="0" w:line="263"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volume across Rates (Cash and Derivatives), Credit and Money Markets include Australia and New Zealand estimated volumes from the Yieldbroker business that Tradeweb acquired on August 31, 2023.</w:t>
      </w:r>
    </w:p>
    <w:p>
      <w:pPr>
        <w:spacing w:after="0" w:line="15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September 30, 2023 and 2022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5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center"/>
              <w:ind w:left="511"/>
              <w:spacing w:after="0"/>
              <w:rPr>
                <w:sz w:val="20"/>
                <w:szCs w:val="20"/>
                <w:color w:val="auto"/>
              </w:rPr>
            </w:pPr>
            <w:r>
              <w:rPr>
                <w:rFonts w:ascii="Arial" w:cs="Arial" w:eastAsia="Arial" w:hAnsi="Arial"/>
                <w:sz w:val="18"/>
                <w:szCs w:val="18"/>
                <w:b w:val="1"/>
                <w:bCs w:val="1"/>
                <w:color w:val="auto"/>
                <w:w w:val="93"/>
              </w:rPr>
              <w:t>(0.13)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Rates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551"/>
              <w:spacing w:after="0"/>
              <w:rPr>
                <w:sz w:val="20"/>
                <w:szCs w:val="20"/>
                <w:color w:val="auto"/>
              </w:rPr>
            </w:pPr>
            <w:r>
              <w:rPr>
                <w:rFonts w:ascii="Arial" w:cs="Arial" w:eastAsia="Arial" w:hAnsi="Arial"/>
                <w:sz w:val="18"/>
                <w:szCs w:val="18"/>
                <w:color w:val="auto"/>
                <w:w w:val="91"/>
              </w:rPr>
              <w:t>0.19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w w:val="93"/>
              </w:rPr>
              <w:t>(0.37)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Rates Derivatives (greater than 1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511"/>
              <w:spacing w:after="0"/>
              <w:rPr>
                <w:sz w:val="20"/>
                <w:szCs w:val="20"/>
                <w:color w:val="auto"/>
              </w:rPr>
            </w:pPr>
            <w:r>
              <w:rPr>
                <w:rFonts w:ascii="Arial" w:cs="Arial" w:eastAsia="Arial" w:hAnsi="Arial"/>
                <w:sz w:val="18"/>
                <w:szCs w:val="18"/>
                <w:color w:val="auto"/>
                <w:w w:val="93"/>
              </w:rPr>
              <w:t>(0.74)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w w:val="93"/>
              </w:rPr>
              <w:t>(0.05)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center"/>
              <w:ind w:left="551"/>
              <w:spacing w:after="0"/>
              <w:rPr>
                <w:sz w:val="20"/>
                <w:szCs w:val="20"/>
                <w:color w:val="auto"/>
              </w:rPr>
            </w:pPr>
            <w:r>
              <w:rPr>
                <w:rFonts w:ascii="Arial" w:cs="Arial" w:eastAsia="Arial" w:hAnsi="Arial"/>
                <w:sz w:val="18"/>
                <w:szCs w:val="18"/>
                <w:b w:val="1"/>
                <w:bCs w:val="1"/>
                <w:color w:val="auto"/>
                <w:w w:val="91"/>
              </w:rPr>
              <w:t>5.23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162.20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168.74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511"/>
              <w:spacing w:after="0"/>
              <w:rPr>
                <w:sz w:val="20"/>
                <w:szCs w:val="20"/>
                <w:color w:val="auto"/>
              </w:rPr>
            </w:pPr>
            <w:r>
              <w:rPr>
                <w:rFonts w:ascii="Arial" w:cs="Arial" w:eastAsia="Arial" w:hAnsi="Arial"/>
                <w:sz w:val="18"/>
                <w:szCs w:val="18"/>
                <w:color w:val="auto"/>
                <w:w w:val="93"/>
              </w:rPr>
              <w:t>(6.54)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w w:val="93"/>
              </w:rPr>
              <w:t>(1.37)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center"/>
              <w:ind w:left="511"/>
              <w:spacing w:after="0"/>
              <w:rPr>
                <w:sz w:val="20"/>
                <w:szCs w:val="20"/>
                <w:color w:val="auto"/>
              </w:rPr>
            </w:pPr>
            <w:r>
              <w:rPr>
                <w:rFonts w:ascii="Arial" w:cs="Arial" w:eastAsia="Arial" w:hAnsi="Arial"/>
                <w:sz w:val="18"/>
                <w:szCs w:val="18"/>
                <w:b w:val="1"/>
                <w:bCs w:val="1"/>
                <w:color w:val="auto"/>
                <w:w w:val="93"/>
              </w:rPr>
              <w:t>(3.19)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Equities 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ind w:left="511"/>
              <w:spacing w:after="0"/>
              <w:rPr>
                <w:sz w:val="20"/>
                <w:szCs w:val="20"/>
                <w:color w:val="auto"/>
              </w:rPr>
            </w:pPr>
            <w:r>
              <w:rPr>
                <w:rFonts w:ascii="Arial" w:cs="Arial" w:eastAsia="Arial" w:hAnsi="Arial"/>
                <w:sz w:val="18"/>
                <w:szCs w:val="18"/>
                <w:color w:val="auto"/>
                <w:w w:val="93"/>
              </w:rPr>
              <w:t>(3.91)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91"/>
              </w:rPr>
              <w:t>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center"/>
              <w:ind w:left="551"/>
              <w:spacing w:after="0"/>
              <w:rPr>
                <w:sz w:val="20"/>
                <w:szCs w:val="20"/>
                <w:color w:val="auto"/>
              </w:rPr>
            </w:pPr>
            <w:r>
              <w:rPr>
                <w:rFonts w:ascii="Arial" w:cs="Arial" w:eastAsia="Arial" w:hAnsi="Arial"/>
                <w:sz w:val="18"/>
                <w:szCs w:val="18"/>
                <w:b w:val="1"/>
                <w:bCs w:val="1"/>
                <w:color w:val="auto"/>
                <w:w w:val="91"/>
              </w:rPr>
              <w:t>0.02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center"/>
              <w:ind w:left="511"/>
              <w:spacing w:after="0"/>
              <w:rPr>
                <w:sz w:val="20"/>
                <w:szCs w:val="20"/>
                <w:color w:val="auto"/>
              </w:rPr>
            </w:pPr>
            <w:r>
              <w:rPr>
                <w:rFonts w:ascii="Arial" w:cs="Arial" w:eastAsia="Arial" w:hAnsi="Arial"/>
                <w:sz w:val="18"/>
                <w:szCs w:val="18"/>
                <w:b w:val="1"/>
                <w:bCs w:val="1"/>
                <w:color w:val="auto"/>
                <w:w w:val="93"/>
              </w:rPr>
              <w:t>(0.22)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center"/>
              <w:ind w:left="511"/>
              <w:spacing w:after="0"/>
              <w:rPr>
                <w:sz w:val="20"/>
                <w:szCs w:val="20"/>
                <w:color w:val="auto"/>
              </w:rPr>
            </w:pPr>
            <w:r>
              <w:rPr>
                <w:rFonts w:ascii="Arial" w:cs="Arial" w:eastAsia="Arial" w:hAnsi="Arial"/>
                <w:sz w:val="18"/>
                <w:szCs w:val="18"/>
                <w:b w:val="1"/>
                <w:bCs w:val="1"/>
                <w:color w:val="auto"/>
                <w:w w:val="93"/>
              </w:rPr>
              <w:t>(0.24)</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4" w:lineRule="exact"/>
        <w:rPr>
          <w:rFonts w:ascii="Arial" w:cs="Arial" w:eastAsia="Arial" w:hAnsi="Arial"/>
          <w:sz w:val="14"/>
          <w:szCs w:val="14"/>
          <w:color w:val="auto"/>
        </w:rPr>
      </w:pPr>
    </w:p>
    <w:p>
      <w:pPr>
        <w:ind w:left="340" w:right="220" w:hanging="332"/>
        <w:spacing w:after="0" w:line="255"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$24.7 million or 16.6% to $172.8 million for the three months ended September 30, 2023 compared to $148.2 million for the three months ended September 30, 2022 primarily due to higher variable transaction fees and commissions on higher trading volumes for rates derivatives products, U.S. and European government bonds, mortgages and an increase in fixed subscription fees. The fixed subscription fee increase was primarily driven by the addition of new dealers and customers to the rates platform, as well as pricing increases on some of the rates subscription services.</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Average variable fees per million for rates decreased primarily due to a decrease in average variable fees per million for rates derivatives driven primarily by shifts in the mix and duration of derivative products traded. This decrease was partially offset by an increase in average variable fees per million for rates cash products primarily due to shifts in the mix of trading towards U.S. government bonds, which have a higher variable fee capture compared to overall rates.</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$12.0 million or 15.3% to $90.1 million for the three months ended September 30, 2023 compared to $78.1 million for the three months ended September 30, 2022 primarily due to higher variable transaction fees and commissions on higher trading volumes for U.S. and European corporate bonds, partially offset by lower variable transaction fees and commissions on lower trading volumes for credit derivatives products.</w:t>
      </w:r>
    </w:p>
    <w:p>
      <w:pPr>
        <w:spacing w:after="0" w:line="16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Average variable fees per million for credit increased primarily due to a shift in the mix of products traded from derivative and electronically processed U.S. corporate bonds to cash credit products, which have a higher variable fee capture compared to overall credit</w:t>
      </w:r>
      <w:r>
        <w:rPr>
          <w:rFonts w:ascii="Arial" w:cs="Arial" w:eastAsia="Arial" w:hAnsi="Arial"/>
          <w:sz w:val="17"/>
          <w:szCs w:val="17"/>
          <w:b w:val="1"/>
          <w:bCs w:val="1"/>
          <w:color w:val="auto"/>
        </w:rPr>
        <w:t>.</w:t>
      </w:r>
    </w:p>
    <w:p>
      <w:pPr>
        <w:spacing w:after="0" w:line="106"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u w:val="single" w:color="auto"/>
          <w:color w:val="auto"/>
        </w:rPr>
        <w:t>Equities</w:t>
      </w:r>
      <w:r>
        <w:rPr>
          <w:rFonts w:ascii="Arial" w:cs="Arial" w:eastAsia="Arial" w:hAnsi="Arial"/>
          <w:sz w:val="17"/>
          <w:szCs w:val="17"/>
          <w:color w:val="auto"/>
        </w:rPr>
        <w:t>. Revenues from our equities asset class decreased by $0.4 million or 1.8% to $20.9 million for the three months ended September 30, 2023 compared to $21.3 million for the three months ended September 30, 2022 as the higher variable transaction fees and commissions on higher trading volumes for equity derivatives products was more than offset by a decline in revenue for U.S. and European ETFs.</w:t>
      </w:r>
    </w:p>
    <w:p>
      <w:pPr>
        <w:spacing w:after="0" w:line="1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Average variable fees per million for equities decreased primarily due to a shift in the mix of products and size of units traded, including higher volume per unit traded in ETFs and higher volumes in equity derivatives.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$2.8 million or 21.5% to $15.8 million for the three months ended September 30, 2023 compared to $13.0 million for the three months ended September 30, 2022 primarily due to higher variable transaction fees and commissions for certificates of deposit and repurchase agreements.</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Average variable fees per million for money markets increased primarily due to higher growth of U.S. certificates of deposit which have a higher variable fee capture compared to overall money markets.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$1.7 million or 8.2% to $23.0 million for the three months ended September 30, 2023 compared to $21.2 million for the three months ended September 30, 2022. The increase was derived primarily from increased proprietary third party market data and trade reporting services (APA) revenue.</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increased of $0.5 million or 8.8% to $5.9 million for the three months ended September 30, 2023 compared to $5.4 million for the three months ended September 30, 2022. The increase was derived primarily from increased software development and implementation revenue on behalf of certain clients.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three months ended September 30, 2023 and 2022,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195,094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172,814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328,357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u w:val="single" w:color="auto"/>
          <w:color w:val="auto"/>
        </w:rPr>
        <w:t>Institutional</w:t>
      </w:r>
      <w:r>
        <w:rPr>
          <w:rFonts w:ascii="Arial" w:cs="Arial" w:eastAsia="Arial" w:hAnsi="Arial"/>
          <w:sz w:val="16"/>
          <w:szCs w:val="16"/>
          <w:color w:val="auto"/>
        </w:rPr>
        <w:t>. Revenues from our institutional client sector increased by $22.3 million or 12.9% to $195.1 million for the three months ended September 30, 2023 from $172.8 million for the three months ended September 30, 2022. The increase was derived primarily from higher revenues for rates derivatives products, U.S. corporate bonds and U.S. and European government bonds, partially offset by lower revenues for credit derivatives products.</w:t>
      </w:r>
    </w:p>
    <w:p>
      <w:pPr>
        <w:spacing w:after="0" w:line="1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$13.4 million or 20.7% to $78.0 million for the three months ended September 30, 2023 from $64.6 million for the three months ended September 30, 2022. The increase was derived primarily from higher revenues for European and U.S. corporate bonds and U.S. government bonds.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Retail</w:t>
      </w:r>
      <w:r>
        <w:rPr>
          <w:rFonts w:ascii="Arial" w:cs="Arial" w:eastAsia="Arial" w:hAnsi="Arial"/>
          <w:sz w:val="16"/>
          <w:szCs w:val="16"/>
          <w:color w:val="auto"/>
        </w:rPr>
        <w:t>. Revenues from our retail client sector increased by $3.8 million or 13.5% to $32.3 million for the three months ended September 30, 2023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$28.5 million for the three months ended September 30, 2022. The increase was derived primarily from higher revenues for certificates of deposits and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government bonds.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$1.7 million or 8.2% to $23.0 million for the three months ended September 30, 2023 from $21.2 million for the three months ended September 30, 2022. The increase was derived primarily from increased proprietary third party market data and trade reporting services (APA) revenue.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client base are also diversified by geography. Our total revenue by geography (based on client location)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and the resulting dollar and percentage changes,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207,842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185,097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22,745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328,357</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$22.7 million or 12.3% to $207.8 million for the three months ended September 30, 2023 from $185.1 million for the three months ended September 30, 2022 primarily due to higher revenues for U.S. corporate bonds, U.S. government bonds, rates derivatives products and certificates of deposit.</w:t>
      </w:r>
    </w:p>
    <w:p>
      <w:pPr>
        <w:spacing w:after="0" w:line="15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$18.5 million or 18.1% to $120.5 million for the three months ended September 30, 2023 from $102.0 million for the three months ended September 30, 2022 primarily due to higher revenues for rates derivatives products, European corporate bonds, European government bonds and market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three months ended September 30, 2023 and 2022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Employee Compensation and Benefits</w:t>
      </w:r>
      <w:r>
        <w:rPr>
          <w:rFonts w:ascii="Arial" w:cs="Arial" w:eastAsia="Arial" w:hAnsi="Arial"/>
          <w:sz w:val="18"/>
          <w:szCs w:val="18"/>
          <w:color w:val="auto"/>
        </w:rPr>
        <w:t>. Expenses related to employee compensation and benefits increased by $13.3 million or 12.9% to $116.0 million for the three months ended September 30, 2023 from $102.7 million for the three months ended September 30, 2022. The increase was primarily due to an increase in headcount and related salaries and benefits as well as increases in incentive compensation expense and commissions tied to our operating performance, partially offset by a $2.0 million decrease in non-cash accelerated stock-based compensation expense and related payroll taxes relating to the CEO Retirement Accelerated Stock-Based Compensation Expense. See “— Trends and Other Factors Impacting Our Performance — CEO and Chairperson Transition” for further details.</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Expenses related to depreciation and amortization increased by $1.8 million or 4.0% to $46.6 million for the three months ended September 30, 2023 from $44.8 million for the three months ended September 30, 2022. The increase was primarily due to increases in amortization of software development costs driven by increases in investment in our infrastructure and expense relating to the assets acquired in connection with the August 31, 2023 Yieldbroker Acquisition.</w:t>
      </w:r>
    </w:p>
    <w:p>
      <w:pPr>
        <w:spacing w:after="0" w:line="14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$2.9 million or 17.3% to $19.7 million for the three months ended September 30, 2023 from $16.8 million for the three months ended September 30, 2022. The increase was primarily due to increased investment in our data strategy and infrastructure and increased data and clearance fees driven primarily by higher period-over-period trading volumes.</w:t>
      </w:r>
    </w:p>
    <w:p>
      <w:pPr>
        <w:spacing w:after="0" w:line="1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Expenses related to general and administrative costs remained relatively flat with a decrease of $0.2 million or 2.8% to $6.7 million for the three months ended September 30, 2023 from $6.9 million for the three months ended September 30, 2022. The decrease was primarily the result of decreases in recruiting and travel and entertainment expenses and various sales and use tax refunds and rebates received during the three months ended September 30, 2023. These decreases were partially offset by $1.2 million in acquisition costs and a $1.5 million decrease in foreign exchange gains during the three months ended September 30, 2023. Realized and unrealized foreign currency gains totaled $4.6 million during the three months ended September 30, 2023 as compared to $6.2 million in gains during three months ended September 30, 2022. The change was primarily driven by changes in fair value of our foreign currency forward contracts used in connection with our foreign currency risk management program.</w:t>
      </w:r>
    </w:p>
    <w:p>
      <w:pPr>
        <w:spacing w:after="0" w:line="12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Expenses related to professional fees increased by $1.1 million or 11.5% to $10.5 million for the three months ended September 30, 2023 from $9.4 million for the three months ended September 30, 2022. The increase was primarily due to increased legal and other costs related to acquisitions.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increased by $0.4 million or 11.7% to $4.1 million for the three months ended September 30, 2023 from $3.7 million for the three months ended September 30, 2022. The increase was primarily due to higher data center rent expense primarily driven by the completion of the NFI Acquisition technology integration during the three months ended March 31, 2023 and the relocation of data centers to locations providing enhanced infrastructure and improved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Net interest income increased by $14.1 million to net interest income of $17.5 million for the three months ended September 30, 2023 from net interest income of $3.4 million for the three months ended September 30, 2022 primarily due to an increase in interest income earned as a result of an increase in our average invested cash balance and an increase in interest rates period over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Net</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September 30, 2023, we recognized a net other loss of $1.9 million as we unwound the out-of-the-money foreign currency call option entered into in order to partially mitigate the foreign currency exposure relating to the payment of the purchase price for the Yieldbroker Acquisition. See Note 4 – Acquisitions to our unaudited condensed consolidated financial statements included elsewhere in this Quarterly Report on Form 10-Q for further details.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Income tax expense increased by $4.0 million to $28.7 million for the three months ended September 30, 2023 from $24.7 million for the three months ended September 30, 2022. The provision for income taxes includes U.S. federal, state, local and foreign taxes. The effective tax rate for the three months ended September 30, 2023 was approximately 20.4%, compared with 23.2% for the three months ended September 30, 2022. The effective tax rate for the three months ended September 30, 2023 differed from the U.S. federal statutory rate of 21.0% primarily due to the return-to-provision adjustment and the effect of non-controlling interests, partially offset by the effect of state, local and foreign taxes. The effective tax rate for the three months ended September 30, 2022 differed from the U.S. federal statutory rate of 21.0% primarily due to the effect of state, local and foreign taxes and the return-to-provision adjustments, partially offset by the effect of non-controlling interests and the tax impact of the issuance of common stock from equity incentive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2023 and Nine Months Ended September 30,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nine months ended September 30, 2023 and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968,219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45,065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41,558</w:t>
            </w:r>
          </w:p>
        </w:tc>
        <w:tc>
          <w:tcPr>
            <w:tcW w:w="80" w:type="dxa"/>
            <w:vAlign w:val="bottom"/>
          </w:tcPr>
          <w:p>
            <w:pPr>
              <w:spacing w:after="0"/>
              <w:rPr>
                <w:sz w:val="23"/>
                <w:szCs w:val="23"/>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406,682</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324,526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82,156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315,762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55,151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220,392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nine months ended September 30, 2023 and 2022,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600" w:type="dxa"/>
            <w:vAlign w:val="bottom"/>
          </w:tcPr>
          <w:p>
            <w:pPr>
              <w:spacing w:after="0"/>
              <w:rPr>
                <w:sz w:val="13"/>
                <w:szCs w:val="13"/>
                <w:color w:val="auto"/>
              </w:rPr>
            </w:pPr>
          </w:p>
        </w:tc>
        <w:tc>
          <w:tcPr>
            <w:tcW w:w="6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6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776,544</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80.2 %</w:t>
            </w:r>
          </w:p>
        </w:tc>
        <w:tc>
          <w:tcPr>
            <w:tcW w:w="8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717,489</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80.1 %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59,055</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182,998</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170,691</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8,677</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7,559</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895,739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Subscription fees for the nine months ended September 30, 2023 and 2022 include $46.5 million and $46.4 million respectively, of Refinitiv market data fees.</w:t>
      </w:r>
    </w:p>
    <w:p>
      <w:pPr>
        <w:spacing w:after="0" w:line="13" w:lineRule="exact"/>
        <w:rPr>
          <w:rFonts w:ascii="Arial" w:cs="Arial" w:eastAsia="Arial" w:hAnsi="Arial"/>
          <w:sz w:val="14"/>
          <w:szCs w:val="14"/>
          <w:color w:val="auto"/>
        </w:rPr>
      </w:pPr>
    </w:p>
    <w:p>
      <w:pPr>
        <w:ind w:left="340" w:right="300" w:hanging="332"/>
        <w:spacing w:after="0" w:line="292" w:lineRule="auto"/>
        <w:tabs>
          <w:tab w:leader="none" w:pos="332"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driver of the $72.5 million increase in revenue related to a $59.1 million increase in transaction fees and commissions to $776.5 million for the nine months ended September 30, 2023 from $717.5 million for the nine months ended September 30, 2022, primarily due to higher revenues for U.S. corporate bonds, U.S. government bonds, rates derivative products, certificates of deposit, European corporate bonds and European government bonds, partially offset by lower revenues for credit derivatives products and European ETFs.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nine months ended September 30, 2023 and 2022, and the resulting dollar and percentage changes,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503,691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460,092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43,599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69,239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68,166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968,219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variable and fixed revenues by asset class for the nine months ended September 30, 2023 and 2022,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329,884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173,807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293,396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166,696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9"/>
                <w:szCs w:val="19"/>
                <w:color w:val="auto"/>
              </w:rPr>
            </w:pPr>
          </w:p>
        </w:tc>
        <w:tc>
          <w:tcPr>
            <w:tcW w:w="1580" w:type="dxa"/>
            <w:vAlign w:val="bottom"/>
            <w:gridSpan w:val="3"/>
          </w:tcPr>
          <w:p>
            <w:pPr>
              <w:ind w:left="800"/>
              <w:spacing w:after="0"/>
              <w:rPr>
                <w:sz w:val="20"/>
                <w:szCs w:val="20"/>
                <w:color w:val="auto"/>
              </w:rPr>
            </w:pPr>
            <w:r>
              <w:rPr>
                <w:rFonts w:ascii="Arial" w:cs="Arial" w:eastAsia="Arial" w:hAnsi="Arial"/>
                <w:sz w:val="18"/>
                <w:szCs w:val="18"/>
                <w:color w:val="auto"/>
              </w:rPr>
              <w:t>N/M</w:t>
            </w:r>
          </w:p>
        </w:tc>
        <w:tc>
          <w:tcPr>
            <w:tcW w:w="80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667,938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300,281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609,233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286,506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by asset class are summarized as follows:</w:t>
      </w:r>
    </w:p>
    <w:p>
      <w:pPr>
        <w:spacing w:after="0" w:line="19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u w:val="single" w:color="auto"/>
          <w:color w:val="auto"/>
        </w:rPr>
        <w:t>Rates</w:t>
      </w:r>
      <w:r>
        <w:rPr>
          <w:rFonts w:ascii="Arial" w:cs="Arial" w:eastAsia="Arial" w:hAnsi="Arial"/>
          <w:sz w:val="17"/>
          <w:szCs w:val="17"/>
          <w:color w:val="auto"/>
        </w:rPr>
        <w:t>. Revenues from our rates asset class increased by $43.6 million or 9.5% to $503.7 million for the nine months ended September 30, 2023 compared to $460.1 million for the nine months ended September 30, 2022 primarily due to variable transaction fees and commissions on higher trading volumes for U.S. government bonds, rates derivatives products and European government bonds and an increase in fixed subscription fees.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$14.7 million or 5.9% to $263.1 million for the nine months ended September 30, 2023 compared to $248.4 million for the nine months ended September 30, 2022 primarily due to higher variable transaction fees and commissions on higher trading volumes for U.S. and European corporate bonds, partially offset by lower variable transaction fees and commissions on lower trading volumes for credit derivatives products.</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decreased by $1.2 million or 1.7% to $69.2 million for the nine months ended September 30, 2023 compared to $70.5 million for the nine months ended September 30, 2022 primarily due to lower variable transaction fees and commissions on lower trading volumes for European ETFs, partially offset by higher variable transaction fees and commissions on higher trading volumes for equity derivatives products.</w:t>
      </w:r>
    </w:p>
    <w:p>
      <w:pPr>
        <w:spacing w:after="0" w:line="16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$9.7 million or 26.6% to $46.4 million for the nine months ended September 30, 2023 compared to $36.7 million for the nine months ended September 30, 2022 primarily due to higher variable transaction fees and commissions for certificates of deposit and repurchase agreements.</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$4.5 million or 7.1% to $68.2 million for the nine months ended September 30, 2023 compared to $63.6 million for the nine months ended September 30, 2022. The increase was derived primarily from increased proprietary third party market data and trade reporting services (APA) revenue.</w:t>
      </w:r>
    </w:p>
    <w:p>
      <w:pPr>
        <w:spacing w:after="0" w:line="14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increased by $1.1 million or 6.7%, to $17.6 million for the nine months ended September 30, 2023 compared to $16.5 million for the nine months ended September 30, 2022. The increase was driven primarily by an increase in revenue from software development and implementation projects performed on behalf of certain clients.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nine months ended September 30, 2023 and 2022,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577,774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551,322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26,452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227,404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94,875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968,219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$26.5 million or 4.8% to $577.8 million for the nine months ended September 30, 2023 from $551.3 million for the nine months ended September 30, 2022. The increase was derived primarily from higher revenues for rates derivatives products, U.S. corporate bonds and U.S. and European government bonds, partially offset by lower revenues for credit derivatives products and European ETFs.</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$21.9 million or 10.6% to $227.4 million for the nine months ended September 30, 2023 from $205.5 million for the nine months ended September 30, 2022. The increase was derived primarily from higher revenues for European and U.S. corporate bonds and U.S. government bonds.</w:t>
      </w:r>
    </w:p>
    <w:p>
      <w:pPr>
        <w:spacing w:after="0" w:line="143"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$19.6 million or 26.1% to $94.9 million for the nine months ended September 30, 2023 from $75.3 million for the nine months ended September 30, 2022. The increase was derived primarily from higher revenues for certificates of deposit, U.S. government bonds and U.S. corporate bonds.</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$4.5 million or 7.1% to $68.2 million for the nine months ended September 30, 2023 from $63.6 million for the nine months ended September 30, 2022. The increase was derived primarily from increased proprietary third party market data and trade reporting services (APA) revenue.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Our revenues and client base are also diversified by geography. Our total revenue by geography (based on client location)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617,463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565,540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51,923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350,756</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968,219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$51.9 million or 9.2% to $617.5 million for the nine months ended September 30, 2023 from $565.5 million for the nine months ended September 30, 2022 primarily due to higher revenues for U.S. corporate bonds, U.S. government bonds and certificates of deposit.</w:t>
      </w:r>
    </w:p>
    <w:p>
      <w:pPr>
        <w:spacing w:after="0" w:line="157"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$20.6 million or 6.2% to $350.8 million for the nine months ended September 30, 2023 from $330.2 million for the nine months ended September 30, 2022 primarily due to higher revenues for rates derivatives products, European government bonds, European corporate bonds and market data, partially offset by lower revenues for credit derivatives products and European ETFs.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nine months ended September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137,850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Expenses related to employee compensation and benefits increased by $3.8 million or 1.2% to $334.4 million for the nine months ended September 30, 2023 from $330.6 million for the nine months ended September 30, 2022. The increase was primarily due to the increase in headcount and related salaries and benefits as well as increases in commissions tied to our operating performance, partially offset by a $9.4 million decrease in non-cash accelerated stock-based compensation expense and related payroll taxes relating to the CEO Retirement Accelerated Stock-Based Compensation Expense. See “— Trends and Other Factors Impacting Our Performance — CEO and Chairperson Transition” for further details.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Expenses related to depreciation and amortization increased $3.9 million or 2.9% to $137.9 million for the nine months ended September 30, 2023 from $134.0 million for the nine months ended September 30, 2022. The increase was primarily due to increases in amortization of software development costs driven by increases in investment in our infrastructure and expense relating to the assets acquired in connection with the August 31, 2023 Yieldbroker Acquisition.</w:t>
      </w:r>
    </w:p>
    <w:p>
      <w:pPr>
        <w:spacing w:after="0" w:line="16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$7.4 million or 15.2% to $56.0 million for the nine months ended September 30, 2023 from $48.6 million for the nine months ended September 30, 2022. The increase was primarily due to investment in our data strategy and infrastructure and increased data and clearance fees driven primarily by higher period-over-period trading volumes.</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u w:val="single" w:color="auto"/>
          <w:color w:val="auto"/>
        </w:rPr>
        <w:t>General and Administrative</w:t>
      </w:r>
      <w:r>
        <w:rPr>
          <w:rFonts w:ascii="Arial" w:cs="Arial" w:eastAsia="Arial" w:hAnsi="Arial"/>
          <w:sz w:val="16"/>
          <w:szCs w:val="16"/>
          <w:color w:val="auto"/>
        </w:rPr>
        <w:t>. Expenses related to general and administrative costs increased by $6.9 million or 27.8% to $31.7 million for the nine months ended September 30, 2023 from $24.8 million for the nine months ended September 30, 2022. The increase was primarily due to a $6.8 million decrease in foreign exchange gains during the nine months ended September 30, 2023. Realized and unrealized foreign currency gains totaled $3.9 million during the nine months ended September 30, 2023 as compared to $10.7 million in gains during the nine months ended September 30, 2022. The change was primarily driven by changes in fair value of our foreign currency forward contracts used in connection with our foreign currency risk management program.</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u w:val="single" w:color="auto"/>
          <w:color w:val="auto"/>
        </w:rPr>
        <w:t>Professional Fees</w:t>
      </w:r>
      <w:r>
        <w:rPr>
          <w:rFonts w:ascii="Arial" w:cs="Arial" w:eastAsia="Arial" w:hAnsi="Arial"/>
          <w:sz w:val="16"/>
          <w:szCs w:val="16"/>
          <w:color w:val="auto"/>
        </w:rPr>
        <w:t>. Expenses related to professional fees increased by $6.5 million or 25.1% to $32.3 million for the nine months ended September 30, 2023 from $25.8 million for the nine months ended September 30, 2022. The increase was primarily due to increased legal and other costs related acquisitions.</w:t>
      </w:r>
    </w:p>
    <w:p>
      <w:pPr>
        <w:spacing w:after="0" w:line="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increased by $1.4 million or 13.1% to $12.3 million for the nine months ended September 30, 2023 as compared to $10.9 million for the nine months ended September 30, 2022. The increase was primarily due to higher data center rent expense primarily driven by the completion of the NFI Acquisition technology integration during the three months ended March 31, 2023 and the relocation of data centers to locations providing enhanced infrastructure and improved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8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interest income increased by $41.6 million to net interest income of $45.1 million for the nine months ended September 30, 2023 from net interest income of $3.5 million for the nine months ended September 30, 2022 primarily due to an increase in interest income earned relating to an increase in our average invested cash balance and an increase in interest rates period over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Net</w:t>
      </w:r>
    </w:p>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nine months ended September 30, 2023, we recognized a net other loss of $2.0 million, including a $1.3 million loss in connection with unwinding the out-of-the-money foreign currency call option entered into in order to partially mitigate the foreign currency exposure on the payment of the purchase price for the Yieldbroker Acquisition. See Note 4 – Acquisitions to our unaudited condensed consolidated financial statements included elsewhere in this Quarterly Report on Form 10-Q for further details. In addition, we also recognized a $0.7 million loss due to a net reduction in the tax indemnification receivables from Refinitiv relating to the settlement of the tax matter for less than the previously estimated amount. See Note 6 – Income Taxes to our unaudited condensed consolidated financial statements included elsewhere in this Quarterly Report on Form 10-Q for further details.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Income tax expense increased by $27.0 million to $90.9 million for the nine months ended September 30, 2023 from $63.9 million for the nine months ended September 30, 2022. The provision for income taxes includes U.S. federal, state, local, and foreign taxes. The effective tax rate for the nine months ended September 30, 2023 was approximately 22.4%, compared with 19.7% for the nine months ended September 30, 2022. The effective tax rate for the nine months ended September 30, 2023 differed from the U.S. federal statutory rate of 21.0% primarily due to state, local and foreign taxes, partially offset by the effect of non-controlling interests, the exercise of equity compensation and the return-to-provision adjustment. The effective tax rate for the nine months ended September 30, 2022 differed from the U.S. federal statutory rate of 21.0% primarily due to the tax impact of the issuance of common stock from equity incentive plans, return-to-provision adjustments and the effect of non-controlling interests, partially offset by state, local and foreign taxes.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during the three and nine months ended September 30, 2023 and 2022. However, there can be no assurance that our results of operations and financial condition will not be materially impacted by inflation in the future. See “— Trends and Other Factors Impacting Our Performance — Economic Environment”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The Revolving Credit Facility matures in April 2024. We are currently in discussions to renew the Revolving Credit Facility. If we are not able to renew the Revolving Credit Facility, we believe we have sufficient cash to fund our liquidity requirements for at least the next 12 months without reliance on a credit facility,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As of September 30, 2023 and December 31, 2022, we had cash and cash equivalents of approximately $1.5 billion and $1.3 billion, respectively. All cash and cash equivalents were held in accounts with financial institutions or money market funds such that the funds are immediately available or in fixed term deposits with a maximum maturity of three months. See Item 3. “Quantitative And Qualitative Disclosures About Market Risks — Credit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9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Subject to legally available funds, we intend to pay quarterly cash dividends on our Class A common stock and Class B common stock equal to $0.09 per share. As discussed below, our ability to pay these quarterly cash dividends on our Class A common stock and Class B common stock will depend on distributions to us from TWM LLC.</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18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October 26, 2023, the board of directors of Tradeweb Markets Inc. declared a cash dividend of $0.09 per share of Class A common stock and Class B common stock for the third quarter of 2023. This dividend will be payable on December 15, 2023 to stockholders of record as of December 1, 2023.</w:t>
      </w:r>
    </w:p>
    <w:p>
      <w:pPr>
        <w:spacing w:after="0" w:line="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March, June and September 2023, Tradeweb Markets Inc. paid quarterly cash dividends to holders of Class A common stock and Class B common stock in an aggregate amount totaling $56.8 million during the nine months ended September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26, 2023, Tradeweb Markets Inc., as the sole manager, approved a distribution by TWM LLC to its equityholders, including Tradeweb Markets Inc., in an aggregate amount of $49.9 million, as adjusted by required state and local tax withholdings that will be determined prior to the record date of December 1, 2023, payable on December 13, 2023.</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March, June and September 2023, TWM LLC made quarterly cash distributions to its equityholders in an aggregate amount of $69.5 million during the nine months ended September 30, 2023, including distributions to Tradeweb Markets Inc. of $62.0 million and distributions to non-controlling interests of $7.5 million. The proceeds of the cash distributions were used by Tradeweb Markets Inc. to fund dividend payments, taxes and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5, 2022, we announced that our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amounts, timing and manner of the repurchases will be subject to general market conditions, the prevailing price and trading volumes of our Class A common stock and other factors. The 2022 Share Repurchase Program does not require the Company to acquire a specific number of shares and may be suspended, amended or discontinued at any time. During the nine months ended September 30, 2023, the Company acquired a total of 485,730 shares of Class A common stock, at an average price of $72.48, for purchases totaling $35.2 million pursuant to the 2022 Share Repurchase Program. As of September 30, 2023, a total of $239.8 million remained available for repurchase pursuant to the 2022 Share Repurchase Program.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198"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nine months ended September 30, 2023, the Company withheld 693,456 shares of common stock from employee stock option, PRSU and RSU awards, at an average price per share of $71.38 and an aggregate value of $49.5 million, based on the price of the Class A common stock on the date the relevant withholding occurred.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obligated to make payments under the Tax Receivable Agreement. See Note 7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September 30, 2023, total amounts due to the Continuing LLC Owners under the Tax Receivable Agreement were $448.0 million, substantially all due to be paid over 15 years following the purchase of LLC Interests from Continuing LLC Owners or redemption or exchanges by Continuing LLC Owners of LLC Interests. As of September 30, 2023, we expect to make tax receivable agreement liability payments of approximately $25.7 million within the next 12 months and approximately $422.3 million thereafter. 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we had no outstanding indebtedness.</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April 8, 2019, TWM LLC entered into the Revolving Credit Facility with a syndicate of banks. The Revolving Credit Facility was subsequently amended on November 7, 2019 and March 31, 2023. The Revolving Credit Facility provides borrowing capacity to be used to fund our ongoing working capital needs, letters of credit and for general corporate purposes, including potential future acquisitions and expansions.</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September 30, 2023, there were $0.5 million in letters of credit issued under the Revolving Credit Facility and no borrowings outstanding. As of September 30, 2023, we had availability of $499.5 million.</w:t>
      </w:r>
    </w:p>
    <w:p>
      <w:pPr>
        <w:spacing w:after="0" w:line="13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w:t>
      </w:r>
    </w:p>
    <w:p>
      <w:pPr>
        <w:ind w:right="220"/>
        <w:spacing w:after="0" w:line="281" w:lineRule="auto"/>
        <w:rPr>
          <w:sz w:val="20"/>
          <w:szCs w:val="20"/>
          <w:color w:val="auto"/>
        </w:rPr>
      </w:pPr>
      <w:r>
        <w:rPr>
          <w:rFonts w:ascii="Arial" w:cs="Arial" w:eastAsia="Arial" w:hAnsi="Arial"/>
          <w:sz w:val="16"/>
          <w:szCs w:val="16"/>
          <w:color w:val="auto"/>
        </w:rPr>
        <w:t>1.00% and (iii) one month Term SOFR plus 1.00% plus a credit adjustment spread of 0.10%, in each case plus 0.75%, (b) Term SOFR plus 1.75% plus a credit adjustment spread of 0.10%, subject to a 0.00% floor, (c) SONIA plus 1.75%, subject to a 0.00% floor or (d) EURIBOR plus 1.75%, subject to a</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0.00% floor. The credit agreement also requires that we pay a commitment fee of 0.25% for available but unborrowed amounts. We are also required to pay customary letter of credit fees and agency fees.</w:t>
      </w:r>
    </w:p>
    <w:p>
      <w:pPr>
        <w:spacing w:after="0" w:line="1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Term SOFR, SONIA and EURIBOR loans.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There will be no scheduled amortization under the Revolving Credit Facility. The principal amount outstanding will be due and payable in full at maturity.</w:t>
      </w:r>
    </w:p>
    <w:p>
      <w:pPr>
        <w:spacing w:after="0" w:line="20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4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were in compliance with all the covenants set forth in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June 2028. As of September 30, 2023, our operating lease liabilities totaled $22.0 million, with payments pursuant to these obligations due within the next 12 months and thereafter totaling $10.6 million and $12.6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8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Our business also requires continued investment in our technology for product innovation, proprietary technology architecture, operational reliability and cybersecurity. We expect total cash paid for non-acquisition related capital expenditures and software development costs for fiscal 2023 to be between $56 million and $63 million, compared to expenditures of $60.1 million in fiscal 2022, with the midpoint of our 2023 capital expenditure guidance at slightly lower than fiscal year 2022 due to the acceleration of certain infrastructure enhancements during 2022. Cash paid for capital expenditures and software development costs during the nine months ended September 30, 2023 totaled $49.6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Cash and Liquidity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and CFTC. These rules contain minimum net capital or other financial resource requirements, as defined in the applicable regulations.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may also require a significant part of the registrants’ assets be kept in relatively liquid form. Certain of our foreign subsidiaries are regulated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Conduct Authority in the UK, the Nederlandsche Bank in the Netherlands, the Japanese Financial Services Agency, the Japanese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Dealers Association and other foreign regulators, and must maintain financial resources, as defined in the applicable regulations, in excess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resources requirement. As of September 30, 2023 and December 31, 2022, each of our regulated subsidiaries had maintained sufficient net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financial resources to at least satisfy their minimum requirements, which in aggregate were $70.6 million and $69.1 million, respectively. We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balances in these subsidiaries in excess of our minimum requirements in order to satisfy working capital needs and to ensure that we have enough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on hand to satisfy margin requirements and credit risk, including the excess capital expectations of our clients. The Fixed Income Clearing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(“FICC”) and some of our clearing brokers require us to post collateral on unsettled positions, included within deposits with clearing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organizations in our condensed consolidated statements of financial condition. Collateral amounts are marked to market on a daily basis, requiring us to pay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receive margin amounts as part of the daily funds settlement. Margin call requirements can vary significantly across periods based on daily market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and may represent a significant and unpredictable use of our liquidity.</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and due from affiliates. Current liabilities consist of payable to brokers and dealers and clearing organizations, accrued compensation, deferred revenue, payable and due to affiliates,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September 30, 2023 and December 31, 2022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2022</w:t>
            </w:r>
          </w:p>
        </w:tc>
      </w:tr>
      <w:tr>
        <w:trPr>
          <w:trHeight w:val="26"/>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4"/>
        </w:trPr>
        <w:tc>
          <w:tcPr>
            <w:tcW w:w="8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39"/>
        </w:trPr>
        <w:tc>
          <w:tcPr>
            <w:tcW w:w="8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1,493,410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1,257,229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23,906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142,676</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and due from affiliates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1,696,013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1,439,171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11,264</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22,827</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and due to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portion of:</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11,265</w:t>
            </w: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receivable agreement liability</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239,904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255,362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working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1,456,109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1,183,809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Current assets increased to $1.7 billion as of September 30, 2023 from $1.4 billion as of December 31, 2022 primarily due to an </w:t>
      </w:r>
      <w:r>
        <w:rPr>
          <w:rFonts w:ascii="Arial" w:cs="Arial" w:eastAsia="Arial" w:hAnsi="Arial"/>
          <w:sz w:val="18"/>
          <w:szCs w:val="18"/>
          <w:color w:val="auto"/>
          <w:shd w:val="clear" w:color="auto" w:fill="FFF7C3"/>
        </w:rPr>
        <w:t>increase</w:t>
      </w:r>
      <w:r>
        <w:rPr>
          <w:rFonts w:ascii="Arial" w:cs="Arial" w:eastAsia="Arial" w:hAnsi="Arial"/>
          <w:sz w:val="18"/>
          <w:szCs w:val="18"/>
          <w:color w:val="auto"/>
        </w:rPr>
        <w:t xml:space="preserve"> in cash and cash equivalents (see “—</w:t>
      </w:r>
      <w:r>
        <w:rPr>
          <w:rFonts w:ascii="Arial" w:cs="Arial" w:eastAsia="Arial" w:hAnsi="Arial"/>
          <w:sz w:val="18"/>
          <w:szCs w:val="18"/>
          <w:i w:val="1"/>
          <w:iCs w:val="1"/>
          <w:color w:val="auto"/>
        </w:rPr>
        <w:t>Cash Flows</w:t>
      </w:r>
      <w:r>
        <w:rPr>
          <w:rFonts w:ascii="Arial" w:cs="Arial" w:eastAsia="Arial" w:hAnsi="Arial"/>
          <w:sz w:val="18"/>
          <w:szCs w:val="18"/>
          <w:color w:val="auto"/>
        </w:rPr>
        <w:t>”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98" w:lineRule="exact"/>
        <w:rPr>
          <w:sz w:val="20"/>
          <w:szCs w:val="20"/>
          <w:color w:val="auto"/>
        </w:rPr>
      </w:pPr>
    </w:p>
    <w:p>
      <w:pPr>
        <w:ind w:right="520"/>
        <w:spacing w:after="0" w:line="256" w:lineRule="auto"/>
        <w:rPr>
          <w:sz w:val="20"/>
          <w:szCs w:val="20"/>
          <w:color w:val="auto"/>
        </w:rPr>
      </w:pPr>
      <w:r>
        <w:rPr>
          <w:rFonts w:ascii="Arial" w:cs="Arial" w:eastAsia="Arial" w:hAnsi="Arial"/>
          <w:sz w:val="17"/>
          <w:szCs w:val="17"/>
          <w:color w:val="auto"/>
        </w:rPr>
        <w:t>Current liabilities decreased to $239.9 million as of September 30, 2023 from $255.4 million as of December 31, 2022 primarily</w:t>
      </w:r>
      <w:r>
        <w:rPr>
          <w:sz w:val="1"/>
          <w:szCs w:val="1"/>
          <w:color w:val="auto"/>
        </w:rPr>
        <w:drawing>
          <wp:inline distT="0" distB="0" distL="0" distR="0">
            <wp:extent cx="26035" cy="1289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7"/>
          <w:szCs w:val="17"/>
          <w:color w:val="auto"/>
        </w:rPr>
        <w:t>due to a decrease in accrued compensation as a result of annual bonus payments which occurred during the nine months ended September 30, 2023.</w:t>
      </w:r>
    </w:p>
    <w:p>
      <w:pPr>
        <w:spacing w:after="0" w:line="147" w:lineRule="exact"/>
        <w:rPr>
          <w:sz w:val="20"/>
          <w:szCs w:val="20"/>
          <w:color w:val="auto"/>
        </w:rPr>
      </w:pPr>
    </w:p>
    <w:p>
      <w:pPr>
        <w:ind w:right="1640"/>
        <w:spacing w:after="0" w:line="46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Other Cash and Liquidity Requirements</w:t>
      </w:r>
      <w:r>
        <w:rPr>
          <w:rFonts w:ascii="Arial" w:cs="Arial" w:eastAsia="Arial" w:hAnsi="Arial"/>
          <w:sz w:val="18"/>
          <w:szCs w:val="18"/>
          <w:color w:val="auto"/>
        </w:rPr>
        <w:t xml:space="preserve">” above for a discussion on how capital requirements can impact our working capital. </w:t>
      </w:r>
      <w:r>
        <w:rPr>
          <w:rFonts w:ascii="Arial" w:cs="Arial" w:eastAsia="Arial" w:hAnsi="Arial"/>
          <w:sz w:val="18"/>
          <w:szCs w:val="18"/>
          <w:b w:val="1"/>
          <w:bCs w:val="1"/>
          <w:i w:val="1"/>
          <w:iCs w:val="1"/>
          <w:color w:val="auto"/>
        </w:rPr>
        <w:t>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for the nine months ended September 30, 2023 and 2022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501,328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424,822</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(120,509)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(45,429)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(221,857)</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236,181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138,179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provided by operating activities for the nine months ended September 30, 2023 was $501.3 million, an increase of $76.5 million over the nine months ended September 30, 2022, primarily driven by an increase in net income and changes in working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activities consist primarily of software development costs, investments in technology hardware, purchases of equipment and other tangible assets, business acquisitions and investments.</w:t>
      </w:r>
    </w:p>
    <w:p>
      <w:pPr>
        <w:spacing w:after="0" w:line="13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Net cash used in investing activities was $120.5 million for the nine months ended September 30, 2023, which consisted of $69.6 million of total net cash paid for the Yieldbroker Acquisition (net of cash acquired), $32.1 million of capitalized software development costs, $17.5 million of purchases of furniture, equipment, purchased software and leasehold improvements and $1.3 million of cash paid for a foreign currency call option, net of sales proceeds. Net cash used in investing activities was $45.4 million for the nine months ended September 30, 2022, which consisted of $27.5 million of capitalized software development costs and $18.0 million of purchases of furniture, equipment, purchased software and leasehold improvements.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Net cash used in financing activities for the nine months ended September 30, 2023 was $144.2 million, and was primarily driven by $41.2 million in payroll tax payments for options, PRSUs and RSUs, net of proceeds from the related stock-based compensation option exercises, $32.9 million in share repurchases pursuant to the 2022 Share Repurchase Program and $56.8 million in cash dividends to our Class A and Class B common stockholders. Net cash used in financing activities for the nine months ended September 30, 2022 was $221.9 million, and was primarily driven by $90.6 million in payroll tax payments for options, PRSUs and RSUs, net of proceeds from the related stock-based compensation option exercises, $65.3 million in share repurchases pursuant to the 2021 Share Repurchase Program and $49.4 million in cash dividends to our Class A and Class B common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nine months ended September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ind w:left="640"/>
              <w:spacing w:after="0"/>
              <w:rPr>
                <w:sz w:val="20"/>
                <w:szCs w:val="20"/>
                <w:color w:val="auto"/>
              </w:rPr>
            </w:pPr>
            <w:r>
              <w:rPr>
                <w:rFonts w:ascii="Arial" w:cs="Arial" w:eastAsia="Arial" w:hAnsi="Arial"/>
                <w:sz w:val="14"/>
                <w:szCs w:val="14"/>
                <w:b w:val="1"/>
                <w:bCs w:val="1"/>
                <w:color w:val="auto"/>
                <w:w w:val="98"/>
              </w:rPr>
              <w:t>September 30,</w:t>
            </w:r>
          </w:p>
        </w:tc>
        <w:tc>
          <w:tcPr>
            <w:tcW w:w="880" w:type="dxa"/>
            <w:vAlign w:val="bottom"/>
          </w:tcPr>
          <w:p>
            <w:pPr>
              <w:spacing w:after="0"/>
              <w:rPr>
                <w:sz w:val="17"/>
                <w:szCs w:val="17"/>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ind w:left="640"/>
              <w:spacing w:after="0"/>
              <w:rPr>
                <w:sz w:val="20"/>
                <w:szCs w:val="20"/>
                <w:color w:val="auto"/>
              </w:rPr>
            </w:pPr>
            <w:r>
              <w:rPr>
                <w:rFonts w:ascii="Arial" w:cs="Arial" w:eastAsia="Arial" w:hAnsi="Arial"/>
                <w:sz w:val="14"/>
                <w:szCs w:val="14"/>
                <w:b w:val="1"/>
                <w:bCs w:val="1"/>
                <w:color w:val="auto"/>
                <w:w w:val="97"/>
              </w:rPr>
              <w:t>(in thousands)</w:t>
            </w:r>
          </w:p>
        </w:tc>
        <w:tc>
          <w:tcPr>
            <w:tcW w:w="88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501,328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424,822</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(32,105)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(27,470)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(17,467)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(17,959)</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451,756</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379,393</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8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19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Adjusted EBITDA is defined as net income before net interest income/expense,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13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Adjusted EBIT is defined as net income before net interest income/expense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We believe it is useful to exclude this stock-based compensation expense and associated payroll taxes because the amount of expense associated with the Special Option Award and the post-IPO option awards in 2019 may not directly correlate to the underlying performance of our business and will vary across periods. Beginning on August 30, 2021, we also exclude the non-cash accelerated stock-based compensation expense associated with our former CFO and beginning on February 11, 2022 the incremental non-cash accelerated stock-based compensation expense associated with our retired CEO, the CEO Retirement Accelerated Stock-Based Compensation Expense discussed above under “— Trends and Other Factors Impacting Our Performance — CEO and Chairperson Transition,” and related payroll taxes are also excluded, as we do not consider these expenses indicative of our core ongoing operating performance. The accelerated stock-based compensation expense associated with our former CFO and retired CEO was fully amortized on January 4, 2022 and December 31, 2022, respectively.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5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8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set forth below presents a reconciliation of net income and net income margin to Adjusted EBITDA, Adjusted EBITDA margin, Adjusted EBIT and Adjusted EBIT margin for the three and nine months ended September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111,630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315,762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260,611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Merger and acquisition transaction and integration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(17,465)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(45,065)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46,559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44,778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137,850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133,998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28,666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24,657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90,920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63,915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170,360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146,334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505,618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462,590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(46,559)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(137,850)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(133,998)</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9"/>
              </w:rPr>
              <w:t xml:space="preserve">Add: D&amp;A related to acquisitions and the Refinitiv Transaction </w:t>
            </w:r>
            <w:r>
              <w:rPr>
                <w:rFonts w:ascii="Arial" w:cs="Arial" w:eastAsia="Arial" w:hAnsi="Arial"/>
                <w:sz w:val="23"/>
                <w:szCs w:val="23"/>
                <w:color w:val="auto"/>
                <w:w w:val="99"/>
                <w:vertAlign w:val="superscript"/>
              </w:rPr>
              <w:t>(5)</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31,971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95,217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95,088</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155,772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133,114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462,985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423,680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margin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34.0 %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28.4 %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32.6 %</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47.3 %</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40" w:right="360" w:hanging="332"/>
        <w:spacing w:after="0" w:line="266"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180" w:hanging="332"/>
        <w:spacing w:after="0" w:line="257"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the exercise of such 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1" w:lineRule="exact"/>
        <w:rPr>
          <w:rFonts w:ascii="Arial" w:cs="Arial" w:eastAsia="Arial" w:hAnsi="Arial"/>
          <w:sz w:val="14"/>
          <w:szCs w:val="14"/>
          <w:color w:val="auto"/>
        </w:rPr>
      </w:pPr>
    </w:p>
    <w:p>
      <w:pPr>
        <w:ind w:left="340" w:right="60" w:hanging="332"/>
        <w:spacing w:after="0" w:line="257"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5"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260" w:hanging="332"/>
        <w:spacing w:after="0" w:line="268"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Constant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Basis Point</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Currency Basis</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Basis Point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 Basis</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10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10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Point Change</w:t>
            </w:r>
          </w:p>
        </w:tc>
        <w:tc>
          <w:tcPr>
            <w:tcW w:w="11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11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Point Change</w:t>
            </w:r>
          </w:p>
        </w:tc>
        <w:tc>
          <w:tcPr>
            <w:tcW w:w="0" w:type="dxa"/>
            <w:vAlign w:val="bottom"/>
          </w:tcPr>
          <w:p>
            <w:pPr>
              <w:spacing w:after="0"/>
              <w:rPr>
                <w:sz w:val="1"/>
                <w:szCs w:val="1"/>
                <w:color w:val="auto"/>
              </w:rPr>
            </w:pPr>
          </w:p>
        </w:tc>
      </w:tr>
      <w:tr>
        <w:trPr>
          <w:trHeight w:val="40"/>
        </w:trPr>
        <w:tc>
          <w:tcPr>
            <w:tcW w:w="220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jc w:val="center"/>
              <w:ind w:right="100"/>
              <w:spacing w:after="0" w:line="41" w:lineRule="exact"/>
              <w:rPr>
                <w:sz w:val="20"/>
                <w:szCs w:val="20"/>
                <w:color w:val="auto"/>
              </w:rPr>
            </w:pPr>
            <w:r>
              <w:rPr>
                <w:rFonts w:ascii="Arial" w:cs="Arial" w:eastAsia="Arial" w:hAnsi="Arial"/>
                <w:sz w:val="4"/>
                <w:szCs w:val="4"/>
                <w:b w:val="1"/>
                <w:bCs w:val="1"/>
                <w:color w:val="auto"/>
              </w:rPr>
              <w:t>Change</w:t>
            </w:r>
          </w:p>
        </w:tc>
        <w:tc>
          <w:tcPr>
            <w:tcW w:w="98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0"/>
              </w:rPr>
              <w:t>(1)</w:t>
            </w: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tcPr>
          <w:p>
            <w:pPr>
              <w:jc w:val="center"/>
              <w:ind w:right="80"/>
              <w:spacing w:after="0" w:line="41" w:lineRule="exact"/>
              <w:rPr>
                <w:sz w:val="20"/>
                <w:szCs w:val="20"/>
                <w:color w:val="auto"/>
              </w:rPr>
            </w:pPr>
            <w:r>
              <w:rPr>
                <w:rFonts w:ascii="Arial" w:cs="Arial" w:eastAsia="Arial" w:hAnsi="Arial"/>
                <w:sz w:val="4"/>
                <w:szCs w:val="4"/>
                <w:b w:val="1"/>
                <w:bCs w:val="1"/>
                <w:color w:val="auto"/>
              </w:rPr>
              <w:t>Change</w:t>
            </w:r>
          </w:p>
        </w:tc>
        <w:tc>
          <w:tcPr>
            <w:tcW w:w="10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 bps</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+181 bps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+58 bps</w:t>
            </w:r>
          </w:p>
        </w:tc>
        <w:tc>
          <w:tcPr>
            <w:tcW w:w="1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+90 bps</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1080" w:type="dxa"/>
            <w:vAlign w:val="bottom"/>
          </w:tcPr>
          <w:p>
            <w:pPr>
              <w:jc w:val="right"/>
              <w:spacing w:after="0"/>
              <w:rPr>
                <w:sz w:val="20"/>
                <w:szCs w:val="20"/>
                <w:color w:val="auto"/>
              </w:rPr>
            </w:pPr>
            <w:r>
              <w:rPr>
                <w:rFonts w:ascii="Arial" w:cs="Arial" w:eastAsia="Arial" w:hAnsi="Arial"/>
                <w:sz w:val="18"/>
                <w:szCs w:val="18"/>
                <w:color w:val="auto"/>
              </w:rPr>
              <w:t>47.4 %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 bps</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+192 bps</w:t>
            </w:r>
          </w:p>
        </w:tc>
        <w:tc>
          <w:tcPr>
            <w:tcW w:w="1120" w:type="dxa"/>
            <w:vAlign w:val="bottom"/>
          </w:tcPr>
          <w:p>
            <w:pPr>
              <w:jc w:val="right"/>
              <w:spacing w:after="0"/>
              <w:rPr>
                <w:sz w:val="20"/>
                <w:szCs w:val="20"/>
                <w:color w:val="auto"/>
              </w:rPr>
            </w:pPr>
            <w:r>
              <w:rPr>
                <w:rFonts w:ascii="Arial" w:cs="Arial" w:eastAsia="Arial" w:hAnsi="Arial"/>
                <w:sz w:val="18"/>
                <w:szCs w:val="18"/>
                <w:color w:val="auto"/>
              </w:rPr>
              <w:t>47.8 %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47.3 %</w:t>
            </w:r>
          </w:p>
        </w:tc>
        <w:tc>
          <w:tcPr>
            <w:tcW w:w="80" w:type="dxa"/>
            <w:vAlign w:val="bottom"/>
          </w:tcPr>
          <w:p>
            <w:pPr>
              <w:spacing w:after="0"/>
              <w:rPr>
                <w:sz w:val="20"/>
                <w:szCs w:val="20"/>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+52 bps</w:t>
            </w:r>
          </w:p>
        </w:tc>
        <w:tc>
          <w:tcPr>
            <w:tcW w:w="1020" w:type="dxa"/>
            <w:vAlign w:val="bottom"/>
          </w:tcPr>
          <w:p>
            <w:pPr>
              <w:ind w:left="420"/>
              <w:spacing w:after="0"/>
              <w:rPr>
                <w:sz w:val="20"/>
                <w:szCs w:val="20"/>
                <w:color w:val="auto"/>
              </w:rPr>
            </w:pPr>
            <w:r>
              <w:rPr>
                <w:rFonts w:ascii="Arial" w:cs="Arial" w:eastAsia="Arial" w:hAnsi="Arial"/>
                <w:sz w:val="18"/>
                <w:szCs w:val="18"/>
                <w:color w:val="auto"/>
                <w:w w:val="89"/>
              </w:rPr>
              <w:t>+83 bps</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60" w:hanging="332"/>
        <w:spacing w:after="0" w:line="263" w:lineRule="auto"/>
        <w:tabs>
          <w:tab w:leader="none" w:pos="332"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and nine months ended September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(in thousands except per share amounts)</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98,614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69,083</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275,552</w:t>
            </w:r>
          </w:p>
        </w:tc>
        <w:tc>
          <w:tcPr>
            <w:tcW w:w="100" w:type="dxa"/>
            <w:vAlign w:val="bottom"/>
          </w:tcPr>
          <w:p>
            <w:pPr>
              <w:spacing w:after="0"/>
              <w:rPr>
                <w:sz w:val="18"/>
                <w:szCs w:val="18"/>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220,392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40,219</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315,762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260,611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63,915</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Merger and acquisition transaction and integration costs </w:t>
            </w:r>
            <w:r>
              <w:rPr>
                <w:rFonts w:ascii="Arial" w:cs="Arial" w:eastAsia="Arial" w:hAnsi="Arial"/>
                <w:sz w:val="23"/>
                <w:szCs w:val="23"/>
                <w:color w:val="auto"/>
                <w:vertAlign w:val="superscript"/>
              </w:rPr>
              <w:t>(2)</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D&amp;A related to acquisitions and the Refinitiv Transaction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95,088</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173,237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136,527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508,050</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427,187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(124,472)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383,578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333,205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right="60" w:hanging="332"/>
        <w:spacing w:after="0" w:line="266"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incremental direct costs associated with the acquisition and integration of completed and potential mergers and acquisitions. These costs generally include legal, consulting, advisory, due diligence, severance and other third party costs incurred that directly relate to the acquisition transaction or its integration.</w:t>
      </w:r>
    </w:p>
    <w:p>
      <w:pPr>
        <w:ind w:left="340" w:right="260" w:hanging="332"/>
        <w:spacing w:after="0" w:line="254"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right="180" w:hanging="332"/>
        <w:spacing w:after="0" w:line="254"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the exercise of such options. During the three and nine months ended September 30, 2022, this adjustment also includes $2.0 million and $9.4 million, respectively, of non-cash accelerated stock-based compensation expense and related payroll taxes associated with our former CFO and former CEO.</w:t>
      </w:r>
    </w:p>
    <w:p>
      <w:pPr>
        <w:spacing w:after="0" w:line="1" w:lineRule="exact"/>
        <w:rPr>
          <w:rFonts w:ascii="Arial" w:cs="Arial" w:eastAsia="Arial" w:hAnsi="Arial"/>
          <w:sz w:val="14"/>
          <w:szCs w:val="14"/>
          <w:color w:val="auto"/>
        </w:rPr>
      </w:pPr>
    </w:p>
    <w:p>
      <w:pPr>
        <w:ind w:left="340" w:right="60" w:hanging="332"/>
        <w:spacing w:after="0" w:line="261"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5"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140" w:hanging="332"/>
        <w:spacing w:after="0" w:line="257"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24.5% applied to Adjusted Net Income before income taxes for the three and nine months ended September 30, 2023 and 22.0% for the three and nine months ended September 30, 2022.</w:t>
      </w:r>
    </w:p>
    <w:p>
      <w:pPr>
        <w:ind w:left="340" w:right="40" w:hanging="332"/>
        <w:spacing w:after="0" w:line="283" w:lineRule="auto"/>
        <w:tabs>
          <w:tab w:leader="none" w:pos="3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three and nine months ended September 30,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Reconciliation of Diluted Weighted Average Shares Outstanding to Adjusted Diluted</w:t>
            </w:r>
          </w:p>
        </w:tc>
        <w:tc>
          <w:tcPr>
            <w:tcW w:w="240" w:type="dxa"/>
            <w:vAlign w:val="bottom"/>
          </w:tcPr>
          <w:p>
            <w:pPr>
              <w:spacing w:after="0"/>
              <w:rPr>
                <w:sz w:val="18"/>
                <w:szCs w:val="18"/>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8"/>
                <w:szCs w:val="18"/>
                <w:color w:val="auto"/>
              </w:rPr>
            </w:pPr>
          </w:p>
        </w:tc>
        <w:tc>
          <w:tcPr>
            <w:tcW w:w="256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6"/>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213,491,634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208,329,469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212,276,908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207,748,037</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 xml:space="preserve">Weighted average of other participating securities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265,681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246,238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266,453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121,115</w:t>
            </w: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6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common stock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23,080,571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28,750,603</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24,179,583</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29,667,383</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236,837,886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237,326,310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236,722,944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237,536,535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383,578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333,205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20" w:hanging="332"/>
        <w:spacing w:after="0" w:line="264" w:lineRule="auto"/>
        <w:tabs>
          <w:tab w:leader="none" w:pos="3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weighted average unvested restricted stock units and unsettled vested performance-based restricted stock units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ind w:left="340" w:right="480" w:hanging="332"/>
        <w:spacing w:after="0" w:line="263" w:lineRule="auto"/>
        <w:tabs>
          <w:tab w:leader="none" w:pos="332"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3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business combinations,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most significant accounting estimate associated with the Yieldbroker Acquisition that closed in August 2023 was the valuation of the acquired definite-lived intangible customer relationship asset (the “Customer Relationships”), which was valued at approximately $39.7 million as of the date of the closing of the acquisition. The majority of the residual total purchase price of $40.3 million, net of cash acquired and prior to working capital and other closing adjustments, was primarily allocated to goodwill, which was measured at approximately $35.1 million as of the date of the closing of the acquisition. We utilized the assistance of a third-party valuation specialist to determine the fair value of the assets acquired and liabilities assumed at the date of the closing of the acquisition. Management is responsible for these valuations and appraisals.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valuation of the Customer Relationships primarily included significant unobservable inputs (Level 3), creating a significant level of estimation uncertainty. Customer Relationships were valued using the income approach, specifically a multi-period excess earnings method. The excess earnings method examines the economic returns contributed by the identified tangible and intangible assets of a company, and then examines the excess return that is attributable to the intangible asset being valued. The discount rate used reflects the amount of risk associated with the hypothetical cash flows for the Customer Relationships relative to the overall business. In developing a discount rate for the Customer Relationships, the Company estimated a weighted-average cost of capital for the overall business and employed an intangible asset risk premium to this rate when discounting the excess earnings related to Customer Relationships. The resulting discounted cash flows were then tax-affected at the applicable statutory rate. For GAAP purposes, the Customer Relationships will be amortized over a useful life of 13 years. Any changes in the discount rate used for valuing the Customer Relationships or the estimated useful life used for amortization purposes could have a material impact on our condensed consolidated statements of financial condition and condensed consolidated statement of income. Any increases or decreases in the allocation of purchase price to Customer Relationships, which is an amortizable asset, would be offset by a corresponding decrease or increase in goodwill, which is an indefinite-lived asset, not subject to amortization and as a result would impact the asset balances recorded on our condensed consolidated statements of financial condition as well as the amortization expense recorded on our condensed consolidated statement of income over the life of the asset. Any changes in the estimated useful life of the Customer Relationships would also impact timing of the reduction of the net balance of intangible assets, net of accumulated amortization on our consolidated statements of financial condition and the timing of the recognition of amortization expense on our condensed consolidated statement of income. The primary areas of the preliminary purchase price allocation that are not yet finalized as of September 30, 2023 relate primarily to the valuation of the identifiable intangible assets and software and final working capital adjustments. The allocation of the purchase price will be finalized upon completion of the analysis of the acquired assets within one year of the date of the closing of the acquisition.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15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required to make significant judgments for the Refinitiv market data fees. Significant judgments used in accounting for this contract include the following determinations:</w:t>
      </w:r>
    </w:p>
    <w:p>
      <w:pPr>
        <w:spacing w:after="0" w:line="13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43"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our market data and pricing information for historical data sets provided by other companies.</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each of the three and nine months ended September 30, 2023 and 2022, there were no material changes in the assumptions used to determine the Refinitiv market data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For performance-based restricted stock units that vest based on market conditions,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2023, we granted 251,113 performance-based restricted stock units that vest based on market conditions with a grant date fair value totaling $24.7 million, which will be amortized into expense on a straight-line basis through December 31, 2025. The significant assumptions used in determining the grant date fair value of the award were a maturity of 2.8 years, annualized volatility of 28.81% and a risk-free interest rate of 3.77%. A change in any of the assumptions used to value these awards could materially affect stock-based compensation expense recorded in the current and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September 30, 2023 and December 31, 2022, we have no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6 – Income Taxes to our unaudited condensed consolidated financial statements included elsewhere in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three and nine months ended September 30, 2023 and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hanging="194"/>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9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880" w:type="dxa"/>
            <w:vAlign w:val="bottom"/>
            <w:gridSpan w:val="3"/>
          </w:tcPr>
          <w:p>
            <w:pPr>
              <w:jc w:val="center"/>
              <w:ind w:right="8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2023</w:t>
            </w:r>
          </w:p>
        </w:tc>
        <w:tc>
          <w:tcPr>
            <w:tcW w:w="5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89"/>
              </w:rPr>
              <w:t>2023</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57"/>
        </w:trPr>
        <w:tc>
          <w:tcPr>
            <w:tcW w:w="380" w:type="dxa"/>
            <w:vAlign w:val="bottom"/>
          </w:tcPr>
          <w:p>
            <w:pPr>
              <w:jc w:val="center"/>
              <w:spacing w:after="0"/>
              <w:rPr>
                <w:sz w:val="20"/>
                <w:szCs w:val="20"/>
                <w:color w:val="auto"/>
              </w:rPr>
            </w:pPr>
            <w:r>
              <w:rPr>
                <w:rFonts w:ascii="Arial" w:cs="Arial" w:eastAsia="Arial" w:hAnsi="Arial"/>
                <w:sz w:val="18"/>
                <w:szCs w:val="18"/>
                <w:color w:val="auto"/>
                <w:w w:val="88"/>
              </w:rPr>
              <w:t>28%</w:t>
            </w:r>
          </w:p>
        </w:tc>
        <w:tc>
          <w:tcPr>
            <w:tcW w:w="1880" w:type="dxa"/>
            <w:vAlign w:val="bottom"/>
            <w:gridSpan w:val="2"/>
          </w:tcPr>
          <w:p>
            <w:pPr>
              <w:jc w:val="center"/>
              <w:ind w:left="456"/>
              <w:spacing w:after="0"/>
              <w:rPr>
                <w:sz w:val="20"/>
                <w:szCs w:val="20"/>
                <w:color w:val="auto"/>
              </w:rPr>
            </w:pPr>
            <w:r>
              <w:rPr>
                <w:rFonts w:ascii="Arial" w:cs="Arial" w:eastAsia="Arial" w:hAnsi="Arial"/>
                <w:sz w:val="18"/>
                <w:szCs w:val="18"/>
                <w:color w:val="auto"/>
                <w:w w:val="94"/>
              </w:rPr>
              <w:t>27%</w:t>
            </w:r>
          </w:p>
        </w:tc>
        <w:tc>
          <w:tcPr>
            <w:tcW w:w="100" w:type="dxa"/>
            <w:vAlign w:val="bottom"/>
          </w:tcPr>
          <w:p>
            <w:pPr>
              <w:spacing w:after="0"/>
              <w:rPr>
                <w:sz w:val="22"/>
                <w:szCs w:val="22"/>
                <w:color w:val="auto"/>
              </w:rPr>
            </w:pPr>
          </w:p>
        </w:tc>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28%</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70"/>
        </w:trPr>
        <w:tc>
          <w:tcPr>
            <w:tcW w:w="38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1880" w:type="dxa"/>
            <w:vAlign w:val="bottom"/>
            <w:gridSpan w:val="2"/>
          </w:tcPr>
          <w:p>
            <w:pPr>
              <w:jc w:val="center"/>
              <w:ind w:left="456"/>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3"/>
                <w:szCs w:val="23"/>
                <w:color w:val="auto"/>
              </w:rPr>
            </w:pPr>
          </w:p>
        </w:tc>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16%</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592" w:lineRule="exact"/>
        <w:rPr>
          <w:sz w:val="20"/>
          <w:szCs w:val="20"/>
          <w:color w:val="auto"/>
        </w:rPr>
      </w:pPr>
    </w:p>
    <w:p>
      <w:pPr>
        <w:sectPr>
          <w:pgSz w:w="11900" w:h="16838" w:orient="portrait"/>
          <w:cols w:equalWidth="0" w:num="2">
            <w:col w:w="5780" w:space="340"/>
            <w:col w:w="5120"/>
          </w:cols>
          <w:pgMar w:left="320" w:top="125" w:right="339" w:bottom="1440" w:gutter="0" w:footer="0" w:header="0"/>
          <w:type w:val="continuous"/>
        </w:sectPr>
      </w:pPr>
    </w:p>
    <w:p>
      <w:pPr>
        <w:ind w:right="80"/>
        <w:spacing w:after="0" w:line="271" w:lineRule="auto"/>
        <w:rPr>
          <w:sz w:val="20"/>
          <w:szCs w:val="20"/>
          <w:color w:val="auto"/>
        </w:rPr>
      </w:pPr>
      <w:r>
        <w:rPr>
          <w:rFonts w:ascii="Arial" w:cs="Arial" w:eastAsia="Arial" w:hAnsi="Arial"/>
          <w:sz w:val="17"/>
          <w:szCs w:val="17"/>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losses from foreign currency re-measurement of transactions in nonfunctional currencies recognized in the condensed consolidated statements of income within general and administrative expense totaled $0.7 million and $0.6 million during the three months ended September 30, 2023 and 2022, respectively, and realized and unrealized losses totaled $1.0 million and $2.3 million during the nine months ended September 30, 2023 and 2022, respectively.</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5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nine months ended September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British pound sterling</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6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used in translation during the three and nine months ended September 30,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6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100" w:type="dxa"/>
            <w:vAlign w:val="bottom"/>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2,100</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1,600</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4,600</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(19,100)</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nine months ended September 30,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All currencies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28,200</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Euros</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25,900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British pound sterling</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have derivative risk relating to our foreign exchange derivative contracts. We enter into foreign currency forward contracts to mitigate our U.S. dollar and British pound sterling versus euro exposure, generally with a duration of not more than 12 months. In June 2023, we also entered into a foreign currency call option on Australian dollars, in order to partially mitigate the Company’s U.S. dollar versus Australian dollar foreign exchange exposure on the then-anticipated payment of the Australian dollar denominated purchase price for the Yieldbroker Acquisition. The out-of-the-money foreign currency call option was unwound in August 2023 and we recognized losses during three and nine months ended September 30, 2023 totaling $1.9 million and $1.3 million, respectively, relating to this option. We do not use derivative instruments for trading or speculative purposes.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2023 and December 31, 2022, the notional amount of our foreign currency forward contracts was $178.6 million and $162.8 million, respectively. Realized and unrealized gains/losses on foreign currency forward contracts totaled a $3.9 million gain and a $6.8 million gain during the three months ended September 30, 2023 and 2022, respectively, and realized and unrealized gains on foreign currency forward contracts totaled $4.9 million and $12.9 million during the nine months ended September 30, 2023 and 2022, respectively.</w:t>
      </w:r>
    </w:p>
    <w:p>
      <w:pPr>
        <w:spacing w:after="0" w:line="16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September 30, 2023 and December 31, 2022, the counterparty on each of the foreign exchange derivative contracts was an affiliate of LSEG.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Cash and cash equivalents includes cash and money market instruments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As of September 30, 2023 and December 31, 2022, the allowance for credit losses with regard to these receivables totaled $0.2 million and $0.1 million, respectively.</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15(e) of the Exchange Act,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September 30, 2023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2022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2022 Form 10-K.</w:t>
      </w:r>
    </w:p>
    <w:p>
      <w:pPr>
        <w:sectPr>
          <w:pgSz w:w="11900" w:h="16838" w:orient="portrait"/>
          <w:cols w:equalWidth="0" w:num="1">
            <w:col w:w="11240"/>
          </w:cols>
          <w:pgMar w:left="320" w:top="125" w:right="339" w:bottom="1440" w:gutter="0" w:footer="0" w:header="0"/>
        </w:sectPr>
      </w:pPr>
    </w:p>
    <w:p>
      <w:pPr>
        <w:spacing w:after="0" w:line="139" w:lineRule="exact"/>
        <w:rPr>
          <w:sz w:val="20"/>
          <w:szCs w:val="20"/>
          <w:color w:val="auto"/>
        </w:rPr>
      </w:pPr>
    </w:p>
    <w:p>
      <w:pPr>
        <w:ind w:right="1300"/>
        <w:spacing w:after="0" w:line="456"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Recent Sales of Unregistered Securities</w:t>
      </w: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2023, we repurchased the following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Paid</w:t>
            </w: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r>
      <w:tr>
        <w:trPr>
          <w:trHeight w:val="39"/>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Total Number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r>
      <w:tr>
        <w:trPr>
          <w:trHeight w:val="176"/>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Shares Purchased as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Value of Shares That</w:t>
            </w:r>
          </w:p>
        </w:tc>
      </w:tr>
      <w:tr>
        <w:trPr>
          <w:trHeight w:val="175"/>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Part of Publicly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May Yet Be</w:t>
            </w:r>
          </w:p>
        </w:tc>
      </w:tr>
      <w:tr>
        <w:trPr>
          <w:trHeight w:val="162"/>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Announced Plans or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Under the</w:t>
            </w:r>
          </w:p>
        </w:tc>
      </w:tr>
      <w:tr>
        <w:trPr>
          <w:trHeight w:val="186"/>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Plans or Programs </w:t>
            </w:r>
            <w:r>
              <w:rPr>
                <w:rFonts w:ascii="Arial" w:cs="Arial" w:eastAsia="Arial" w:hAnsi="Arial"/>
                <w:sz w:val="9"/>
                <w:szCs w:val="9"/>
                <w:b w:val="1"/>
                <w:bCs w:val="1"/>
                <w:color w:val="auto"/>
                <w:w w:val="93"/>
              </w:rPr>
              <w:t>(1)</w:t>
            </w:r>
          </w:p>
        </w:tc>
      </w:tr>
      <w:tr>
        <w:trPr>
          <w:trHeight w:val="39"/>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1"/>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r>
    </w:tbl>
    <w:p>
      <w:pPr>
        <w:spacing w:after="0" w:line="6" w:lineRule="exact"/>
        <w:rPr>
          <w:sz w:val="20"/>
          <w:szCs w:val="20"/>
          <w:color w:val="auto"/>
        </w:rPr>
      </w:pPr>
    </w:p>
    <w:p>
      <w:pPr>
        <w:sectPr>
          <w:pgSz w:w="11900" w:h="16838" w:orient="portrait"/>
          <w:cols w:equalWidth="0" w:num="2">
            <w:col w:w="8400" w:space="40"/>
            <w:col w:w="2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2023 – July 31, 2023</w:t>
            </w: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30,205</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8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30,205</w:t>
            </w:r>
          </w:p>
        </w:tc>
        <w:tc>
          <w:tcPr>
            <w:tcW w:w="5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242,582</w:t>
            </w:r>
          </w:p>
        </w:tc>
      </w:tr>
      <w:tr>
        <w:trPr>
          <w:trHeight w:val="229"/>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August 1, 2023 – August 30, 2023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242,582</w:t>
            </w: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2023 – September 30, 2023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239,794</w:t>
            </w:r>
          </w:p>
        </w:tc>
      </w:tr>
      <w:tr>
        <w:trPr>
          <w:trHeight w:val="22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65,054</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80" w:hanging="332"/>
        <w:spacing w:after="0" w:line="286" w:lineRule="auto"/>
        <w:tabs>
          <w:tab w:leader="none" w:pos="328" w:val="left"/>
        </w:tabs>
        <w:numPr>
          <w:ilvl w:val="0"/>
          <w:numId w:val="34"/>
        </w:numPr>
        <w:rPr>
          <w:rFonts w:ascii="Arial" w:cs="Arial" w:eastAsia="Arial" w:hAnsi="Arial"/>
          <w:sz w:val="13"/>
          <w:szCs w:val="13"/>
          <w:color w:val="auto"/>
        </w:rPr>
      </w:pPr>
      <w:r>
        <w:rPr>
          <w:rFonts w:ascii="Arial" w:cs="Arial" w:eastAsia="Arial" w:hAnsi="Arial"/>
          <w:sz w:val="13"/>
          <w:szCs w:val="13"/>
          <w:color w:val="auto"/>
        </w:rPr>
        <w:t>On December 5, 2022, we announced that our board of directors authorized a new share repurchase program (the “2022 Share Repurchase Program”), after completing in October 2022, the $150.0 million of total repurchases of the Company’s Class A common stock previously authorized in February 2021 (the “2021 Share Repurchase Program”). The 2022 Share Repurchase Program was authorized to continue to offset annual dilution from stock-based compensation plans, as well as to opportunistically repurchase our Class A common stock. The 2022 Share Repurchase Program authorizes the purchase of up to $300.0 million of our Class A common stock at the Company’s discretion and has no termination date. The 2022 Share Repurchase Program can be effected through regular open-market purchases (which may include repurchase plans designed to comply with Rule 10b5-1), through privately negotiated transactions or through accelerated share repurchases, each in accordance with applicable securities laws and other restrictions. The 2022 Share Repurchase Program does not require the Company to acquire a specific number of shares and may be suspended, amended or discontinued at any time.</w:t>
      </w:r>
    </w:p>
    <w:p>
      <w:pPr>
        <w:spacing w:after="0" w:line="143" w:lineRule="exact"/>
        <w:rPr>
          <w:rFonts w:ascii="Arial" w:cs="Arial" w:eastAsia="Arial" w:hAnsi="Arial"/>
          <w:sz w:val="13"/>
          <w:szCs w:val="13"/>
          <w:color w:val="auto"/>
        </w:rPr>
      </w:pPr>
    </w:p>
    <w:p>
      <w:pPr>
        <w:ind w:left="340" w:right="200"/>
        <w:spacing w:after="0" w:line="267" w:lineRule="auto"/>
        <w:rPr>
          <w:rFonts w:ascii="Arial" w:cs="Arial" w:eastAsia="Arial" w:hAnsi="Arial"/>
          <w:sz w:val="13"/>
          <w:szCs w:val="13"/>
          <w:color w:val="auto"/>
        </w:rPr>
      </w:pPr>
      <w:r>
        <w:rPr>
          <w:rFonts w:ascii="Arial" w:cs="Arial" w:eastAsia="Arial" w:hAnsi="Arial"/>
          <w:sz w:val="14"/>
          <w:szCs w:val="14"/>
          <w:color w:val="auto"/>
        </w:rPr>
        <w:t>Each share of Class A common stock repurchased pursuant to the 2022 Share Repurchase Programs was funded with the proceeds, on a dollar-for-dollar basis, from the repurchase by Tradeweb Markets LLC of an LLC Interest from the Corporation in order to maintain the one-to-one ratio between outstanding shares of the Class A common stock and Class B common stock and the LLC Interests owned by the Corporation.</w:t>
      </w:r>
    </w:p>
    <w:p>
      <w:pPr>
        <w:spacing w:after="0" w:line="16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table above does not reflect shares surrendered to cover the payroll tax withholding obligations upon the exercise of stock options and vesting of PRSUs and RSUs. During the three months ended September 30, 2023, the Company withheld 92,373 shares of Class A common stock in connection with such exercises and vesting of stock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None.</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Securities Trading Plans of Executive Officers and Director</w:t>
      </w:r>
      <w:r>
        <w:rPr>
          <w:rFonts w:ascii="Arial" w:cs="Arial" w:eastAsia="Arial" w:hAnsi="Arial"/>
          <w:sz w:val="18"/>
          <w:szCs w:val="18"/>
          <w:color w:val="auto"/>
        </w:rPr>
        <w:t>s</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following table describes trading plans intended to satisfy the affirmative defense conditions of Rule 10b5-1(c) under the Exchange Act, as defined in Item 408 of Regulation S-K (“Rule 10b5-1 trading arrangements”), adopted, modified or terminated by our executive officers and directors during the three months ended September 30,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Scheduled Expiration</w:t>
            </w:r>
          </w:p>
        </w:tc>
      </w:tr>
      <w:tr>
        <w:trPr>
          <w:trHeight w:val="228"/>
        </w:trPr>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Name and Title</w:t>
            </w:r>
          </w:p>
        </w:tc>
        <w:tc>
          <w:tcPr>
            <w:tcW w:w="13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Action</w:t>
            </w:r>
          </w:p>
        </w:tc>
        <w:tc>
          <w:tcPr>
            <w:tcW w:w="154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c>
          <w:tcPr>
            <w:tcW w:w="54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Aggregate Number of Securities to be Purchased or Sold</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Date </w:t>
            </w:r>
            <w:r>
              <w:rPr>
                <w:rFonts w:ascii="Arial" w:cs="Arial" w:eastAsia="Arial" w:hAnsi="Arial"/>
                <w:sz w:val="18"/>
                <w:szCs w:val="18"/>
                <w:b w:val="1"/>
                <w:bCs w:val="1"/>
                <w:color w:val="auto"/>
                <w:w w:val="89"/>
                <w:vertAlign w:val="superscript"/>
              </w:rPr>
              <w:t>(1)</w:t>
            </w:r>
          </w:p>
        </w:tc>
      </w:tr>
      <w:tr>
        <w:trPr>
          <w:trHeight w:val="182"/>
        </w:trPr>
        <w:tc>
          <w:tcPr>
            <w:tcW w:w="1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Steven Berns</w:t>
            </w:r>
          </w:p>
        </w:tc>
        <w:tc>
          <w:tcPr>
            <w:tcW w:w="13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Adoption</w:t>
            </w:r>
          </w:p>
        </w:tc>
        <w:tc>
          <w:tcPr>
            <w:tcW w:w="154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August 4, 2023</w:t>
            </w:r>
          </w:p>
        </w:tc>
        <w:tc>
          <w:tcPr>
            <w:tcW w:w="54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Sale of up to 760 shares of Class A common stock to be issued upon the</w:t>
            </w:r>
          </w:p>
        </w:tc>
        <w:tc>
          <w:tcPr>
            <w:tcW w:w="154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May 30, 2024</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Director</w:t>
            </w:r>
          </w:p>
        </w:tc>
        <w:tc>
          <w:tcPr>
            <w:tcW w:w="13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vesting on May 15, 2024 of previously awarded restricted stock units.</w:t>
            </w:r>
          </w:p>
        </w:tc>
        <w:tc>
          <w:tcPr>
            <w:tcW w:w="1540" w:type="dxa"/>
            <w:vAlign w:val="bottom"/>
            <w:shd w:val="clear" w:color="auto" w:fill="CCEEFF"/>
          </w:tcPr>
          <w:p>
            <w:pPr>
              <w:spacing w:after="0"/>
              <w:rPr>
                <w:sz w:val="20"/>
                <w:szCs w:val="20"/>
                <w:color w:val="auto"/>
              </w:rPr>
            </w:pPr>
          </w:p>
        </w:tc>
      </w:tr>
      <w:tr>
        <w:trPr>
          <w:trHeight w:val="243"/>
        </w:trPr>
        <w:tc>
          <w:tcPr>
            <w:tcW w:w="13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r>
      <w:tr>
        <w:trPr>
          <w:trHeight w:val="188"/>
        </w:trPr>
        <w:tc>
          <w:tcPr>
            <w:tcW w:w="1320" w:type="dxa"/>
            <w:vAlign w:val="bottom"/>
          </w:tcPr>
          <w:p>
            <w:pPr>
              <w:ind w:left="20"/>
              <w:spacing w:after="0" w:line="189" w:lineRule="exact"/>
              <w:rPr>
                <w:sz w:val="20"/>
                <w:szCs w:val="20"/>
                <w:color w:val="auto"/>
              </w:rPr>
            </w:pPr>
            <w:r>
              <w:rPr>
                <w:rFonts w:ascii="Arial" w:cs="Arial" w:eastAsia="Arial" w:hAnsi="Arial"/>
                <w:sz w:val="18"/>
                <w:szCs w:val="18"/>
                <w:color w:val="auto"/>
              </w:rPr>
              <w:t>Scott Zucker</w:t>
            </w:r>
          </w:p>
        </w:tc>
        <w:tc>
          <w:tcPr>
            <w:tcW w:w="1380" w:type="dxa"/>
            <w:vAlign w:val="bottom"/>
          </w:tcPr>
          <w:p>
            <w:pPr>
              <w:ind w:left="100"/>
              <w:spacing w:after="0" w:line="189" w:lineRule="exact"/>
              <w:rPr>
                <w:sz w:val="20"/>
                <w:szCs w:val="20"/>
                <w:color w:val="auto"/>
              </w:rPr>
            </w:pPr>
            <w:r>
              <w:rPr>
                <w:rFonts w:ascii="Arial" w:cs="Arial" w:eastAsia="Arial" w:hAnsi="Arial"/>
                <w:sz w:val="18"/>
                <w:szCs w:val="18"/>
                <w:color w:val="auto"/>
              </w:rPr>
              <w:t>Adoption</w:t>
            </w:r>
          </w:p>
        </w:tc>
        <w:tc>
          <w:tcPr>
            <w:tcW w:w="1540" w:type="dxa"/>
            <w:vAlign w:val="bottom"/>
          </w:tcPr>
          <w:p>
            <w:pPr>
              <w:ind w:left="160"/>
              <w:spacing w:after="0" w:line="189" w:lineRule="exact"/>
              <w:rPr>
                <w:sz w:val="20"/>
                <w:szCs w:val="20"/>
                <w:color w:val="auto"/>
              </w:rPr>
            </w:pPr>
            <w:r>
              <w:rPr>
                <w:rFonts w:ascii="Arial" w:cs="Arial" w:eastAsia="Arial" w:hAnsi="Arial"/>
                <w:sz w:val="18"/>
                <w:szCs w:val="18"/>
                <w:color w:val="auto"/>
                <w:w w:val="88"/>
              </w:rPr>
              <w:t>September 1, 2023</w:t>
            </w:r>
          </w:p>
        </w:tc>
        <w:tc>
          <w:tcPr>
            <w:tcW w:w="5460" w:type="dxa"/>
            <w:vAlign w:val="bottom"/>
          </w:tcPr>
          <w:p>
            <w:pPr>
              <w:ind w:left="20"/>
              <w:spacing w:after="0" w:line="189" w:lineRule="exact"/>
              <w:rPr>
                <w:sz w:val="20"/>
                <w:szCs w:val="20"/>
                <w:color w:val="auto"/>
              </w:rPr>
            </w:pPr>
            <w:r>
              <w:rPr>
                <w:rFonts w:ascii="Arial" w:cs="Arial" w:eastAsia="Arial" w:hAnsi="Arial"/>
                <w:sz w:val="18"/>
                <w:szCs w:val="18"/>
                <w:color w:val="auto"/>
                <w:w w:val="96"/>
              </w:rPr>
              <w:t>Sale of an amount equal to up to: (A) 3,048 shares of Class A common</w:t>
            </w:r>
          </w:p>
        </w:tc>
        <w:tc>
          <w:tcPr>
            <w:tcW w:w="1540" w:type="dxa"/>
            <w:vAlign w:val="bottom"/>
          </w:tcPr>
          <w:p>
            <w:pPr>
              <w:ind w:left="80"/>
              <w:spacing w:after="0" w:line="189" w:lineRule="exact"/>
              <w:rPr>
                <w:sz w:val="20"/>
                <w:szCs w:val="20"/>
                <w:color w:val="auto"/>
              </w:rPr>
            </w:pPr>
            <w:r>
              <w:rPr>
                <w:rFonts w:ascii="Arial" w:cs="Arial" w:eastAsia="Arial" w:hAnsi="Arial"/>
                <w:sz w:val="18"/>
                <w:szCs w:val="18"/>
                <w:color w:val="auto"/>
              </w:rPr>
              <w:t>June 1, 2024</w:t>
            </w:r>
          </w:p>
        </w:tc>
      </w:tr>
      <w:tr>
        <w:trPr>
          <w:trHeight w:val="176"/>
        </w:trPr>
        <w:tc>
          <w:tcPr>
            <w:tcW w:w="13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Chief</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60" w:type="dxa"/>
            <w:vAlign w:val="bottom"/>
          </w:tcPr>
          <w:p>
            <w:pPr>
              <w:ind w:left="20"/>
              <w:spacing w:after="0" w:line="176" w:lineRule="exact"/>
              <w:rPr>
                <w:sz w:val="20"/>
                <w:szCs w:val="20"/>
                <w:color w:val="auto"/>
              </w:rPr>
            </w:pPr>
            <w:r>
              <w:rPr>
                <w:rFonts w:ascii="Arial" w:cs="Arial" w:eastAsia="Arial" w:hAnsi="Arial"/>
                <w:sz w:val="18"/>
                <w:szCs w:val="18"/>
                <w:color w:val="auto"/>
                <w:w w:val="97"/>
              </w:rPr>
              <w:t>stock and (B) (i) 10,180 shares of Class A common stock to be issued</w:t>
            </w:r>
          </w:p>
        </w:tc>
        <w:tc>
          <w:tcPr>
            <w:tcW w:w="1540" w:type="dxa"/>
            <w:vAlign w:val="bottom"/>
          </w:tcPr>
          <w:p>
            <w:pPr>
              <w:spacing w:after="0"/>
              <w:rPr>
                <w:sz w:val="15"/>
                <w:szCs w:val="15"/>
                <w:color w:val="auto"/>
              </w:rPr>
            </w:pPr>
          </w:p>
        </w:tc>
      </w:tr>
      <w:tr>
        <w:trPr>
          <w:trHeight w:val="175"/>
        </w:trPr>
        <w:tc>
          <w:tcPr>
            <w:tcW w:w="13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Administrative</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60" w:type="dxa"/>
            <w:vAlign w:val="bottom"/>
          </w:tcPr>
          <w:p>
            <w:pPr>
              <w:ind w:left="20"/>
              <w:spacing w:after="0" w:line="176" w:lineRule="exact"/>
              <w:rPr>
                <w:sz w:val="20"/>
                <w:szCs w:val="20"/>
                <w:color w:val="auto"/>
              </w:rPr>
            </w:pPr>
            <w:r>
              <w:rPr>
                <w:rFonts w:ascii="Arial" w:cs="Arial" w:eastAsia="Arial" w:hAnsi="Arial"/>
                <w:sz w:val="18"/>
                <w:szCs w:val="18"/>
                <w:color w:val="auto"/>
                <w:w w:val="92"/>
              </w:rPr>
              <w:t>upon the vesting on January 1, 2024 of previously awarded performance-</w:t>
            </w:r>
          </w:p>
        </w:tc>
        <w:tc>
          <w:tcPr>
            <w:tcW w:w="1540" w:type="dxa"/>
            <w:vAlign w:val="bottom"/>
          </w:tcPr>
          <w:p>
            <w:pPr>
              <w:spacing w:after="0"/>
              <w:rPr>
                <w:sz w:val="15"/>
                <w:szCs w:val="15"/>
                <w:color w:val="auto"/>
              </w:rPr>
            </w:pPr>
          </w:p>
        </w:tc>
      </w:tr>
      <w:tr>
        <w:trPr>
          <w:trHeight w:val="188"/>
        </w:trPr>
        <w:tc>
          <w:tcPr>
            <w:tcW w:w="1320" w:type="dxa"/>
            <w:vAlign w:val="bottom"/>
          </w:tcPr>
          <w:p>
            <w:pPr>
              <w:ind w:left="20"/>
              <w:spacing w:after="0" w:line="189" w:lineRule="exact"/>
              <w:rPr>
                <w:sz w:val="20"/>
                <w:szCs w:val="20"/>
                <w:color w:val="auto"/>
              </w:rPr>
            </w:pPr>
            <w:r>
              <w:rPr>
                <w:rFonts w:ascii="Arial" w:cs="Arial" w:eastAsia="Arial" w:hAnsi="Arial"/>
                <w:sz w:val="18"/>
                <w:szCs w:val="18"/>
                <w:i w:val="1"/>
                <w:iCs w:val="1"/>
                <w:color w:val="auto"/>
                <w:w w:val="99"/>
              </w:rPr>
              <w:t>and Risk Officer</w:t>
            </w: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60" w:type="dxa"/>
            <w:vAlign w:val="bottom"/>
          </w:tcPr>
          <w:p>
            <w:pPr>
              <w:ind w:left="20"/>
              <w:spacing w:after="0" w:line="189" w:lineRule="exact"/>
              <w:rPr>
                <w:sz w:val="20"/>
                <w:szCs w:val="20"/>
                <w:color w:val="auto"/>
              </w:rPr>
            </w:pPr>
            <w:r>
              <w:rPr>
                <w:rFonts w:ascii="Arial" w:cs="Arial" w:eastAsia="Arial" w:hAnsi="Arial"/>
                <w:sz w:val="18"/>
                <w:szCs w:val="18"/>
                <w:color w:val="auto"/>
                <w:w w:val="96"/>
              </w:rPr>
              <w:t>based restricted stock units, plus (ii) the number of shares issued upon</w:t>
            </w:r>
          </w:p>
        </w:tc>
        <w:tc>
          <w:tcPr>
            <w:tcW w:w="1540" w:type="dxa"/>
            <w:vAlign w:val="bottom"/>
          </w:tcPr>
          <w:p>
            <w:pPr>
              <w:spacing w:after="0"/>
              <w:rPr>
                <w:sz w:val="16"/>
                <w:szCs w:val="16"/>
                <w:color w:val="auto"/>
              </w:rPr>
            </w:pPr>
          </w:p>
        </w:tc>
      </w:tr>
      <w:tr>
        <w:trPr>
          <w:trHeight w:val="176"/>
        </w:trPr>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60" w:type="dxa"/>
            <w:vAlign w:val="bottom"/>
          </w:tcPr>
          <w:p>
            <w:pPr>
              <w:ind w:left="20"/>
              <w:spacing w:after="0" w:line="176" w:lineRule="exact"/>
              <w:rPr>
                <w:sz w:val="20"/>
                <w:szCs w:val="20"/>
                <w:color w:val="auto"/>
              </w:rPr>
            </w:pPr>
            <w:r>
              <w:rPr>
                <w:rFonts w:ascii="Arial" w:cs="Arial" w:eastAsia="Arial" w:hAnsi="Arial"/>
                <w:sz w:val="18"/>
                <w:szCs w:val="18"/>
                <w:color w:val="auto"/>
                <w:w w:val="95"/>
              </w:rPr>
              <w:t>vesting on January 1, 2024 in settlement of dividend equivalent rights in</w:t>
            </w:r>
          </w:p>
        </w:tc>
        <w:tc>
          <w:tcPr>
            <w:tcW w:w="1540" w:type="dxa"/>
            <w:vAlign w:val="bottom"/>
          </w:tcPr>
          <w:p>
            <w:pPr>
              <w:spacing w:after="0"/>
              <w:rPr>
                <w:sz w:val="15"/>
                <w:szCs w:val="15"/>
                <w:color w:val="auto"/>
              </w:rPr>
            </w:pPr>
          </w:p>
        </w:tc>
      </w:tr>
      <w:tr>
        <w:trPr>
          <w:trHeight w:val="175"/>
        </w:trPr>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60" w:type="dxa"/>
            <w:vAlign w:val="bottom"/>
          </w:tcPr>
          <w:p>
            <w:pPr>
              <w:ind w:left="20"/>
              <w:spacing w:after="0" w:line="176" w:lineRule="exact"/>
              <w:rPr>
                <w:sz w:val="20"/>
                <w:szCs w:val="20"/>
                <w:color w:val="auto"/>
              </w:rPr>
            </w:pPr>
            <w:r>
              <w:rPr>
                <w:rFonts w:ascii="Arial" w:cs="Arial" w:eastAsia="Arial" w:hAnsi="Arial"/>
                <w:sz w:val="18"/>
                <w:szCs w:val="18"/>
                <w:color w:val="auto"/>
                <w:w w:val="93"/>
              </w:rPr>
              <w:t>respect of the 10,180 shares subject to the performance-based restricted</w:t>
            </w:r>
          </w:p>
        </w:tc>
        <w:tc>
          <w:tcPr>
            <w:tcW w:w="1540" w:type="dxa"/>
            <w:vAlign w:val="bottom"/>
          </w:tcPr>
          <w:p>
            <w:pPr>
              <w:spacing w:after="0"/>
              <w:rPr>
                <w:sz w:val="15"/>
                <w:szCs w:val="15"/>
                <w:color w:val="auto"/>
              </w:rPr>
            </w:pPr>
          </w:p>
        </w:tc>
      </w:tr>
      <w:tr>
        <w:trPr>
          <w:trHeight w:val="188"/>
        </w:trPr>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60" w:type="dxa"/>
            <w:vAlign w:val="bottom"/>
          </w:tcPr>
          <w:p>
            <w:pPr>
              <w:ind w:left="20"/>
              <w:spacing w:after="0" w:line="189" w:lineRule="exact"/>
              <w:rPr>
                <w:sz w:val="20"/>
                <w:szCs w:val="20"/>
                <w:color w:val="auto"/>
              </w:rPr>
            </w:pPr>
            <w:r>
              <w:rPr>
                <w:rFonts w:ascii="Arial" w:cs="Arial" w:eastAsia="Arial" w:hAnsi="Arial"/>
                <w:sz w:val="18"/>
                <w:szCs w:val="18"/>
                <w:color w:val="auto"/>
                <w:w w:val="96"/>
              </w:rPr>
              <w:t>stock units that accrued during the award’s vesting period of March 15,</w:t>
            </w:r>
          </w:p>
        </w:tc>
        <w:tc>
          <w:tcPr>
            <w:tcW w:w="1540" w:type="dxa"/>
            <w:vAlign w:val="bottom"/>
          </w:tcPr>
          <w:p>
            <w:pPr>
              <w:spacing w:after="0"/>
              <w:rPr>
                <w:sz w:val="16"/>
                <w:szCs w:val="16"/>
                <w:color w:val="auto"/>
              </w:rPr>
            </w:pPr>
          </w:p>
        </w:tc>
      </w:tr>
      <w:tr>
        <w:trPr>
          <w:trHeight w:val="176"/>
        </w:trPr>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60" w:type="dxa"/>
            <w:vAlign w:val="bottom"/>
          </w:tcPr>
          <w:p>
            <w:pPr>
              <w:ind w:left="20"/>
              <w:spacing w:after="0" w:line="176" w:lineRule="exact"/>
              <w:rPr>
                <w:sz w:val="20"/>
                <w:szCs w:val="20"/>
                <w:color w:val="auto"/>
              </w:rPr>
            </w:pPr>
            <w:r>
              <w:rPr>
                <w:rFonts w:ascii="Arial" w:cs="Arial" w:eastAsia="Arial" w:hAnsi="Arial"/>
                <w:sz w:val="18"/>
                <w:szCs w:val="18"/>
                <w:color w:val="auto"/>
                <w:w w:val="91"/>
              </w:rPr>
              <w:t>2021 - January 1, 2024, pursuant to the terms of the award agreement and</w:t>
            </w:r>
          </w:p>
        </w:tc>
        <w:tc>
          <w:tcPr>
            <w:tcW w:w="1540" w:type="dxa"/>
            <w:vAlign w:val="bottom"/>
          </w:tcPr>
          <w:p>
            <w:pPr>
              <w:spacing w:after="0"/>
              <w:rPr>
                <w:sz w:val="15"/>
                <w:szCs w:val="15"/>
                <w:color w:val="auto"/>
              </w:rPr>
            </w:pPr>
          </w:p>
        </w:tc>
      </w:tr>
      <w:tr>
        <w:trPr>
          <w:trHeight w:val="176"/>
        </w:trPr>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460" w:type="dxa"/>
            <w:vAlign w:val="bottom"/>
          </w:tcPr>
          <w:p>
            <w:pPr>
              <w:ind w:left="20"/>
              <w:spacing w:after="0" w:line="176" w:lineRule="exact"/>
              <w:rPr>
                <w:sz w:val="20"/>
                <w:szCs w:val="20"/>
                <w:color w:val="auto"/>
              </w:rPr>
            </w:pPr>
            <w:r>
              <w:rPr>
                <w:rFonts w:ascii="Arial" w:cs="Arial" w:eastAsia="Arial" w:hAnsi="Arial"/>
                <w:sz w:val="18"/>
                <w:szCs w:val="18"/>
                <w:color w:val="auto"/>
                <w:w w:val="96"/>
              </w:rPr>
              <w:t>determined on the vesting date, less (iii) the number of shares withheld</w:t>
            </w:r>
          </w:p>
        </w:tc>
        <w:tc>
          <w:tcPr>
            <w:tcW w:w="1540" w:type="dxa"/>
            <w:vAlign w:val="bottom"/>
          </w:tcPr>
          <w:p>
            <w:pPr>
              <w:spacing w:after="0"/>
              <w:rPr>
                <w:sz w:val="15"/>
                <w:szCs w:val="15"/>
                <w:color w:val="auto"/>
              </w:rPr>
            </w:pPr>
          </w:p>
        </w:tc>
      </w:tr>
      <w:tr>
        <w:trPr>
          <w:trHeight w:val="229"/>
        </w:trPr>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for taxes, to be determined on the vesting date.</w:t>
            </w:r>
          </w:p>
        </w:tc>
        <w:tc>
          <w:tcPr>
            <w:tcW w:w="1540" w:type="dxa"/>
            <w:vAlign w:val="bottom"/>
          </w:tcPr>
          <w:p>
            <w:pPr>
              <w:spacing w:after="0"/>
              <w:rPr>
                <w:sz w:val="19"/>
                <w:szCs w:val="19"/>
                <w:color w:val="auto"/>
              </w:rPr>
            </w:pPr>
          </w:p>
        </w:tc>
      </w:tr>
      <w:tr>
        <w:trPr>
          <w:trHeight w:val="188"/>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Billy Hult</w:t>
            </w:r>
          </w:p>
        </w:tc>
        <w:tc>
          <w:tcPr>
            <w:tcW w:w="138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 xml:space="preserve">Modification </w:t>
            </w:r>
            <w:r>
              <w:rPr>
                <w:rFonts w:ascii="Arial" w:cs="Arial" w:eastAsia="Arial" w:hAnsi="Arial"/>
                <w:sz w:val="21"/>
                <w:szCs w:val="21"/>
                <w:color w:val="auto"/>
                <w:vertAlign w:val="superscript"/>
              </w:rPr>
              <w:t>(2)</w:t>
            </w:r>
          </w:p>
        </w:tc>
        <w:tc>
          <w:tcPr>
            <w:tcW w:w="15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88"/>
              </w:rPr>
              <w:t>September 8, 2023</w:t>
            </w:r>
          </w:p>
        </w:tc>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Sale of an amount equal to up to: (A) 35,000 shares of Class A common</w:t>
            </w:r>
          </w:p>
        </w:tc>
        <w:tc>
          <w:tcPr>
            <w:tcW w:w="15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May 16, 2024</w:t>
            </w:r>
          </w:p>
        </w:tc>
      </w:tr>
      <w:tr>
        <w:trPr>
          <w:trHeight w:val="176"/>
        </w:trPr>
        <w:tc>
          <w:tcPr>
            <w:tcW w:w="1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Chief Executive</w:t>
            </w: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stock to be issued upon the exercise of options in accordance with the</w:t>
            </w:r>
          </w:p>
        </w:tc>
        <w:tc>
          <w:tcPr>
            <w:tcW w:w="1540" w:type="dxa"/>
            <w:vAlign w:val="bottom"/>
            <w:shd w:val="clear" w:color="auto" w:fill="CCEEFF"/>
          </w:tcPr>
          <w:p>
            <w:pPr>
              <w:spacing w:after="0"/>
              <w:rPr>
                <w:sz w:val="15"/>
                <w:szCs w:val="15"/>
                <w:color w:val="auto"/>
              </w:rPr>
            </w:pPr>
          </w:p>
        </w:tc>
      </w:tr>
      <w:tr>
        <w:trPr>
          <w:trHeight w:val="175"/>
        </w:trPr>
        <w:tc>
          <w:tcPr>
            <w:tcW w:w="1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i w:val="1"/>
                <w:iCs w:val="1"/>
                <w:color w:val="auto"/>
              </w:rPr>
              <w:t>Officer and</w:t>
            </w: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terms of the Rule 10b5-1 trading arrangement and (B) (i) 49,688 shares of</w:t>
            </w:r>
          </w:p>
        </w:tc>
        <w:tc>
          <w:tcPr>
            <w:tcW w:w="1540" w:type="dxa"/>
            <w:vAlign w:val="bottom"/>
            <w:shd w:val="clear" w:color="auto" w:fill="CCEEFF"/>
          </w:tcPr>
          <w:p>
            <w:pPr>
              <w:spacing w:after="0"/>
              <w:rPr>
                <w:sz w:val="15"/>
                <w:szCs w:val="15"/>
                <w:color w:val="auto"/>
              </w:rPr>
            </w:pPr>
          </w:p>
        </w:tc>
      </w:tr>
      <w:tr>
        <w:trPr>
          <w:trHeight w:val="188"/>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i w:val="1"/>
                <w:iCs w:val="1"/>
                <w:color w:val="auto"/>
              </w:rPr>
              <w:t>Director</w:t>
            </w:r>
          </w:p>
        </w:tc>
        <w:tc>
          <w:tcPr>
            <w:tcW w:w="1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Class A common stock to be issued upon the vesting on January 1, 2024</w:t>
            </w:r>
          </w:p>
        </w:tc>
        <w:tc>
          <w:tcPr>
            <w:tcW w:w="1540" w:type="dxa"/>
            <w:vAlign w:val="bottom"/>
            <w:shd w:val="clear" w:color="auto" w:fill="CCEEFF"/>
          </w:tcPr>
          <w:p>
            <w:pPr>
              <w:spacing w:after="0"/>
              <w:rPr>
                <w:sz w:val="16"/>
                <w:szCs w:val="16"/>
                <w:color w:val="auto"/>
              </w:rPr>
            </w:pPr>
          </w:p>
        </w:tc>
      </w:tr>
      <w:tr>
        <w:trPr>
          <w:trHeight w:val="176"/>
        </w:trPr>
        <w:tc>
          <w:tcPr>
            <w:tcW w:w="1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of previously awarded performance-based restricted stock units, plus (ii)</w:t>
            </w:r>
          </w:p>
        </w:tc>
        <w:tc>
          <w:tcPr>
            <w:tcW w:w="1540" w:type="dxa"/>
            <w:vAlign w:val="bottom"/>
            <w:shd w:val="clear" w:color="auto" w:fill="CCEEFF"/>
          </w:tcPr>
          <w:p>
            <w:pPr>
              <w:spacing w:after="0"/>
              <w:rPr>
                <w:sz w:val="15"/>
                <w:szCs w:val="15"/>
                <w:color w:val="auto"/>
              </w:rPr>
            </w:pPr>
          </w:p>
        </w:tc>
      </w:tr>
      <w:tr>
        <w:trPr>
          <w:trHeight w:val="175"/>
        </w:trPr>
        <w:tc>
          <w:tcPr>
            <w:tcW w:w="1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the number of shares issued upon vesting on January 1, 2024 in</w:t>
            </w:r>
          </w:p>
        </w:tc>
        <w:tc>
          <w:tcPr>
            <w:tcW w:w="1540" w:type="dxa"/>
            <w:vAlign w:val="bottom"/>
            <w:shd w:val="clear" w:color="auto" w:fill="CCEEFF"/>
          </w:tcPr>
          <w:p>
            <w:pPr>
              <w:spacing w:after="0"/>
              <w:rPr>
                <w:sz w:val="15"/>
                <w:szCs w:val="15"/>
                <w:color w:val="auto"/>
              </w:rPr>
            </w:pPr>
          </w:p>
        </w:tc>
      </w:tr>
      <w:tr>
        <w:trPr>
          <w:trHeight w:val="188"/>
        </w:trPr>
        <w:tc>
          <w:tcPr>
            <w:tcW w:w="1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settlement of dividend equivalent rights in respect of the 49,688 shares</w:t>
            </w:r>
          </w:p>
        </w:tc>
        <w:tc>
          <w:tcPr>
            <w:tcW w:w="1540" w:type="dxa"/>
            <w:vAlign w:val="bottom"/>
            <w:shd w:val="clear" w:color="auto" w:fill="CCEEFF"/>
          </w:tcPr>
          <w:p>
            <w:pPr>
              <w:spacing w:after="0"/>
              <w:rPr>
                <w:sz w:val="16"/>
                <w:szCs w:val="16"/>
                <w:color w:val="auto"/>
              </w:rPr>
            </w:pPr>
          </w:p>
        </w:tc>
      </w:tr>
      <w:tr>
        <w:trPr>
          <w:trHeight w:val="176"/>
        </w:trPr>
        <w:tc>
          <w:tcPr>
            <w:tcW w:w="1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subject to the performance-based restricted stock units that accrued</w:t>
            </w:r>
          </w:p>
        </w:tc>
        <w:tc>
          <w:tcPr>
            <w:tcW w:w="1540" w:type="dxa"/>
            <w:vAlign w:val="bottom"/>
            <w:shd w:val="clear" w:color="auto" w:fill="CCEEFF"/>
          </w:tcPr>
          <w:p>
            <w:pPr>
              <w:spacing w:after="0"/>
              <w:rPr>
                <w:sz w:val="15"/>
                <w:szCs w:val="15"/>
                <w:color w:val="auto"/>
              </w:rPr>
            </w:pPr>
          </w:p>
        </w:tc>
      </w:tr>
      <w:tr>
        <w:trPr>
          <w:trHeight w:val="176"/>
        </w:trPr>
        <w:tc>
          <w:tcPr>
            <w:tcW w:w="1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during the award’s vesting period of March 15, 2021 - January 1, 2024,</w:t>
            </w:r>
          </w:p>
        </w:tc>
        <w:tc>
          <w:tcPr>
            <w:tcW w:w="1540" w:type="dxa"/>
            <w:vAlign w:val="bottom"/>
            <w:shd w:val="clear" w:color="auto" w:fill="CCEEFF"/>
          </w:tcPr>
          <w:p>
            <w:pPr>
              <w:spacing w:after="0"/>
              <w:rPr>
                <w:sz w:val="15"/>
                <w:szCs w:val="15"/>
                <w:color w:val="auto"/>
              </w:rPr>
            </w:pPr>
          </w:p>
        </w:tc>
      </w:tr>
      <w:tr>
        <w:trPr>
          <w:trHeight w:val="188"/>
        </w:trPr>
        <w:tc>
          <w:tcPr>
            <w:tcW w:w="13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pursuant to the terms of the award agreement and determined on the</w:t>
            </w:r>
          </w:p>
        </w:tc>
        <w:tc>
          <w:tcPr>
            <w:tcW w:w="1540" w:type="dxa"/>
            <w:vAlign w:val="bottom"/>
            <w:shd w:val="clear" w:color="auto" w:fill="CCEEFF"/>
          </w:tcPr>
          <w:p>
            <w:pPr>
              <w:spacing w:after="0"/>
              <w:rPr>
                <w:sz w:val="16"/>
                <w:szCs w:val="16"/>
                <w:color w:val="auto"/>
              </w:rPr>
            </w:pPr>
          </w:p>
        </w:tc>
      </w:tr>
      <w:tr>
        <w:trPr>
          <w:trHeight w:val="176"/>
        </w:trPr>
        <w:tc>
          <w:tcPr>
            <w:tcW w:w="1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vesting date, less (iii) the number of shares withheld for taxes, to be</w:t>
            </w:r>
          </w:p>
        </w:tc>
        <w:tc>
          <w:tcPr>
            <w:tcW w:w="1540" w:type="dxa"/>
            <w:vAlign w:val="bottom"/>
            <w:shd w:val="clear" w:color="auto" w:fill="CCEEFF"/>
          </w:tcPr>
          <w:p>
            <w:pPr>
              <w:spacing w:after="0"/>
              <w:rPr>
                <w:sz w:val="15"/>
                <w:szCs w:val="15"/>
                <w:color w:val="auto"/>
              </w:rPr>
            </w:pPr>
          </w:p>
        </w:tc>
      </w:tr>
      <w:tr>
        <w:trPr>
          <w:trHeight w:val="230"/>
        </w:trPr>
        <w:tc>
          <w:tcPr>
            <w:tcW w:w="1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determined on the vesting date.</w:t>
            </w:r>
          </w:p>
        </w:tc>
        <w:tc>
          <w:tcPr>
            <w:tcW w:w="154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ind w:left="340" w:right="160" w:hanging="332"/>
        <w:spacing w:after="0" w:line="266" w:lineRule="auto"/>
        <w:tabs>
          <w:tab w:leader="none" w:pos="328"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each case, the Rule 10b5-1 trading arrangement may also expire on such earlier date as all such transactions under the trading arrangement are completed or at such time as such trading arrangement is otherwise terminated in accordance with its terms.</w:t>
      </w:r>
    </w:p>
    <w:p>
      <w:pPr>
        <w:ind w:left="340" w:right="60" w:hanging="332"/>
        <w:spacing w:after="0" w:line="285" w:lineRule="auto"/>
        <w:tabs>
          <w:tab w:leader="none" w:pos="328" w:val="left"/>
        </w:tabs>
        <w:numPr>
          <w:ilvl w:val="0"/>
          <w:numId w:val="36"/>
        </w:numPr>
        <w:rPr>
          <w:rFonts w:ascii="Arial" w:cs="Arial" w:eastAsia="Arial" w:hAnsi="Arial"/>
          <w:sz w:val="13"/>
          <w:szCs w:val="13"/>
          <w:color w:val="auto"/>
        </w:rPr>
      </w:pPr>
      <w:r>
        <w:rPr>
          <w:rFonts w:ascii="Arial" w:cs="Arial" w:eastAsia="Arial" w:hAnsi="Arial"/>
          <w:sz w:val="13"/>
          <w:szCs w:val="13"/>
          <w:color w:val="auto"/>
        </w:rPr>
        <w:t>Modified the Rule 10b5-1 trading arrangement originally adopted by Mr. Hult on May 16, 2023 (the “Original Hult Plan”) to increase the number of shares covered by such trading arrangement. The Original Hult Plan provided for the potential sale of an amount of shares of Class A common stock equal to up to: (i) 49,688 shares of Class A common stock to be issued upon the vesting on January 1, 2024 of previously awarded performance-based restricted stock units, plus (ii) the number of shares issued upon vesting on January 1, 2024 in settlement of dividend equivalent rights in respect of the 49,688 shares subject to the performance-based restricted stock units that accrued during the award’s vesting period of March 15, 2021 - January 1, 2024, pursuant to the terms of the award agreement and determined on the vesting date, less (iii) the number of shares withheld for taxes, to be determined on the vesting date. As of the date of modification, no shares of Class A common stock had been sold under the Original Hult Plan.</w:t>
      </w:r>
    </w:p>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months ended September 30, 2023, none of our directors or executive officers adopted, modified or terminated a non-Rule 10b5-1 trading arrangement (as defined in Item 408 of Regulation S-K).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20" w:type="dxa"/>
            <w:vAlign w:val="bottom"/>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31"/>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line="207" w:lineRule="exact"/>
              <w:rPr>
                <w:sz w:val="20"/>
                <w:szCs w:val="20"/>
                <w:color w:val="auto"/>
              </w:rPr>
            </w:pPr>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9"/>
              </w:rPr>
              <w:t>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line="207" w:lineRule="exact"/>
              <w:rPr>
                <w:sz w:val="20"/>
                <w:szCs w:val="20"/>
                <w:color w:val="auto"/>
              </w:rPr>
            </w:pPr>
            <w:r>
              <w:rPr>
                <w:rFonts w:ascii="Arial" w:cs="Arial" w:eastAsia="Arial" w:hAnsi="Arial"/>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or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of the Securities Exchange Act of 1934, as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9"/>
              </w:rPr>
              <w:t>amended, as adopted pursuant to Section 302 of the Sarbanes-Oxley Act of 2002.</w:t>
            </w:r>
          </w:p>
        </w:tc>
        <w:tc>
          <w:tcPr>
            <w:tcW w:w="300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0000FF"/>
                <w:w w:val="93"/>
              </w:rPr>
              <w:t>Certification of Chief Executive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Oxley Act of 2002.</w:t>
            </w:r>
          </w:p>
        </w:tc>
        <w:tc>
          <w:tcPr>
            <w:tcW w:w="3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85"/>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0000FF"/>
                <w:w w:val="94"/>
              </w:rPr>
              <w:t>Certification of Chief Financial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Oxley Act of 2002.</w:t>
            </w:r>
          </w:p>
        </w:tc>
        <w:tc>
          <w:tcPr>
            <w:tcW w:w="360" w:type="dxa"/>
            <w:vAlign w:val="bottom"/>
            <w:gridSpan w:val="2"/>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20" w:type="dxa"/>
            <w:vAlign w:val="bottom"/>
            <w:gridSpan w:val="6"/>
          </w:tcPr>
          <w:p>
            <w:pPr>
              <w:spacing w:after="0" w:line="20" w:lineRule="exact"/>
              <w:rPr>
                <w:sz w:val="1"/>
                <w:szCs w:val="1"/>
                <w:color w:val="auto"/>
              </w:rPr>
            </w:pPr>
          </w:p>
        </w:tc>
      </w:tr>
      <w:tr>
        <w:trPr>
          <w:trHeight w:val="426"/>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91"/>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bl>
    <w:p>
      <w:pPr>
        <w:spacing w:after="0" w:line="25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Indicates a management contract or compensatory plan or arrangement.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William Hult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Sara Furber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125" w:right="37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2023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26,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Hult</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William Hult</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2023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September 30, 2023,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26, 2023</w:t>
      </w:r>
      <w:r>
        <w:rPr>
          <w:sz w:val="20"/>
          <w:szCs w:val="20"/>
          <w:color w:val="auto"/>
        </w:rPr>
        <w:tab/>
      </w:r>
      <w:r>
        <w:rPr>
          <w:rFonts w:ascii="Arial" w:cs="Arial" w:eastAsia="Arial" w:hAnsi="Arial"/>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September 30, 2023,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49"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26,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 Furber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Sara Furber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endash "/>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488"/>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2"/>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2023-10-26T06:17:53Z</dcterms:created>
  <dcterms:modified xsi:type="dcterms:W3CDTF">2023-10-26T06:17:53Z</dcterms:modified>
</cp:coreProperties>
</file>