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10,290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86,007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24,628 unvested RSUs in respect of Class A Common Stock which are scheduled to vest on January 1, 2021, subject to the reporting person's continued employment through such date, (ii) 39,604 unvested RSUs in respect of Class A Common Stock which are scheduled to vest on January 1, 2022, subject to the reporting person's continued employment through such date, and (iii) 10,290 unvested RSUs in respect of Class A Common Stock which are scheduled to vest as described in footnote 1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03/19/2020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2020-03-19T16:33:32Z</dcterms:created>
  <dcterms:modified xsi:type="dcterms:W3CDTF">2020-03-19T16:33:32Z</dcterms:modified>
</cp:coreProperties>
</file>