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Bruni Enrico</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Tradeweb Markets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03/20/2023</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45"/>
        <w:spacing w:after="0"/>
        <w:rPr>
          <w:sz w:val="20"/>
          <w:szCs w:val="20"/>
          <w:color w:val="auto"/>
        </w:rPr>
      </w:pPr>
      <w:r>
        <w:rPr>
          <w:rFonts w:ascii="Times New Roman" w:cs="Times New Roman" w:eastAsia="Times New Roman" w:hAnsi="Times New Roman"/>
          <w:sz w:val="17"/>
          <w:szCs w:val="17"/>
          <w:color w:val="0000FF"/>
        </w:rPr>
        <w:t>Managing Director, Europe/Asia</w:t>
      </w:r>
    </w:p>
    <w:p>
      <w:pPr>
        <w:spacing w:after="0" w:line="408"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5"/>
                <w:szCs w:val="15"/>
                <w:color w:val="auto"/>
              </w:rPr>
            </w:pPr>
          </w:p>
        </w:tc>
        <w:tc>
          <w:tcPr>
            <w:tcW w:w="3560" w:type="dxa"/>
            <w:vAlign w:val="bottom"/>
            <w:gridSpan w:val="9"/>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3"/>
          </w:tcPr>
          <w:p>
            <w:pPr>
              <w:ind w:left="22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10036</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03/20/2023</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2,520</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75.04</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89,783</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03/20/2023</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jc w:val="center"/>
              <w:ind w:right="77"/>
              <w:spacing w:after="0" w:line="320" w:lineRule="exact"/>
              <w:rPr>
                <w:sz w:val="20"/>
                <w:szCs w:val="20"/>
                <w:color w:val="auto"/>
              </w:rPr>
            </w:pPr>
            <w:r>
              <w:rPr>
                <w:rFonts w:ascii="Times New Roman" w:cs="Times New Roman" w:eastAsia="Times New Roman" w:hAnsi="Times New Roman"/>
                <w:sz w:val="34"/>
                <w:szCs w:val="34"/>
                <w:color w:val="0000FF"/>
                <w:vertAlign w:val="subscript"/>
              </w:rPr>
              <w:t>36</w:t>
            </w:r>
            <w:r>
              <w:rPr>
                <w:rFonts w:ascii="Times New Roman" w:cs="Times New Roman" w:eastAsia="Times New Roman" w:hAnsi="Times New Roman"/>
                <w:sz w:val="11"/>
                <w:szCs w:val="11"/>
                <w:color w:val="008000"/>
              </w:rPr>
              <w:t>(3)</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2"/>
          </w:tcPr>
          <w:p>
            <w:pPr>
              <w:jc w:val="center"/>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89,819</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by the issuer to satisfy the tax withholding obligation associated with the settlement of restricted stock units ("RSUs") in respect of the issuer's Class A common stock ("Class A Common Stock") held by the reporting person.</w:t>
      </w:r>
    </w:p>
    <w:p>
      <w:pPr>
        <w:spacing w:after="0" w:line="7" w:lineRule="exact"/>
        <w:rPr>
          <w:rFonts w:ascii="Times New Roman" w:cs="Times New Roman" w:eastAsia="Times New Roman" w:hAnsi="Times New Roman"/>
          <w:sz w:val="13"/>
          <w:szCs w:val="13"/>
          <w:color w:val="008000"/>
        </w:rPr>
      </w:pPr>
    </w:p>
    <w:p>
      <w:pPr>
        <w:ind w:left="40" w:right="22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includes (i) 3,146 unvested RSUs in respect of Class A Common Stock which are scheduled to vest on March 15, 2024, (ii) 18,878 unvested RSUs in respect of Class A Common Stock which are scheduled to vest on January 1, 2024, (iii) 7,364 unvested RSUs in respect of Class A Common Stock which are scheduled to vest in equal installments on March 15, 2024 and March 15, 2025, (iv) 14,271 unvested RSUs in respect of Class A Common Stock that are scheduled to vest on January 1, 2025 and (v) 17,819 unvested RSUs in respect of Class A Common Stock which are scheduled to vest in equal installments on March 15, 2024, March 15, 2025 and March 15, 2026, in each case subject to the reporting person's continued employment through the applicable vesting date.</w:t>
      </w:r>
    </w:p>
    <w:p>
      <w:pPr>
        <w:spacing w:after="0" w:line="24" w:lineRule="exact"/>
        <w:rPr>
          <w:rFonts w:ascii="Times New Roman" w:cs="Times New Roman" w:eastAsia="Times New Roman" w:hAnsi="Times New Roman"/>
          <w:sz w:val="13"/>
          <w:szCs w:val="13"/>
          <w:color w:val="008000"/>
        </w:rPr>
      </w:pPr>
    </w:p>
    <w:p>
      <w:pPr>
        <w:ind w:left="40" w:right="5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Class A Common Stock acquired in connection with the settlement of certain dividend equivalent rights (the "DERs"). The DERs were granted in connection with previously awarded RSUs, and settled in shares of Class A Common Stock in connection with the settlement of the RSUs to which they relate.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Scott Zucker, Attorney-in-</w:t>
            </w:r>
          </w:p>
        </w:tc>
        <w:tc>
          <w:tcPr>
            <w:tcW w:w="6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03/22/2023</w:t>
            </w:r>
          </w:p>
        </w:tc>
        <w:tc>
          <w:tcPr>
            <w:tcW w:w="0" w:type="dxa"/>
            <w:vAlign w:val="bottom"/>
          </w:tcPr>
          <w:p>
            <w:pPr>
              <w:spacing w:after="0"/>
              <w:rPr>
                <w:sz w:val="1"/>
                <w:szCs w:val="1"/>
                <w:color w:val="auto"/>
              </w:rPr>
            </w:pPr>
          </w:p>
        </w:tc>
      </w:tr>
      <w:tr>
        <w:trPr>
          <w:trHeight w:val="87"/>
        </w:trPr>
        <w:tc>
          <w:tcPr>
            <w:tcW w:w="150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Enrico Bruni</w:t>
            </w:r>
          </w:p>
        </w:tc>
        <w:tc>
          <w:tcPr>
            <w:tcW w:w="62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500" w:type="dxa"/>
            <w:vAlign w:val="bottom"/>
            <w:tcBorders>
              <w:bottom w:val="single" w:sz="8" w:color="auto"/>
            </w:tcBorders>
            <w:vMerge w:val="continue"/>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1187"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2023-03-22T19:41:21Z</dcterms:created>
  <dcterms:modified xsi:type="dcterms:W3CDTF">2023-03-22T19:41:21Z</dcterms:modified>
</cp:coreProperties>
</file>