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382882.xml.htm"/>
      <w:bookmarkStart w:id="1" w:name="kswkform4_17743828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4"/>
        <w:gridCol w:w="801"/>
        <w:gridCol w:w="620"/>
        <w:gridCol w:w="348"/>
        <w:gridCol w:w="833"/>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03/20/2026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125.1349</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57,512</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$124.26 to $125.74,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 2,548 unvested restricted stock units ("RSUs") in respect of the issuer's Class A common stock ("Class A Common Stock") that are scheduled to vest on March 15, 2027, (ii) 4,485 unvested RSUs in respect of Class A Common Stock that are scheduled to vest in equal installments on March 17, 2027 and March 17, 2028 and (iii) 8,037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Justin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231"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4096</Characters>
  <CharactersWithSpaces>4801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