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587375</wp:posOffset>
            </wp:positionV>
            <wp:extent cx="714819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333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614680</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6" w:lineRule="exact"/>
        <w:rPr>
          <w:sz w:val="24"/>
          <w:szCs w:val="24"/>
          <w:color w:val="auto"/>
        </w:rPr>
      </w:pPr>
    </w:p>
    <w:p>
      <w:pPr>
        <w:ind w:left="402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75" w:lineRule="exact"/>
        <w:rPr>
          <w:sz w:val="24"/>
          <w:szCs w:val="24"/>
          <w:color w:val="auto"/>
        </w:rPr>
      </w:pPr>
    </w:p>
    <w:p>
      <w:pPr>
        <w:ind w:left="402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CURRENT REPORT</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64"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May 15, 2023</w:t>
      </w:r>
    </w:p>
    <w:p>
      <w:pPr>
        <w:spacing w:after="0" w:line="22" w:lineRule="exact"/>
        <w:rPr>
          <w:sz w:val="24"/>
          <w:szCs w:val="24"/>
          <w:color w:val="auto"/>
        </w:rPr>
      </w:pPr>
    </w:p>
    <w:p>
      <w:pPr>
        <w:ind w:left="398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______________________________________________________________________________</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Tradeweb Markets Inc.</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charter)</w:t>
      </w:r>
    </w:p>
    <w:p>
      <w:pPr>
        <w:spacing w:after="0" w:line="18" w:lineRule="exact"/>
        <w:rPr>
          <w:sz w:val="24"/>
          <w:szCs w:val="24"/>
          <w:color w:val="auto"/>
        </w:rPr>
      </w:pPr>
    </w:p>
    <w:p>
      <w:pPr>
        <w:ind w:left="398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______________________________________________________________________________</w:t>
      </w:r>
    </w:p>
    <w:p>
      <w:pPr>
        <w:spacing w:after="0" w:line="266" w:lineRule="exact"/>
        <w:rPr>
          <w:sz w:val="24"/>
          <w:szCs w:val="24"/>
          <w:color w:val="auto"/>
        </w:rPr>
      </w:pPr>
    </w:p>
    <w:tbl>
      <w:tblPr>
        <w:tblLayout w:type="fixed"/>
        <w:tblInd w:w="1120" w:type="dxa"/>
        <w:tblCellMar>
          <w:top w:w="0" w:type="dxa"/>
          <w:left w:w="0" w:type="dxa"/>
          <w:bottom w:w="0" w:type="dxa"/>
          <w:right w:w="0" w:type="dxa"/>
        </w:tblCellMar>
      </w:tblPr>
      <w:tr>
        <w:trPr>
          <w:trHeight w:val="205"/>
        </w:trPr>
        <w:tc>
          <w:tcPr>
            <w:tcW w:w="3960" w:type="dxa"/>
            <w:vAlign w:val="bottom"/>
          </w:tcPr>
          <w:p>
            <w:pPr>
              <w:jc w:val="center"/>
              <w:ind w:right="2369"/>
              <w:spacing w:after="0"/>
              <w:rPr>
                <w:sz w:val="20"/>
                <w:szCs w:val="20"/>
                <w:color w:val="auto"/>
              </w:rPr>
            </w:pPr>
            <w:r>
              <w:rPr>
                <w:rFonts w:ascii="Arial" w:cs="Arial" w:eastAsia="Arial" w:hAnsi="Arial"/>
                <w:sz w:val="14"/>
                <w:szCs w:val="14"/>
                <w:b w:val="1"/>
                <w:bCs w:val="1"/>
                <w:color w:val="auto"/>
                <w:w w:val="91"/>
              </w:rPr>
              <w:t>Delaware</w:t>
            </w:r>
          </w:p>
        </w:tc>
        <w:tc>
          <w:tcPr>
            <w:tcW w:w="2380" w:type="dxa"/>
            <w:vAlign w:val="bottom"/>
          </w:tcPr>
          <w:p>
            <w:pPr>
              <w:jc w:val="center"/>
              <w:ind w:right="1169"/>
              <w:spacing w:after="0"/>
              <w:rPr>
                <w:sz w:val="20"/>
                <w:szCs w:val="20"/>
                <w:color w:val="auto"/>
              </w:rPr>
            </w:pPr>
            <w:r>
              <w:rPr>
                <w:rFonts w:ascii="Arial" w:cs="Arial" w:eastAsia="Arial" w:hAnsi="Arial"/>
                <w:sz w:val="14"/>
                <w:szCs w:val="14"/>
                <w:b w:val="1"/>
                <w:bCs w:val="1"/>
                <w:color w:val="auto"/>
                <w:w w:val="92"/>
              </w:rPr>
              <w:t>001-38860</w:t>
            </w:r>
          </w:p>
        </w:tc>
        <w:tc>
          <w:tcPr>
            <w:tcW w:w="2460" w:type="dxa"/>
            <w:vAlign w:val="bottom"/>
          </w:tcPr>
          <w:p>
            <w:pPr>
              <w:jc w:val="right"/>
              <w:ind w:right="109"/>
              <w:spacing w:after="0"/>
              <w:rPr>
                <w:sz w:val="20"/>
                <w:szCs w:val="20"/>
                <w:color w:val="auto"/>
              </w:rPr>
            </w:pPr>
            <w:r>
              <w:rPr>
                <w:rFonts w:ascii="Arial" w:cs="Arial" w:eastAsia="Arial" w:hAnsi="Arial"/>
                <w:sz w:val="14"/>
                <w:szCs w:val="14"/>
                <w:b w:val="1"/>
                <w:bCs w:val="1"/>
                <w:color w:val="auto"/>
              </w:rPr>
              <w:t>83-2456358</w:t>
            </w:r>
          </w:p>
        </w:tc>
      </w:tr>
      <w:tr>
        <w:trPr>
          <w:trHeight w:val="160"/>
        </w:trPr>
        <w:tc>
          <w:tcPr>
            <w:tcW w:w="3960" w:type="dxa"/>
            <w:vAlign w:val="bottom"/>
          </w:tcPr>
          <w:p>
            <w:pPr>
              <w:jc w:val="center"/>
              <w:ind w:right="2349"/>
              <w:spacing w:after="0" w:line="159" w:lineRule="exact"/>
              <w:rPr>
                <w:sz w:val="20"/>
                <w:szCs w:val="20"/>
                <w:color w:val="auto"/>
              </w:rPr>
            </w:pPr>
            <w:r>
              <w:rPr>
                <w:rFonts w:ascii="Arial" w:cs="Arial" w:eastAsia="Arial" w:hAnsi="Arial"/>
                <w:sz w:val="14"/>
                <w:szCs w:val="14"/>
                <w:color w:val="auto"/>
                <w:w w:val="92"/>
              </w:rPr>
              <w:t>(State or Other Jurisdiction</w:t>
            </w:r>
          </w:p>
        </w:tc>
        <w:tc>
          <w:tcPr>
            <w:tcW w:w="2380" w:type="dxa"/>
            <w:vAlign w:val="bottom"/>
          </w:tcPr>
          <w:p>
            <w:pPr>
              <w:jc w:val="center"/>
              <w:ind w:right="1189"/>
              <w:spacing w:after="0" w:line="159" w:lineRule="exact"/>
              <w:rPr>
                <w:sz w:val="20"/>
                <w:szCs w:val="20"/>
                <w:color w:val="auto"/>
              </w:rPr>
            </w:pPr>
            <w:r>
              <w:rPr>
                <w:rFonts w:ascii="Arial" w:cs="Arial" w:eastAsia="Arial" w:hAnsi="Arial"/>
                <w:sz w:val="14"/>
                <w:szCs w:val="14"/>
                <w:color w:val="auto"/>
                <w:w w:val="93"/>
              </w:rPr>
              <w:t>(Commission</w:t>
            </w:r>
          </w:p>
        </w:tc>
        <w:tc>
          <w:tcPr>
            <w:tcW w:w="2460" w:type="dxa"/>
            <w:vAlign w:val="bottom"/>
          </w:tcPr>
          <w:p>
            <w:pPr>
              <w:jc w:val="center"/>
              <w:ind w:left="1349"/>
              <w:spacing w:after="0" w:line="159" w:lineRule="exact"/>
              <w:rPr>
                <w:sz w:val="20"/>
                <w:szCs w:val="20"/>
                <w:color w:val="auto"/>
              </w:rPr>
            </w:pPr>
            <w:r>
              <w:rPr>
                <w:rFonts w:ascii="Arial" w:cs="Arial" w:eastAsia="Arial" w:hAnsi="Arial"/>
                <w:sz w:val="14"/>
                <w:szCs w:val="14"/>
                <w:color w:val="auto"/>
                <w:w w:val="93"/>
              </w:rPr>
              <w:t>(I.R.S. Employer</w:t>
            </w:r>
          </w:p>
        </w:tc>
      </w:tr>
      <w:tr>
        <w:trPr>
          <w:trHeight w:val="191"/>
        </w:trPr>
        <w:tc>
          <w:tcPr>
            <w:tcW w:w="3960" w:type="dxa"/>
            <w:vAlign w:val="bottom"/>
          </w:tcPr>
          <w:p>
            <w:pPr>
              <w:jc w:val="center"/>
              <w:ind w:right="2369"/>
              <w:spacing w:after="0"/>
              <w:rPr>
                <w:sz w:val="20"/>
                <w:szCs w:val="20"/>
                <w:color w:val="auto"/>
              </w:rPr>
            </w:pPr>
            <w:r>
              <w:rPr>
                <w:rFonts w:ascii="Arial" w:cs="Arial" w:eastAsia="Arial" w:hAnsi="Arial"/>
                <w:sz w:val="14"/>
                <w:szCs w:val="14"/>
                <w:color w:val="auto"/>
                <w:w w:val="94"/>
              </w:rPr>
              <w:t>of Incorporation)</w:t>
            </w:r>
          </w:p>
        </w:tc>
        <w:tc>
          <w:tcPr>
            <w:tcW w:w="2380" w:type="dxa"/>
            <w:vAlign w:val="bottom"/>
          </w:tcPr>
          <w:p>
            <w:pPr>
              <w:jc w:val="center"/>
              <w:ind w:right="1189"/>
              <w:spacing w:after="0"/>
              <w:rPr>
                <w:sz w:val="20"/>
                <w:szCs w:val="20"/>
                <w:color w:val="auto"/>
              </w:rPr>
            </w:pPr>
            <w:r>
              <w:rPr>
                <w:rFonts w:ascii="Arial" w:cs="Arial" w:eastAsia="Arial" w:hAnsi="Arial"/>
                <w:sz w:val="14"/>
                <w:szCs w:val="14"/>
                <w:color w:val="auto"/>
                <w:w w:val="93"/>
              </w:rPr>
              <w:t>File Number)</w:t>
            </w:r>
          </w:p>
        </w:tc>
        <w:tc>
          <w:tcPr>
            <w:tcW w:w="2460" w:type="dxa"/>
            <w:vAlign w:val="bottom"/>
          </w:tcPr>
          <w:p>
            <w:pPr>
              <w:jc w:val="center"/>
              <w:ind w:left="1349"/>
              <w:spacing w:after="0"/>
              <w:rPr>
                <w:sz w:val="20"/>
                <w:szCs w:val="20"/>
                <w:color w:val="auto"/>
              </w:rPr>
            </w:pPr>
            <w:r>
              <w:rPr>
                <w:rFonts w:ascii="Arial" w:cs="Arial" w:eastAsia="Arial" w:hAnsi="Arial"/>
                <w:sz w:val="14"/>
                <w:szCs w:val="14"/>
                <w:color w:val="auto"/>
                <w:w w:val="95"/>
              </w:rPr>
              <w:t>Identification No.)</w:t>
            </w:r>
          </w:p>
        </w:tc>
      </w:tr>
      <w:tr>
        <w:trPr>
          <w:trHeight w:val="198"/>
        </w:trPr>
        <w:tc>
          <w:tcPr>
            <w:tcW w:w="3960" w:type="dxa"/>
            <w:vAlign w:val="bottom"/>
          </w:tcPr>
          <w:p>
            <w:pPr>
              <w:jc w:val="center"/>
              <w:ind w:left="1249"/>
              <w:spacing w:after="0"/>
              <w:rPr>
                <w:sz w:val="20"/>
                <w:szCs w:val="20"/>
                <w:color w:val="auto"/>
              </w:rPr>
            </w:pPr>
            <w:r>
              <w:rPr>
                <w:rFonts w:ascii="Arial" w:cs="Arial" w:eastAsia="Arial" w:hAnsi="Arial"/>
                <w:sz w:val="14"/>
                <w:szCs w:val="14"/>
                <w:b w:val="1"/>
                <w:bCs w:val="1"/>
                <w:color w:val="auto"/>
                <w:w w:val="88"/>
              </w:rPr>
              <w:t>1177 Avenue of the Americas</w:t>
            </w:r>
          </w:p>
        </w:tc>
        <w:tc>
          <w:tcPr>
            <w:tcW w:w="238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184"/>
        </w:trPr>
        <w:tc>
          <w:tcPr>
            <w:tcW w:w="3960" w:type="dxa"/>
            <w:vAlign w:val="bottom"/>
          </w:tcPr>
          <w:p>
            <w:pPr>
              <w:jc w:val="center"/>
              <w:ind w:left="1269"/>
              <w:spacing w:after="0"/>
              <w:rPr>
                <w:sz w:val="20"/>
                <w:szCs w:val="20"/>
                <w:color w:val="auto"/>
              </w:rPr>
            </w:pPr>
            <w:r>
              <w:rPr>
                <w:rFonts w:ascii="Arial" w:cs="Arial" w:eastAsia="Arial" w:hAnsi="Arial"/>
                <w:sz w:val="14"/>
                <w:szCs w:val="14"/>
                <w:b w:val="1"/>
                <w:bCs w:val="1"/>
                <w:color w:val="auto"/>
                <w:w w:val="93"/>
              </w:rPr>
              <w:t>New York, New York</w:t>
            </w:r>
          </w:p>
        </w:tc>
        <w:tc>
          <w:tcPr>
            <w:tcW w:w="2380" w:type="dxa"/>
            <w:vAlign w:val="bottom"/>
          </w:tcPr>
          <w:p>
            <w:pPr>
              <w:spacing w:after="0"/>
              <w:rPr>
                <w:sz w:val="16"/>
                <w:szCs w:val="16"/>
                <w:color w:val="auto"/>
              </w:rPr>
            </w:pPr>
          </w:p>
        </w:tc>
        <w:tc>
          <w:tcPr>
            <w:tcW w:w="2460" w:type="dxa"/>
            <w:vAlign w:val="bottom"/>
          </w:tcPr>
          <w:p>
            <w:pPr>
              <w:jc w:val="right"/>
              <w:ind w:right="269"/>
              <w:spacing w:after="0"/>
              <w:rPr>
                <w:sz w:val="20"/>
                <w:szCs w:val="20"/>
                <w:color w:val="auto"/>
              </w:rPr>
            </w:pPr>
            <w:r>
              <w:rPr>
                <w:rFonts w:ascii="Arial" w:cs="Arial" w:eastAsia="Arial" w:hAnsi="Arial"/>
                <w:sz w:val="14"/>
                <w:szCs w:val="14"/>
                <w:b w:val="1"/>
                <w:bCs w:val="1"/>
                <w:color w:val="auto"/>
              </w:rPr>
              <w:t>10036</w:t>
            </w:r>
          </w:p>
        </w:tc>
      </w:tr>
      <w:tr>
        <w:trPr>
          <w:trHeight w:val="202"/>
        </w:trPr>
        <w:tc>
          <w:tcPr>
            <w:tcW w:w="3960" w:type="dxa"/>
            <w:vAlign w:val="bottom"/>
          </w:tcPr>
          <w:p>
            <w:pPr>
              <w:jc w:val="center"/>
              <w:ind w:left="1269"/>
              <w:spacing w:after="0"/>
              <w:rPr>
                <w:sz w:val="20"/>
                <w:szCs w:val="20"/>
                <w:color w:val="auto"/>
              </w:rPr>
            </w:pPr>
            <w:r>
              <w:rPr>
                <w:rFonts w:ascii="Arial" w:cs="Arial" w:eastAsia="Arial" w:hAnsi="Arial"/>
                <w:sz w:val="14"/>
                <w:szCs w:val="14"/>
                <w:color w:val="auto"/>
                <w:w w:val="93"/>
              </w:rPr>
              <w:t>(Address of Principal Executive Offices)</w:t>
            </w:r>
          </w:p>
        </w:tc>
        <w:tc>
          <w:tcPr>
            <w:tcW w:w="2380" w:type="dxa"/>
            <w:vAlign w:val="bottom"/>
          </w:tcPr>
          <w:p>
            <w:pPr>
              <w:spacing w:after="0"/>
              <w:rPr>
                <w:sz w:val="17"/>
                <w:szCs w:val="17"/>
                <w:color w:val="auto"/>
              </w:rPr>
            </w:pPr>
          </w:p>
        </w:tc>
        <w:tc>
          <w:tcPr>
            <w:tcW w:w="2460" w:type="dxa"/>
            <w:vAlign w:val="bottom"/>
          </w:tcPr>
          <w:p>
            <w:pPr>
              <w:jc w:val="center"/>
              <w:ind w:left="1369"/>
              <w:spacing w:after="0"/>
              <w:rPr>
                <w:sz w:val="20"/>
                <w:szCs w:val="20"/>
                <w:color w:val="auto"/>
              </w:rPr>
            </w:pPr>
            <w:r>
              <w:rPr>
                <w:rFonts w:ascii="Arial" w:cs="Arial" w:eastAsia="Arial" w:hAnsi="Arial"/>
                <w:sz w:val="14"/>
                <w:szCs w:val="14"/>
                <w:color w:val="auto"/>
                <w:w w:val="93"/>
              </w:rPr>
              <w:t>(Zip Code)</w:t>
            </w:r>
          </w:p>
        </w:tc>
      </w:tr>
    </w:tbl>
    <w:p>
      <w:pPr>
        <w:spacing w:after="0" w:line="9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(646) 430-6000</w:t>
      </w:r>
    </w:p>
    <w:p>
      <w:pPr>
        <w:spacing w:after="0" w:line="25" w:lineRule="exact"/>
        <w:rPr>
          <w:sz w:val="24"/>
          <w:szCs w:val="24"/>
          <w:color w:val="auto"/>
        </w:rPr>
      </w:pPr>
    </w:p>
    <w:p>
      <w:pPr>
        <w:ind w:left="398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______________________________________________________________________________</w:t>
      </w: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36" w:lineRule="exact"/>
        <w:rPr>
          <w:sz w:val="24"/>
          <w:szCs w:val="24"/>
          <w:color w:val="auto"/>
        </w:rPr>
      </w:pPr>
    </w:p>
    <w:p>
      <w:pPr>
        <w:ind w:left="300" w:hanging="281"/>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51" w:lineRule="exact"/>
        <w:rPr>
          <w:rFonts w:ascii="MS PGothic" w:cs="MS PGothic" w:eastAsia="MS PGothic" w:hAnsi="MS PGothic"/>
          <w:sz w:val="14"/>
          <w:szCs w:val="14"/>
          <w:color w:val="auto"/>
        </w:rPr>
      </w:pPr>
    </w:p>
    <w:p>
      <w:pPr>
        <w:ind w:left="300" w:hanging="281"/>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51" w:lineRule="exact"/>
        <w:rPr>
          <w:rFonts w:ascii="MS PGothic" w:cs="MS PGothic" w:eastAsia="MS PGothic" w:hAnsi="MS PGothic"/>
          <w:sz w:val="14"/>
          <w:szCs w:val="14"/>
          <w:color w:val="auto"/>
        </w:rPr>
      </w:pPr>
    </w:p>
    <w:p>
      <w:pPr>
        <w:ind w:left="300" w:hanging="281"/>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51" w:lineRule="exact"/>
        <w:rPr>
          <w:rFonts w:ascii="MS PGothic" w:cs="MS PGothic" w:eastAsia="MS PGothic" w:hAnsi="MS PGothic"/>
          <w:sz w:val="14"/>
          <w:szCs w:val="14"/>
          <w:color w:val="auto"/>
        </w:rPr>
      </w:pPr>
    </w:p>
    <w:p>
      <w:pPr>
        <w:ind w:left="300" w:hanging="281"/>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416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420" w:type="dxa"/>
            <w:vAlign w:val="bottom"/>
          </w:tcPr>
          <w:p>
            <w:pPr>
              <w:spacing w:after="0"/>
              <w:rPr>
                <w:sz w:val="20"/>
                <w:szCs w:val="20"/>
                <w:color w:val="auto"/>
              </w:rPr>
            </w:pPr>
          </w:p>
        </w:tc>
        <w:tc>
          <w:tcPr>
            <w:tcW w:w="2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2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w:t>
            </w:r>
          </w:p>
        </w:tc>
        <w:tc>
          <w:tcPr>
            <w:tcW w:w="0" w:type="dxa"/>
            <w:vAlign w:val="bottom"/>
          </w:tcPr>
          <w:p>
            <w:pPr>
              <w:spacing w:after="0"/>
              <w:rPr>
                <w:sz w:val="1"/>
                <w:szCs w:val="1"/>
                <w:color w:val="auto"/>
              </w:rPr>
            </w:pPr>
          </w:p>
        </w:tc>
      </w:tr>
      <w:tr>
        <w:trPr>
          <w:trHeight w:val="180"/>
        </w:trPr>
        <w:tc>
          <w:tcPr>
            <w:tcW w:w="4160" w:type="dxa"/>
            <w:vAlign w:val="bottom"/>
            <w:tcBorders>
              <w:bottom w:val="single" w:sz="8" w:color="auto"/>
            </w:tcBorders>
            <w:vMerge w:val="continue"/>
          </w:tcPr>
          <w:p>
            <w:pPr>
              <w:spacing w:after="0"/>
              <w:rPr>
                <w:sz w:val="15"/>
                <w:szCs w:val="15"/>
                <w:color w:val="auto"/>
              </w:rPr>
            </w:pPr>
          </w:p>
        </w:tc>
        <w:tc>
          <w:tcPr>
            <w:tcW w:w="420" w:type="dxa"/>
            <w:vAlign w:val="bottom"/>
          </w:tcPr>
          <w:p>
            <w:pPr>
              <w:spacing w:after="0"/>
              <w:rPr>
                <w:sz w:val="15"/>
                <w:szCs w:val="15"/>
                <w:color w:val="auto"/>
              </w:rPr>
            </w:pPr>
          </w:p>
        </w:tc>
        <w:tc>
          <w:tcPr>
            <w:tcW w:w="2860" w:type="dxa"/>
            <w:vAlign w:val="bottom"/>
            <w:tcBorders>
              <w:bottom w:val="single" w:sz="8" w:color="auto"/>
            </w:tcBorders>
            <w:vMerge w:val="continue"/>
          </w:tcPr>
          <w:p>
            <w:pPr>
              <w:spacing w:after="0"/>
              <w:rPr>
                <w:sz w:val="15"/>
                <w:szCs w:val="15"/>
                <w:color w:val="auto"/>
              </w:rPr>
            </w:pPr>
          </w:p>
        </w:tc>
        <w:tc>
          <w:tcPr>
            <w:tcW w:w="420" w:type="dxa"/>
            <w:vAlign w:val="bottom"/>
          </w:tcPr>
          <w:p>
            <w:pPr>
              <w:spacing w:after="0"/>
              <w:rPr>
                <w:sz w:val="15"/>
                <w:szCs w:val="15"/>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0" w:type="dxa"/>
            <w:vAlign w:val="bottom"/>
          </w:tcPr>
          <w:p>
            <w:pPr>
              <w:spacing w:after="0"/>
              <w:rPr>
                <w:sz w:val="1"/>
                <w:szCs w:val="1"/>
                <w:color w:val="auto"/>
              </w:rPr>
            </w:pPr>
          </w:p>
        </w:tc>
      </w:tr>
      <w:tr>
        <w:trPr>
          <w:trHeight w:val="171"/>
        </w:trPr>
        <w:tc>
          <w:tcPr>
            <w:tcW w:w="4160" w:type="dxa"/>
            <w:vAlign w:val="bottom"/>
          </w:tcPr>
          <w:p>
            <w:pPr>
              <w:jc w:val="center"/>
              <w:spacing w:after="0"/>
              <w:rPr>
                <w:sz w:val="20"/>
                <w:szCs w:val="20"/>
                <w:color w:val="auto"/>
              </w:rPr>
            </w:pPr>
            <w:r>
              <w:rPr>
                <w:rFonts w:ascii="Arial" w:cs="Arial" w:eastAsia="Arial" w:hAnsi="Arial"/>
                <w:sz w:val="14"/>
                <w:szCs w:val="14"/>
                <w:color w:val="auto"/>
                <w:w w:val="91"/>
              </w:rPr>
              <w:t>Class A common stock, par value $0.00001</w:t>
            </w:r>
          </w:p>
        </w:tc>
        <w:tc>
          <w:tcPr>
            <w:tcW w:w="420" w:type="dxa"/>
            <w:vAlign w:val="bottom"/>
          </w:tcPr>
          <w:p>
            <w:pPr>
              <w:spacing w:after="0"/>
              <w:rPr>
                <w:sz w:val="14"/>
                <w:szCs w:val="14"/>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rPr>
              <w:t>TW</w:t>
            </w:r>
          </w:p>
        </w:tc>
        <w:tc>
          <w:tcPr>
            <w:tcW w:w="420" w:type="dxa"/>
            <w:vAlign w:val="bottom"/>
          </w:tcPr>
          <w:p>
            <w:pPr>
              <w:spacing w:after="0"/>
              <w:rPr>
                <w:sz w:val="14"/>
                <w:szCs w:val="14"/>
                <w:color w:val="auto"/>
              </w:rPr>
            </w:pPr>
          </w:p>
        </w:tc>
        <w:tc>
          <w:tcPr>
            <w:tcW w:w="3380" w:type="dxa"/>
            <w:vAlign w:val="bottom"/>
          </w:tcPr>
          <w:p>
            <w:pPr>
              <w:jc w:val="center"/>
              <w:spacing w:after="0"/>
              <w:rPr>
                <w:sz w:val="20"/>
                <w:szCs w:val="20"/>
                <w:color w:val="auto"/>
              </w:rPr>
            </w:pPr>
            <w:r>
              <w:rPr>
                <w:rFonts w:ascii="Arial" w:cs="Arial" w:eastAsia="Arial" w:hAnsi="Arial"/>
                <w:sz w:val="14"/>
                <w:szCs w:val="14"/>
                <w:color w:val="auto"/>
                <w:w w:val="91"/>
              </w:rPr>
              <w:t>Nasdaq Global Select Market</w:t>
            </w:r>
          </w:p>
        </w:tc>
        <w:tc>
          <w:tcPr>
            <w:tcW w:w="0" w:type="dxa"/>
            <w:vAlign w:val="bottom"/>
          </w:tcPr>
          <w:p>
            <w:pPr>
              <w:spacing w:after="0"/>
              <w:rPr>
                <w:sz w:val="1"/>
                <w:szCs w:val="1"/>
                <w:color w:val="auto"/>
              </w:rPr>
            </w:pPr>
          </w:p>
        </w:tc>
      </w:tr>
    </w:tbl>
    <w:p>
      <w:pPr>
        <w:spacing w:after="0" w:line="234" w:lineRule="exact"/>
        <w:rPr>
          <w:sz w:val="24"/>
          <w:szCs w:val="24"/>
          <w:color w:val="auto"/>
        </w:rPr>
      </w:pPr>
    </w:p>
    <w:p>
      <w:pPr>
        <w:ind w:right="540"/>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14" w:lineRule="exact"/>
        <w:rPr>
          <w:sz w:val="24"/>
          <w:szCs w:val="24"/>
          <w:color w:val="auto"/>
        </w:rPr>
      </w:pPr>
    </w:p>
    <w:p>
      <w:pPr>
        <w:ind w:right="18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512445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0</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26670</wp:posOffset>
            </wp:positionV>
            <wp:extent cx="7148195"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3335"/>
                    </a:xfrm>
                    <a:prstGeom prst="rect">
                      <a:avLst/>
                    </a:prstGeom>
                    <a:noFill/>
                  </pic:spPr>
                </pic:pic>
              </a:graphicData>
            </a:graphic>
          </wp:anchor>
        </w:drawing>
      </w:r>
    </w:p>
    <w:p>
      <w:pPr>
        <w:sectPr>
          <w:pgSz w:w="11900" w:h="16838" w:orient="portrait"/>
          <w:cols w:equalWidth="0" w:num="1">
            <w:col w:w="11240"/>
          </w:cols>
          <w:pgMar w:left="300" w:top="1221" w:right="35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5.07. Submission of Matters to a Vote of Security Holders.</w:t>
      </w:r>
    </w:p>
    <w:p>
      <w:pPr>
        <w:spacing w:after="0" w:line="204" w:lineRule="exact"/>
        <w:rPr>
          <w:sz w:val="20"/>
          <w:szCs w:val="20"/>
          <w:color w:val="auto"/>
        </w:rPr>
      </w:pPr>
    </w:p>
    <w:p>
      <w:pPr>
        <w:jc w:val="both"/>
        <w:ind w:right="100" w:firstLine="509"/>
        <w:spacing w:after="0" w:line="267" w:lineRule="auto"/>
        <w:rPr>
          <w:sz w:val="20"/>
          <w:szCs w:val="20"/>
          <w:color w:val="auto"/>
        </w:rPr>
      </w:pPr>
      <w:r>
        <w:rPr>
          <w:rFonts w:ascii="Arial" w:cs="Arial" w:eastAsia="Arial" w:hAnsi="Arial"/>
          <w:sz w:val="14"/>
          <w:szCs w:val="14"/>
          <w:color w:val="auto"/>
        </w:rPr>
        <w:t>On May 15, 2023, Tradeweb Markets Inc. (the “</w:t>
      </w:r>
      <w:r>
        <w:rPr>
          <w:rFonts w:ascii="Arial" w:cs="Arial" w:eastAsia="Arial" w:hAnsi="Arial"/>
          <w:sz w:val="14"/>
          <w:szCs w:val="14"/>
          <w:u w:val="single" w:color="auto"/>
          <w:color w:val="auto"/>
        </w:rPr>
        <w:t>Company</w:t>
      </w:r>
      <w:r>
        <w:rPr>
          <w:rFonts w:ascii="Arial" w:cs="Arial" w:eastAsia="Arial" w:hAnsi="Arial"/>
          <w:sz w:val="14"/>
          <w:szCs w:val="14"/>
          <w:color w:val="auto"/>
        </w:rPr>
        <w:t>”) held its 2023 Annual Meeting of Stockholders. At the 2023 Annual Meeting of Stockholders, stockholders voted on the matters disclosed in the Company’s definitive Proxy Statement on Schedule 14A filed with the Securities and Exchange Commission on March 23, 2023 (the “</w:t>
      </w:r>
      <w:r>
        <w:rPr>
          <w:rFonts w:ascii="Arial" w:cs="Arial" w:eastAsia="Arial" w:hAnsi="Arial"/>
          <w:sz w:val="14"/>
          <w:szCs w:val="14"/>
          <w:u w:val="single" w:color="auto"/>
          <w:color w:val="auto"/>
        </w:rPr>
        <w:t>Proxy Statement</w:t>
      </w:r>
      <w:r>
        <w:rPr>
          <w:rFonts w:ascii="Arial" w:cs="Arial" w:eastAsia="Arial" w:hAnsi="Arial"/>
          <w:sz w:val="14"/>
          <w:szCs w:val="14"/>
          <w:color w:val="auto"/>
        </w:rPr>
        <w:t>”). The final voting results for the matters submitted to a vote of the stockholders were as follows: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Proposal 1: Election of Directors</w:t>
      </w:r>
    </w:p>
    <w:p>
      <w:pPr>
        <w:spacing w:after="0" w:line="204" w:lineRule="exact"/>
        <w:rPr>
          <w:sz w:val="20"/>
          <w:szCs w:val="20"/>
          <w:color w:val="auto"/>
        </w:rPr>
      </w:pPr>
    </w:p>
    <w:p>
      <w:pPr>
        <w:ind w:right="500" w:firstLine="509"/>
        <w:spacing w:after="0" w:line="281" w:lineRule="auto"/>
        <w:rPr>
          <w:sz w:val="20"/>
          <w:szCs w:val="20"/>
          <w:color w:val="auto"/>
        </w:rPr>
      </w:pPr>
      <w:r>
        <w:rPr>
          <w:rFonts w:ascii="Arial" w:cs="Arial" w:eastAsia="Arial" w:hAnsi="Arial"/>
          <w:sz w:val="14"/>
          <w:szCs w:val="14"/>
          <w:color w:val="auto"/>
        </w:rPr>
        <w:t>The Company’s stockholders elected the persons listed below as Class I directors for a three-year term expiring at the Company’s 2026 Annual Meeting of Stockholders or until their respective successors are duly elected and qualified:</w:t>
      </w:r>
    </w:p>
    <w:p>
      <w:pPr>
        <w:spacing w:after="0" w:line="181"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222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Nominee</w:t>
            </w:r>
          </w:p>
        </w:tc>
        <w:tc>
          <w:tcPr>
            <w:tcW w:w="16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Votes For</w:t>
            </w:r>
          </w:p>
        </w:tc>
        <w:tc>
          <w:tcPr>
            <w:tcW w:w="180" w:type="dxa"/>
            <w:vAlign w:val="bottom"/>
          </w:tcPr>
          <w:p>
            <w:pPr>
              <w:spacing w:after="0"/>
              <w:rPr>
                <w:sz w:val="16"/>
                <w:szCs w:val="16"/>
                <w:color w:val="auto"/>
              </w:rPr>
            </w:pPr>
          </w:p>
        </w:tc>
        <w:tc>
          <w:tcPr>
            <w:tcW w:w="22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Votes Withheld</w:t>
            </w:r>
          </w:p>
        </w:tc>
        <w:tc>
          <w:tcPr>
            <w:tcW w:w="160" w:type="dxa"/>
            <w:vAlign w:val="bottom"/>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Broker Non-Votes</w:t>
            </w:r>
          </w:p>
        </w:tc>
      </w:tr>
      <w:tr>
        <w:trPr>
          <w:trHeight w:val="18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Troy Dixon</w:t>
            </w:r>
          </w:p>
        </w:tc>
        <w:tc>
          <w:tcPr>
            <w:tcW w:w="160" w:type="dxa"/>
            <w:vAlign w:val="bottom"/>
          </w:tcPr>
          <w:p>
            <w:pPr>
              <w:spacing w:after="0"/>
              <w:rPr>
                <w:sz w:val="15"/>
                <w:szCs w:val="15"/>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1,294,090,728</w:t>
            </w:r>
          </w:p>
        </w:tc>
        <w:tc>
          <w:tcPr>
            <w:tcW w:w="180" w:type="dxa"/>
            <w:vAlign w:val="bottom"/>
          </w:tcPr>
          <w:p>
            <w:pPr>
              <w:spacing w:after="0"/>
              <w:rPr>
                <w:sz w:val="15"/>
                <w:szCs w:val="15"/>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2,674,559</w:t>
            </w:r>
          </w:p>
        </w:tc>
        <w:tc>
          <w:tcPr>
            <w:tcW w:w="160" w:type="dxa"/>
            <w:vAlign w:val="bottom"/>
          </w:tcPr>
          <w:p>
            <w:pPr>
              <w:spacing w:after="0"/>
              <w:rPr>
                <w:sz w:val="15"/>
                <w:szCs w:val="15"/>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2,567,238</w:t>
            </w:r>
          </w:p>
        </w:tc>
      </w:tr>
      <w:tr>
        <w:trPr>
          <w:trHeight w:val="180"/>
        </w:trPr>
        <w:tc>
          <w:tcPr>
            <w:tcW w:w="2220" w:type="dxa"/>
            <w:vAlign w:val="bottom"/>
          </w:tcPr>
          <w:p>
            <w:pPr>
              <w:ind w:left="20"/>
              <w:spacing w:after="0"/>
              <w:rPr>
                <w:sz w:val="20"/>
                <w:szCs w:val="20"/>
                <w:color w:val="auto"/>
              </w:rPr>
            </w:pPr>
            <w:r>
              <w:rPr>
                <w:rFonts w:ascii="Arial" w:cs="Arial" w:eastAsia="Arial" w:hAnsi="Arial"/>
                <w:sz w:val="14"/>
                <w:szCs w:val="14"/>
                <w:color w:val="auto"/>
              </w:rPr>
              <w:t>Scott Ganeles</w:t>
            </w:r>
          </w:p>
        </w:tc>
        <w:tc>
          <w:tcPr>
            <w:tcW w:w="16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color w:val="auto"/>
                <w:w w:val="91"/>
              </w:rPr>
              <w:t>1,265,844,126</w:t>
            </w:r>
          </w:p>
        </w:tc>
        <w:tc>
          <w:tcPr>
            <w:tcW w:w="18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1"/>
              </w:rPr>
              <w:t>30,921,161</w:t>
            </w:r>
          </w:p>
        </w:tc>
        <w:tc>
          <w:tcPr>
            <w:tcW w:w="16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89"/>
              </w:rPr>
              <w:t>2,567,238</w:t>
            </w:r>
          </w:p>
        </w:tc>
      </w:tr>
      <w:tr>
        <w:trPr>
          <w:trHeight w:val="18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Catherine Johnson</w:t>
            </w:r>
          </w:p>
        </w:tc>
        <w:tc>
          <w:tcPr>
            <w:tcW w:w="160" w:type="dxa"/>
            <w:vAlign w:val="bottom"/>
          </w:tcPr>
          <w:p>
            <w:pPr>
              <w:spacing w:after="0"/>
              <w:rPr>
                <w:sz w:val="15"/>
                <w:szCs w:val="15"/>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1,274,504,934</w:t>
            </w:r>
          </w:p>
        </w:tc>
        <w:tc>
          <w:tcPr>
            <w:tcW w:w="180" w:type="dxa"/>
            <w:vAlign w:val="bottom"/>
          </w:tcPr>
          <w:p>
            <w:pPr>
              <w:spacing w:after="0"/>
              <w:rPr>
                <w:sz w:val="15"/>
                <w:szCs w:val="15"/>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22,260,353</w:t>
            </w:r>
          </w:p>
        </w:tc>
        <w:tc>
          <w:tcPr>
            <w:tcW w:w="160" w:type="dxa"/>
            <w:vAlign w:val="bottom"/>
          </w:tcPr>
          <w:p>
            <w:pPr>
              <w:spacing w:after="0"/>
              <w:rPr>
                <w:sz w:val="15"/>
                <w:szCs w:val="15"/>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2,567,238</w:t>
            </w:r>
          </w:p>
        </w:tc>
      </w:tr>
      <w:tr>
        <w:trPr>
          <w:trHeight w:val="180"/>
        </w:trPr>
        <w:tc>
          <w:tcPr>
            <w:tcW w:w="2220" w:type="dxa"/>
            <w:vAlign w:val="bottom"/>
          </w:tcPr>
          <w:p>
            <w:pPr>
              <w:ind w:left="20"/>
              <w:spacing w:after="0"/>
              <w:rPr>
                <w:sz w:val="20"/>
                <w:szCs w:val="20"/>
                <w:color w:val="auto"/>
              </w:rPr>
            </w:pPr>
            <w:r>
              <w:rPr>
                <w:rFonts w:ascii="Arial" w:cs="Arial" w:eastAsia="Arial" w:hAnsi="Arial"/>
                <w:sz w:val="14"/>
                <w:szCs w:val="14"/>
                <w:color w:val="auto"/>
              </w:rPr>
              <w:t>Murray Roos</w:t>
            </w:r>
          </w:p>
        </w:tc>
        <w:tc>
          <w:tcPr>
            <w:tcW w:w="16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color w:val="auto"/>
                <w:w w:val="91"/>
              </w:rPr>
              <w:t>1,267,901,612</w:t>
            </w:r>
          </w:p>
        </w:tc>
        <w:tc>
          <w:tcPr>
            <w:tcW w:w="18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1"/>
              </w:rPr>
              <w:t>28,863,675</w:t>
            </w:r>
          </w:p>
        </w:tc>
        <w:tc>
          <w:tcPr>
            <w:tcW w:w="16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89"/>
              </w:rPr>
              <w:t>2,567,238</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Proposal 2: Ratification of Appointment of Deloitte &amp; Touche LLP Independent Registered Public Accounting Firm.</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Company’s stockholders ratified the appointment of Deloitte &amp; Touche LLP as the Company’s independent registered public accounting firm for the fiscal year ending December 31,</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 w:type="dxa"/>
            <w:vAlign w:val="bottom"/>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Votes For</w:t>
            </w:r>
          </w:p>
        </w:tc>
        <w:tc>
          <w:tcPr>
            <w:tcW w:w="180" w:type="dxa"/>
            <w:vAlign w:val="bottom"/>
          </w:tcPr>
          <w:p>
            <w:pPr>
              <w:spacing w:after="0"/>
              <w:rPr>
                <w:sz w:val="16"/>
                <w:szCs w:val="16"/>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Votes Against</w:t>
            </w:r>
          </w:p>
        </w:tc>
        <w:tc>
          <w:tcPr>
            <w:tcW w:w="180" w:type="dxa"/>
            <w:vAlign w:val="bottom"/>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Abstentions</w:t>
            </w:r>
          </w:p>
        </w:tc>
      </w:tr>
      <w:tr>
        <w:trPr>
          <w:trHeight w:val="177"/>
        </w:trPr>
        <w:tc>
          <w:tcPr>
            <w:tcW w:w="940" w:type="dxa"/>
            <w:vAlign w:val="bottom"/>
          </w:tcPr>
          <w:p>
            <w:pPr>
              <w:spacing w:after="0"/>
              <w:rPr>
                <w:sz w:val="15"/>
                <w:szCs w:val="15"/>
                <w:color w:val="auto"/>
              </w:rPr>
            </w:pPr>
          </w:p>
        </w:tc>
        <w:tc>
          <w:tcPr>
            <w:tcW w:w="2740" w:type="dxa"/>
            <w:vAlign w:val="bottom"/>
            <w:shd w:val="clear" w:color="auto" w:fill="CCEEFF"/>
          </w:tcPr>
          <w:p>
            <w:pPr>
              <w:jc w:val="right"/>
              <w:ind w:right="889"/>
              <w:spacing w:after="0"/>
              <w:rPr>
                <w:sz w:val="20"/>
                <w:szCs w:val="20"/>
                <w:color w:val="auto"/>
              </w:rPr>
            </w:pPr>
            <w:r>
              <w:rPr>
                <w:rFonts w:ascii="Arial" w:cs="Arial" w:eastAsia="Arial" w:hAnsi="Arial"/>
                <w:sz w:val="14"/>
                <w:szCs w:val="14"/>
                <w:color w:val="auto"/>
              </w:rPr>
              <w:t>1,299,297,422</w:t>
            </w:r>
          </w:p>
        </w:tc>
        <w:tc>
          <w:tcPr>
            <w:tcW w:w="180" w:type="dxa"/>
            <w:vAlign w:val="bottom"/>
          </w:tcPr>
          <w:p>
            <w:pPr>
              <w:spacing w:after="0"/>
              <w:rPr>
                <w:sz w:val="15"/>
                <w:szCs w:val="15"/>
                <w:color w:val="auto"/>
              </w:rPr>
            </w:pPr>
          </w:p>
        </w:tc>
        <w:tc>
          <w:tcPr>
            <w:tcW w:w="3500" w:type="dxa"/>
            <w:vAlign w:val="bottom"/>
            <w:shd w:val="clear" w:color="auto" w:fill="CCEEFF"/>
          </w:tcPr>
          <w:p>
            <w:pPr>
              <w:jc w:val="right"/>
              <w:ind w:right="1489"/>
              <w:spacing w:after="0"/>
              <w:rPr>
                <w:sz w:val="20"/>
                <w:szCs w:val="20"/>
                <w:color w:val="auto"/>
              </w:rPr>
            </w:pPr>
            <w:r>
              <w:rPr>
                <w:rFonts w:ascii="Arial" w:cs="Arial" w:eastAsia="Arial" w:hAnsi="Arial"/>
                <w:sz w:val="14"/>
                <w:szCs w:val="14"/>
                <w:color w:val="auto"/>
              </w:rPr>
              <w:t>27,424</w:t>
            </w:r>
          </w:p>
        </w:tc>
        <w:tc>
          <w:tcPr>
            <w:tcW w:w="180" w:type="dxa"/>
            <w:vAlign w:val="bottom"/>
          </w:tcPr>
          <w:p>
            <w:pPr>
              <w:spacing w:after="0"/>
              <w:rPr>
                <w:sz w:val="15"/>
                <w:szCs w:val="15"/>
                <w:color w:val="auto"/>
              </w:rPr>
            </w:pPr>
          </w:p>
        </w:tc>
        <w:tc>
          <w:tcPr>
            <w:tcW w:w="2800" w:type="dxa"/>
            <w:vAlign w:val="bottom"/>
            <w:shd w:val="clear" w:color="auto" w:fill="CCEEFF"/>
          </w:tcPr>
          <w:p>
            <w:pPr>
              <w:jc w:val="right"/>
              <w:ind w:right="1169"/>
              <w:spacing w:after="0"/>
              <w:rPr>
                <w:sz w:val="20"/>
                <w:szCs w:val="20"/>
                <w:color w:val="auto"/>
              </w:rPr>
            </w:pPr>
            <w:r>
              <w:rPr>
                <w:rFonts w:ascii="Arial" w:cs="Arial" w:eastAsia="Arial" w:hAnsi="Arial"/>
                <w:sz w:val="14"/>
                <w:szCs w:val="14"/>
                <w:color w:val="auto"/>
              </w:rPr>
              <w:t>7,679</w:t>
            </w:r>
          </w:p>
        </w:tc>
      </w:tr>
      <w:tr>
        <w:trPr>
          <w:trHeight w:val="435"/>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Item 7.01. Regulation FD Disclosure.</w:t>
            </w:r>
          </w:p>
        </w:tc>
        <w:tc>
          <w:tcPr>
            <w:tcW w:w="1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181" w:lineRule="exact"/>
        <w:rPr>
          <w:sz w:val="20"/>
          <w:szCs w:val="20"/>
          <w:color w:val="auto"/>
        </w:rPr>
      </w:pPr>
    </w:p>
    <w:p>
      <w:pPr>
        <w:ind w:right="460" w:firstLine="509"/>
        <w:spacing w:after="0" w:line="281" w:lineRule="auto"/>
        <w:rPr>
          <w:sz w:val="20"/>
          <w:szCs w:val="20"/>
          <w:color w:val="auto"/>
        </w:rPr>
      </w:pPr>
      <w:r>
        <w:rPr>
          <w:rFonts w:ascii="Arial" w:cs="Arial" w:eastAsia="Arial" w:hAnsi="Arial"/>
          <w:sz w:val="14"/>
          <w:szCs w:val="14"/>
          <w:color w:val="auto"/>
        </w:rPr>
        <w:t>On May 19, 2023, the Company issued a press release, a copy of which is furnished as Exhibit 99.1 hereto and is incorporated herein by reference, regarding the election of Catherine Johnson to the Board of Directors of the Company.</w:t>
      </w:r>
    </w:p>
    <w:p>
      <w:pPr>
        <w:spacing w:after="0" w:line="153" w:lineRule="exact"/>
        <w:rPr>
          <w:sz w:val="20"/>
          <w:szCs w:val="20"/>
          <w:color w:val="auto"/>
        </w:rPr>
      </w:pPr>
    </w:p>
    <w:p>
      <w:pPr>
        <w:ind w:right="180" w:firstLine="509"/>
        <w:spacing w:after="0" w:line="297" w:lineRule="auto"/>
        <w:rPr>
          <w:sz w:val="20"/>
          <w:szCs w:val="20"/>
          <w:color w:val="auto"/>
        </w:rPr>
      </w:pPr>
      <w:r>
        <w:rPr>
          <w:rFonts w:ascii="Arial" w:cs="Arial" w:eastAsia="Arial" w:hAnsi="Arial"/>
          <w:sz w:val="13"/>
          <w:szCs w:val="13"/>
          <w:color w:val="auto"/>
        </w:rPr>
        <w:t>In accordance with General Instruction B.2 of Form 8-K, the information presented herein under Item 7.01 and set forth in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(d) Exhibits: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80" w:type="dxa"/>
            <w:vAlign w:val="bottom"/>
          </w:tcPr>
          <w:p>
            <w:pPr>
              <w:ind w:left="20"/>
              <w:spacing w:after="0"/>
              <w:rPr>
                <w:sz w:val="20"/>
                <w:szCs w:val="20"/>
                <w:color w:val="auto"/>
              </w:rPr>
            </w:pPr>
            <w:r>
              <w:rPr>
                <w:rFonts w:ascii="Arial" w:cs="Arial" w:eastAsia="Arial" w:hAnsi="Arial"/>
                <w:sz w:val="13"/>
                <w:szCs w:val="13"/>
                <w:b w:val="1"/>
                <w:bCs w:val="1"/>
                <w:color w:val="auto"/>
              </w:rPr>
              <w:t>Exhibit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900" w:type="dxa"/>
            <w:vAlign w:val="bottom"/>
          </w:tcPr>
          <w:p>
            <w:pPr>
              <w:ind w:left="660"/>
              <w:spacing w:after="0"/>
              <w:rPr>
                <w:sz w:val="20"/>
                <w:szCs w:val="20"/>
                <w:color w:val="auto"/>
              </w:rPr>
            </w:pPr>
            <w:r>
              <w:rPr>
                <w:rFonts w:ascii="Arial" w:cs="Arial" w:eastAsia="Arial" w:hAnsi="Arial"/>
                <w:sz w:val="13"/>
                <w:szCs w:val="13"/>
                <w:b w:val="1"/>
                <w:bCs w:val="1"/>
                <w:color w:val="auto"/>
              </w:rPr>
              <w:t>Exhibit Description</w:t>
            </w:r>
          </w:p>
        </w:tc>
      </w:tr>
      <w:tr>
        <w:trPr>
          <w:trHeight w:val="165"/>
        </w:trPr>
        <w:tc>
          <w:tcPr>
            <w:tcW w:w="1780" w:type="dxa"/>
            <w:vAlign w:val="bottom"/>
          </w:tcPr>
          <w:p>
            <w:pPr>
              <w:ind w:left="20"/>
              <w:spacing w:after="0"/>
              <w:rPr>
                <w:sz w:val="20"/>
                <w:szCs w:val="20"/>
                <w:color w:val="auto"/>
              </w:rPr>
            </w:pPr>
            <w:r>
              <w:rPr>
                <w:rFonts w:ascii="Arial" w:cs="Arial" w:eastAsia="Arial" w:hAnsi="Arial"/>
                <w:sz w:val="13"/>
                <w:szCs w:val="13"/>
                <w:b w:val="1"/>
                <w:bCs w:val="1"/>
                <w:color w:val="auto"/>
              </w:rPr>
              <w:t>Number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900" w:type="dxa"/>
            <w:vAlign w:val="bottom"/>
          </w:tcPr>
          <w:p>
            <w:pPr>
              <w:spacing w:after="0"/>
              <w:rPr>
                <w:sz w:val="14"/>
                <w:szCs w:val="14"/>
                <w:color w:val="auto"/>
              </w:rPr>
            </w:pPr>
          </w:p>
        </w:tc>
      </w:tr>
      <w:tr>
        <w:trPr>
          <w:trHeight w:val="26"/>
        </w:trPr>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r>
      <w:tr>
        <w:trPr>
          <w:trHeight w:val="139"/>
        </w:trPr>
        <w:tc>
          <w:tcPr>
            <w:tcW w:w="1780" w:type="dxa"/>
            <w:vAlign w:val="bottom"/>
          </w:tcPr>
          <w:p>
            <w:pPr>
              <w:jc w:val="right"/>
              <w:spacing w:after="0" w:line="139" w:lineRule="exact"/>
              <w:rPr>
                <w:sz w:val="20"/>
                <w:szCs w:val="20"/>
                <w:color w:val="auto"/>
              </w:rPr>
            </w:pPr>
            <w:r>
              <w:rPr>
                <w:rFonts w:ascii="Arial" w:cs="Arial" w:eastAsia="Arial" w:hAnsi="Arial"/>
                <w:sz w:val="14"/>
                <w:szCs w:val="14"/>
                <w:color w:val="auto"/>
              </w:rPr>
              <w:t>99.1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0" w:type="dxa"/>
            <w:vAlign w:val="bottom"/>
            <w:gridSpan w:val="2"/>
          </w:tcPr>
          <w:p>
            <w:pPr>
              <w:spacing w:after="0" w:line="139" w:lineRule="exact"/>
              <w:rPr>
                <w:sz w:val="20"/>
                <w:szCs w:val="20"/>
                <w:color w:val="auto"/>
              </w:rPr>
            </w:pPr>
            <w:r>
              <w:rPr>
                <w:rFonts w:ascii="Arial" w:cs="Arial" w:eastAsia="Arial" w:hAnsi="Arial"/>
                <w:sz w:val="14"/>
                <w:szCs w:val="14"/>
                <w:color w:val="0000FF"/>
              </w:rPr>
              <w:t>Press Release of Tradeweb Markets Inc., dated May 19, 2023.</w:t>
            </w:r>
          </w:p>
        </w:tc>
      </w:tr>
      <w:tr>
        <w:trPr>
          <w:trHeight w:val="20"/>
        </w:trPr>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192"/>
        </w:trPr>
        <w:tc>
          <w:tcPr>
            <w:tcW w:w="1780" w:type="dxa"/>
            <w:vAlign w:val="bottom"/>
          </w:tcPr>
          <w:p>
            <w:pPr>
              <w:jc w:val="right"/>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0" w:type="dxa"/>
            <w:vAlign w:val="bottom"/>
            <w:gridSpan w:val="2"/>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r>
      <w:tr>
        <w:trPr>
          <w:trHeight w:val="787"/>
        </w:trPr>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jc w:val="center"/>
        <w:ind w:right="220"/>
        <w:spacing w:after="0"/>
        <w:rPr>
          <w:sz w:val="20"/>
          <w:szCs w:val="20"/>
          <w:color w:val="auto"/>
        </w:rPr>
      </w:pPr>
      <w:r>
        <w:rPr>
          <w:rFonts w:ascii="Arial" w:cs="Arial" w:eastAsia="Arial" w:hAnsi="Arial"/>
          <w:sz w:val="14"/>
          <w:szCs w:val="14"/>
          <w:b w:val="1"/>
          <w:bCs w:val="1"/>
          <w:color w:val="auto"/>
        </w:rPr>
        <w:t>SIGNATURES</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00" w:type="dxa"/>
            <w:vAlign w:val="bottom"/>
          </w:tcPr>
          <w:p>
            <w:pPr>
              <w:spacing w:after="0"/>
              <w:rPr>
                <w:sz w:val="15"/>
                <w:szCs w:val="15"/>
                <w:color w:val="auto"/>
              </w:rPr>
            </w:pPr>
          </w:p>
        </w:tc>
        <w:tc>
          <w:tcPr>
            <w:tcW w:w="6880" w:type="dxa"/>
            <w:vAlign w:val="bottom"/>
            <w:gridSpan w:val="2"/>
          </w:tcPr>
          <w:p>
            <w:pPr>
              <w:ind w:left="2460"/>
              <w:spacing w:after="0"/>
              <w:rPr>
                <w:sz w:val="20"/>
                <w:szCs w:val="20"/>
                <w:color w:val="auto"/>
              </w:rPr>
            </w:pPr>
            <w:r>
              <w:rPr>
                <w:rFonts w:ascii="Arial" w:cs="Arial" w:eastAsia="Arial" w:hAnsi="Arial"/>
                <w:sz w:val="14"/>
                <w:szCs w:val="14"/>
                <w:color w:val="auto"/>
              </w:rPr>
              <w:t>TRADEWEB MARKETS INC.</w:t>
            </w:r>
          </w:p>
        </w:tc>
      </w:tr>
      <w:tr>
        <w:trPr>
          <w:trHeight w:val="414"/>
        </w:trPr>
        <w:tc>
          <w:tcPr>
            <w:tcW w:w="3600" w:type="dxa"/>
            <w:vAlign w:val="bottom"/>
          </w:tcPr>
          <w:p>
            <w:pPr>
              <w:spacing w:after="0"/>
              <w:rPr>
                <w:sz w:val="20"/>
                <w:szCs w:val="20"/>
                <w:color w:val="auto"/>
              </w:rPr>
            </w:pPr>
            <w:r>
              <w:rPr>
                <w:rFonts w:ascii="Arial" w:cs="Arial" w:eastAsia="Arial" w:hAnsi="Arial"/>
                <w:sz w:val="14"/>
                <w:szCs w:val="14"/>
                <w:color w:val="auto"/>
              </w:rPr>
              <w:t>Date: May 19, 2023</w:t>
            </w:r>
          </w:p>
        </w:tc>
        <w:tc>
          <w:tcPr>
            <w:tcW w:w="6880" w:type="dxa"/>
            <w:vAlign w:val="bottom"/>
            <w:gridSpan w:val="2"/>
          </w:tcPr>
          <w:p>
            <w:pPr>
              <w:ind w:left="2460"/>
              <w:spacing w:after="0"/>
              <w:rPr>
                <w:sz w:val="20"/>
                <w:szCs w:val="20"/>
                <w:color w:val="auto"/>
              </w:rPr>
            </w:pPr>
            <w:r>
              <w:rPr>
                <w:rFonts w:ascii="Arial" w:cs="Arial" w:eastAsia="Arial" w:hAnsi="Arial"/>
                <w:sz w:val="14"/>
                <w:szCs w:val="14"/>
                <w:color w:val="auto"/>
                <w:w w:val="91"/>
              </w:rPr>
              <w:t>By:/s/ Douglas Friedman</w:t>
            </w:r>
          </w:p>
        </w:tc>
      </w:tr>
      <w:tr>
        <w:trPr>
          <w:trHeight w:val="22"/>
        </w:trPr>
        <w:tc>
          <w:tcPr>
            <w:tcW w:w="36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171"/>
        </w:trPr>
        <w:tc>
          <w:tcPr>
            <w:tcW w:w="36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Name: Douglas Friedman</w:t>
            </w:r>
          </w:p>
        </w:tc>
      </w:tr>
      <w:tr>
        <w:trPr>
          <w:trHeight w:val="202"/>
        </w:trPr>
        <w:tc>
          <w:tcPr>
            <w:tcW w:w="36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Title: General Counsel</w:t>
            </w:r>
          </w:p>
        </w:tc>
      </w:tr>
    </w:tbl>
    <w:p>
      <w:pPr>
        <w:sectPr>
          <w:pgSz w:w="11900" w:h="16838" w:orient="portrait"/>
          <w:cols w:equalWidth="0" w:num="1">
            <w:col w:w="10480"/>
          </w:cols>
          <w:pgMar w:left="820" w:top="730" w:right="5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1073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2023-05-19T07:11:43Z</dcterms:created>
  <dcterms:modified xsi:type="dcterms:W3CDTF">2023-05-19T07:11:43Z</dcterms:modified>
</cp:coreProperties>
</file>