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Ganeles Scott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Tradeweb Markets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TRADEWEB MARKETS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245 PARK AVENUE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1,645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48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is an award of restricted stock units ("RSUs") in respect of the issuer's Class A common stock (the "Class A Common Stock"). Subject to the reporting person's continued service as a director of the issuer through the vesting date, these RSUs are scheduled to vest on May 19, 2027 and, absent an election to defer settlement, settle in Class A Common Stock within 30 days thereafter, or may be pro-rated in accordance with the issuer's Non-Employee Director Compensation Policy, as disclosed in the issuer's Proxy Statement on DEF 14A filed with the SEC on March 26, 2026.</w:t>
      </w:r>
    </w:p>
    <w:p>
      <w:pPr>
        <w:spacing w:after="0" w:line="17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amount includes 1,645 unvested RSUs in respect of the Class A Common Stock that are scheduled to vest on May 19, 2027, subject to the reporting person's continued service as a director through the applicable vesting date or as may be pro-rated pursuant to the terms set forth in footnote 1 to this Form 4.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Douglas Friedman,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74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Scott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Ganeles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543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2250" TargetMode="External"/><Relationship Id="rId14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2026-05-20T15:23:30Z</dcterms:created>
  <dcterms:modified xsi:type="dcterms:W3CDTF">2026-05-20T15:23:30Z</dcterms:modified>
</cp:coreProperties>
</file>