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280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8078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30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Friedman Douglas</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02/03/2020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4"/>
        <w:spacing w:after="0"/>
        <w:rPr>
          <w:sz w:val="20"/>
          <w:szCs w:val="20"/>
          <w:color w:val="auto"/>
        </w:rPr>
      </w:pPr>
      <w:r>
        <w:rPr>
          <w:rFonts w:ascii="Arial" w:cs="Arial" w:eastAsia="Arial" w:hAnsi="Arial"/>
          <w:sz w:val="17"/>
          <w:szCs w:val="17"/>
          <w:color w:val="0000FF"/>
        </w:rPr>
        <w:t>General Counsel and Secretary</w:t>
      </w:r>
    </w:p>
    <w:p>
      <w:pPr>
        <w:spacing w:after="0" w:line="410" w:lineRule="exact"/>
        <w:rPr>
          <w:sz w:val="24"/>
          <w:szCs w:val="24"/>
          <w:color w:val="auto"/>
        </w:rPr>
      </w:pPr>
    </w:p>
    <w:p>
      <w:pPr>
        <w:sectPr>
          <w:pgSz w:w="11900" w:h="16838" w:orient="portrait"/>
          <w:cols w:equalWidth="0" w:num="3">
            <w:col w:w="3360" w:space="720"/>
            <w:col w:w="3256" w:space="720"/>
            <w:col w:w="3464"/>
          </w:cols>
          <w:pgMar w:left="240" w:top="226" w:right="139" w:bottom="309"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3"/>
          </w:tcPr>
          <w:p>
            <w:pPr>
              <w:jc w:val="center"/>
              <w:ind w:left="46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02/03/2020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0"/>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9,674</w:t>
            </w:r>
            <w:r>
              <w:rPr>
                <w:rFonts w:ascii="Arial" w:cs="Arial" w:eastAsia="Arial" w:hAnsi="Arial"/>
                <w:sz w:val="22"/>
                <w:szCs w:val="22"/>
                <w:color w:val="008000"/>
                <w:w w:val="89"/>
                <w:vertAlign w:val="superscript"/>
              </w:rPr>
              <w:t>(1)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46.18</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35,834</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02/03/2020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2"/>
              </w:rPr>
              <w:t>701</w:t>
            </w:r>
            <w:r>
              <w:rPr>
                <w:rFonts w:ascii="Arial" w:cs="Arial" w:eastAsia="Arial" w:hAnsi="Arial"/>
                <w:sz w:val="22"/>
                <w:szCs w:val="22"/>
                <w:color w:val="008000"/>
                <w:w w:val="82"/>
                <w:vertAlign w:val="superscript"/>
              </w:rPr>
              <w:t>(3)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36,535</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02/03/2020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0"/>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(4)</w:t>
            </w:r>
          </w:p>
        </w:tc>
        <w:tc>
          <w:tcPr>
            <w:tcW w:w="80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2"/>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46,535</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02/03/2020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8,814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46.3401</w:t>
            </w:r>
            <w:r>
              <w:rPr>
                <w:rFonts w:ascii="Arial" w:cs="Arial" w:eastAsia="Arial" w:hAnsi="Arial"/>
                <w:sz w:val="22"/>
                <w:szCs w:val="22"/>
                <w:color w:val="008000"/>
                <w:w w:val="90"/>
                <w:vertAlign w:val="superscript"/>
              </w:rPr>
              <w:t>(5)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37,721</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02/03/2020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1,186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46.9146</w:t>
            </w:r>
            <w:r>
              <w:rPr>
                <w:rFonts w:ascii="Arial" w:cs="Arial" w:eastAsia="Arial" w:hAnsi="Arial"/>
                <w:sz w:val="22"/>
                <w:szCs w:val="22"/>
                <w:color w:val="008000"/>
                <w:w w:val="90"/>
                <w:vertAlign w:val="superscript"/>
              </w:rPr>
              <w:t>(6)</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36,535</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5"/>
              <w:spacing w:after="0"/>
              <w:rPr>
                <w:sz w:val="20"/>
                <w:szCs w:val="20"/>
                <w:color w:val="auto"/>
              </w:rPr>
            </w:pPr>
            <w:r>
              <w:rPr>
                <w:rFonts w:ascii="Arial" w:cs="Arial" w:eastAsia="Arial" w:hAnsi="Arial"/>
                <w:sz w:val="17"/>
                <w:szCs w:val="17"/>
                <w:color w:val="0000FF"/>
                <w:w w:val="91"/>
              </w:rPr>
              <w:t>02/04/2020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0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2"/>
              </w:rPr>
              <w:t>10,668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46.7347</w:t>
            </w:r>
            <w:r>
              <w:rPr>
                <w:rFonts w:ascii="Arial" w:cs="Arial" w:eastAsia="Arial" w:hAnsi="Arial"/>
                <w:sz w:val="22"/>
                <w:szCs w:val="22"/>
                <w:color w:val="008000"/>
                <w:w w:val="90"/>
                <w:vertAlign w:val="superscript"/>
              </w:rPr>
              <w:t>(7)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25,867</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40" w:type="dxa"/>
            <w:vAlign w:val="bottom"/>
            <w:gridSpan w:val="10"/>
          </w:tcPr>
          <w:p>
            <w:pPr>
              <w:jc w:val="center"/>
              <w:ind w:left="5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(4)</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(8)</w:t>
            </w: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10,000</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02/03/2020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ind w:left="340"/>
              <w:spacing w:after="0" w:line="148" w:lineRule="exact"/>
              <w:rPr>
                <w:sz w:val="20"/>
                <w:szCs w:val="20"/>
                <w:color w:val="auto"/>
              </w:rPr>
            </w:pPr>
            <w:r>
              <w:rPr>
                <w:rFonts w:ascii="Arial" w:cs="Arial" w:eastAsia="Arial" w:hAnsi="Arial"/>
                <w:sz w:val="13"/>
                <w:szCs w:val="13"/>
                <w:color w:val="0000FF"/>
                <w:w w:val="95"/>
              </w:rPr>
              <w:t>10,000</w:t>
            </w:r>
          </w:p>
        </w:tc>
        <w:tc>
          <w:tcPr>
            <w:tcW w:w="820" w:type="dxa"/>
            <w:vAlign w:val="bottom"/>
            <w:vMerge w:val="continue"/>
          </w:tcPr>
          <w:p>
            <w:pPr>
              <w:spacing w:after="0"/>
              <w:rPr>
                <w:sz w:val="7"/>
                <w:szCs w:val="7"/>
                <w:color w:val="auto"/>
              </w:rPr>
            </w:pPr>
          </w:p>
        </w:tc>
        <w:tc>
          <w:tcPr>
            <w:tcW w:w="80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rPr>
              <w:t>10/26/2028</w:t>
            </w:r>
          </w:p>
        </w:tc>
        <w:tc>
          <w:tcPr>
            <w:tcW w:w="5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vMerge w:val="restart"/>
          </w:tcPr>
          <w:p>
            <w:pPr>
              <w:ind w:left="220"/>
              <w:spacing w:after="0" w:line="148" w:lineRule="exact"/>
              <w:rPr>
                <w:sz w:val="20"/>
                <w:szCs w:val="20"/>
                <w:color w:val="auto"/>
              </w:rPr>
            </w:pPr>
            <w:r>
              <w:rPr>
                <w:rFonts w:ascii="Arial" w:cs="Arial" w:eastAsia="Arial" w:hAnsi="Arial"/>
                <w:sz w:val="13"/>
                <w:szCs w:val="13"/>
                <w:color w:val="0000FF"/>
                <w:w w:val="89"/>
              </w:rPr>
              <w:t>136,232</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22,867 unvested RSUs in respect of Class A Common Stock which are scheduled to vest on January 1, 2021, subject to the reporting person's continued employment through such date.</w:t>
      </w:r>
    </w:p>
    <w:p>
      <w:pPr>
        <w:spacing w:after="0" w:line="63" w:lineRule="exact"/>
        <w:rPr>
          <w:rFonts w:ascii="Arial" w:cs="Arial" w:eastAsia="Arial" w:hAnsi="Arial"/>
          <w:sz w:val="12"/>
          <w:szCs w:val="12"/>
          <w:color w:val="008000"/>
        </w:rPr>
      </w:pPr>
    </w:p>
    <w:p>
      <w:pPr>
        <w:ind w:left="40" w:right="36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$45.87 to $46.85,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and 7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$46.87 to $47.02,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$46.11 to $46.97,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02/05/2020</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Douglas Friedman</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2020-02-05T18:22:13Z</dcterms:created>
  <dcterms:modified xsi:type="dcterms:W3CDTF">2020-02-05T18:22:13Z</dcterms:modified>
</cp:coreProperties>
</file>