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04/01/2020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130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6195"/>
                    </a:xfrm>
                    <a:prstGeom prst="rect">
                      <a:avLst/>
                    </a:prstGeom>
                    <a:noFill/>
                  </pic:spPr>
                </pic:pic>
              </a:graphicData>
            </a:graphic>
          </wp:anchor>
        </w:drawing>
      </w:r>
    </w:p>
    <w:p>
      <w:pPr>
        <w:spacing w:after="0" w:line="35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04/01/2020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50,000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527,375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04/01/2020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50,000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42.2076</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50,000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Arial" w:cs="Arial" w:eastAsia="Arial" w:hAnsi="Arial"/>
                <w:sz w:val="13"/>
                <w:szCs w:val="13"/>
                <w:color w:val="0000FF"/>
              </w:rPr>
              <w:t>04/01/2020</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50,000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2,349,890</w:t>
            </w: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-2061210</wp:posOffset>
            </wp:positionV>
            <wp:extent cx="7033260" cy="2103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375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16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173,181 unvested restricted stock units ("RSUs") in respect of the issuer's Class A common stock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$42.00 to $42.73,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04/03/2020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2020-04-03T16:16:47Z</dcterms:created>
  <dcterms:modified xsi:type="dcterms:W3CDTF">2020-04-03T16:16:47Z</dcterms:modified>
</cp:coreProperties>
</file>