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846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4695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Spencer James</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10/26/2018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50"/>
        <w:spacing w:after="0"/>
        <w:rPr>
          <w:sz w:val="20"/>
          <w:szCs w:val="20"/>
          <w:color w:val="auto"/>
        </w:rPr>
      </w:pPr>
      <w:r>
        <w:rPr>
          <w:rFonts w:ascii="Arial" w:cs="Arial" w:eastAsia="Arial" w:hAnsi="Arial"/>
          <w:sz w:val="17"/>
          <w:szCs w:val="17"/>
          <w:color w:val="0000FF"/>
        </w:rPr>
        <w:t>Chief Technology Officer</w:t>
      </w:r>
    </w:p>
    <w:p>
      <w:pPr>
        <w:spacing w:after="0" w:line="400"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780" w:type="dxa"/>
            <w:vAlign w:val="bottom"/>
            <w:gridSpan w:val="8"/>
          </w:tcPr>
          <w:p>
            <w:pPr>
              <w:jc w:val="center"/>
              <w:ind w:right="12"/>
              <w:spacing w:after="0"/>
              <w:rPr>
                <w:sz w:val="20"/>
                <w:szCs w:val="20"/>
                <w:color w:val="auto"/>
              </w:rPr>
            </w:pPr>
            <w:r>
              <w:rPr>
                <w:rFonts w:ascii="Arial" w:cs="Arial" w:eastAsia="Arial" w:hAnsi="Arial"/>
                <w:sz w:val="13"/>
                <w:szCs w:val="13"/>
                <w:color w:val="auto"/>
              </w:rPr>
              <w:t>4. If Amendment, Date of Original Filed (Month/Day/Year)</w:t>
            </w:r>
          </w:p>
        </w:tc>
        <w:tc>
          <w:tcPr>
            <w:tcW w:w="3840" w:type="dxa"/>
            <w:vAlign w:val="bottom"/>
            <w:gridSpan w:val="10"/>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40" w:type="dxa"/>
            <w:vAlign w:val="bottom"/>
            <w:gridSpan w:val="10"/>
            <w:vMerge w:val="restart"/>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10036</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3"/>
              </w:rPr>
              <w:t>(A) or</w:t>
            </w: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04/08/2019</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86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w w:val="89"/>
              </w:rPr>
              <w:t>6,000</w:t>
            </w:r>
            <w:r>
              <w:rPr>
                <w:rFonts w:ascii="Arial" w:cs="Arial" w:eastAsia="Arial" w:hAnsi="Arial"/>
                <w:sz w:val="22"/>
                <w:szCs w:val="22"/>
                <w:color w:val="008000"/>
                <w:w w:val="89"/>
                <w:vertAlign w:val="superscript"/>
              </w:rPr>
              <w:t>(1)</w:t>
            </w:r>
          </w:p>
        </w:tc>
        <w:tc>
          <w:tcPr>
            <w:tcW w:w="5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73,374</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2"/>
          </w:tcPr>
          <w:p>
            <w:pPr>
              <w:jc w:val="center"/>
              <w:ind w:left="45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3"/>
              </w:rPr>
              <w:t>Class A</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0000FF"/>
                <w:w w:val="91"/>
              </w:rPr>
              <w:t>422,706</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40" w:type="dxa"/>
            <w:vAlign w:val="bottom"/>
          </w:tcPr>
          <w:p>
            <w:pPr>
              <w:spacing w:after="0"/>
              <w:rPr>
                <w:sz w:val="6"/>
                <w:szCs w:val="6"/>
                <w:color w:val="auto"/>
              </w:rPr>
            </w:pPr>
          </w:p>
        </w:tc>
        <w:tc>
          <w:tcPr>
            <w:tcW w:w="1100" w:type="dxa"/>
            <w:vAlign w:val="bottom"/>
            <w:vMerge w:val="restart"/>
          </w:tcPr>
          <w:p>
            <w:pPr>
              <w:ind w:left="260"/>
              <w:spacing w:after="0" w:line="146" w:lineRule="exact"/>
              <w:rPr>
                <w:sz w:val="20"/>
                <w:szCs w:val="20"/>
                <w:color w:val="auto"/>
              </w:rPr>
            </w:pPr>
            <w:r>
              <w:rPr>
                <w:rFonts w:ascii="Arial" w:cs="Arial" w:eastAsia="Arial" w:hAnsi="Arial"/>
                <w:sz w:val="13"/>
                <w:szCs w:val="13"/>
                <w:color w:val="0000FF"/>
              </w:rPr>
              <w:t>10/26/2018</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rPr>
              <w:t>A</w:t>
            </w:r>
          </w:p>
        </w:tc>
        <w:tc>
          <w:tcPr>
            <w:tcW w:w="700" w:type="dxa"/>
            <w:vAlign w:val="bottom"/>
            <w:vMerge w:val="restart"/>
          </w:tcPr>
          <w:p>
            <w:pPr>
              <w:ind w:left="120"/>
              <w:spacing w:after="0" w:line="146" w:lineRule="exact"/>
              <w:rPr>
                <w:sz w:val="20"/>
                <w:szCs w:val="20"/>
                <w:color w:val="auto"/>
              </w:rPr>
            </w:pPr>
            <w:r>
              <w:rPr>
                <w:rFonts w:ascii="Arial" w:cs="Arial" w:eastAsia="Arial" w:hAnsi="Arial"/>
                <w:sz w:val="13"/>
                <w:szCs w:val="13"/>
                <w:color w:val="0000FF"/>
              </w:rPr>
              <w:t>422,706</w:t>
            </w: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w w:val="98"/>
              </w:rPr>
              <w:t>10/26/2028</w:t>
            </w:r>
          </w:p>
        </w:tc>
        <w:tc>
          <w:tcPr>
            <w:tcW w:w="660" w:type="dxa"/>
            <w:vAlign w:val="bottom"/>
            <w:gridSpan w:val="2"/>
            <w:vMerge w:val="restart"/>
          </w:tcPr>
          <w:p>
            <w:pPr>
              <w:ind w:left="8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ind w:left="200"/>
              <w:spacing w:after="0" w:line="146" w:lineRule="exact"/>
              <w:rPr>
                <w:sz w:val="20"/>
                <w:szCs w:val="20"/>
                <w:color w:val="auto"/>
              </w:rPr>
            </w:pPr>
            <w:r>
              <w:rPr>
                <w:rFonts w:ascii="Arial" w:cs="Arial" w:eastAsia="Arial" w:hAnsi="Arial"/>
                <w:sz w:val="13"/>
                <w:szCs w:val="13"/>
                <w:color w:val="0000FF"/>
              </w:rPr>
              <w:t>422,706</w:t>
            </w: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restart"/>
          </w:tcPr>
          <w:p>
            <w:pPr>
              <w:jc w:val="center"/>
              <w:ind w:right="132"/>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2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purchased these shares in connection with the closing of the initial public offering of the issuer (the "IPO") at the IPO price of $27.00 per share pursuant to the directed share program described in the issuer's registration statement. The shares are subject to a lock-up provision for a period of 180 days, as required under a lock-up agreement with the underwriters of the IPO.</w:t>
      </w:r>
    </w:p>
    <w:p>
      <w:pPr>
        <w:ind w:left="40" w:right="34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67,374 unvested restricted stock units in respect of the issuer's Class A common stock ("Class A Common Stock"). Subject to the reporting person's continued employment through each vesting date, these restricted stock units are scheduled to vest as follows: (i) 35,711 restricted stock units will vest on January 1, 2020, and (ii) 31,663 restricted stock units will vest on January 1, 2021.</w:t>
      </w:r>
    </w:p>
    <w:p>
      <w:pPr>
        <w:ind w:left="40" w:right="30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26, 2018, the reporting person was granted an option to purchase 422,706 shares of Class A Common Stock, which option is vested as to 338,165 of the shares subject thereto as of the date hereof. The remainder of the option will vest on January 1, 2020, subject to the reporting person's continued employment on such date.</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04/08/2019</w:t>
            </w:r>
          </w:p>
        </w:tc>
        <w:tc>
          <w:tcPr>
            <w:tcW w:w="0" w:type="dxa"/>
            <w:vAlign w:val="bottom"/>
          </w:tcPr>
          <w:p>
            <w:pPr>
              <w:spacing w:after="0"/>
              <w:rPr>
                <w:sz w:val="1"/>
                <w:szCs w:val="1"/>
                <w:color w:val="auto"/>
              </w:rPr>
            </w:pPr>
          </w:p>
        </w:tc>
      </w:tr>
      <w:tr>
        <w:trPr>
          <w:trHeight w:val="91"/>
        </w:trPr>
        <w:tc>
          <w:tcPr>
            <w:tcW w:w="1620" w:type="dxa"/>
            <w:vAlign w:val="bottom"/>
            <w:tcBorders>
              <w:top w:val="single" w:sz="8" w:color="auto"/>
              <w:bottom w:val="single" w:sz="8" w:color="auto"/>
            </w:tcBorders>
            <w:vMerge w:val="restart"/>
          </w:tcPr>
          <w:p>
            <w:pPr>
              <w:spacing w:after="0" w:line="193" w:lineRule="exact"/>
              <w:rPr>
                <w:sz w:val="20"/>
                <w:szCs w:val="20"/>
                <w:color w:val="auto"/>
              </w:rPr>
            </w:pPr>
            <w:r>
              <w:rPr>
                <w:rFonts w:ascii="Arial" w:cs="Arial" w:eastAsia="Arial" w:hAnsi="Arial"/>
                <w:sz w:val="17"/>
                <w:szCs w:val="17"/>
                <w:color w:val="0000FF"/>
                <w:w w:val="88"/>
              </w:rPr>
              <w:t>Fact for James Spencer</w:t>
            </w:r>
          </w:p>
        </w:tc>
        <w:tc>
          <w:tcPr>
            <w:tcW w:w="420" w:type="dxa"/>
            <w:vAlign w:val="bottom"/>
            <w:tcBorders>
              <w:top w:val="single" w:sz="8" w:color="auto"/>
              <w:bottom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620" w:type="dxa"/>
            <w:vAlign w:val="bottom"/>
            <w:tcBorders>
              <w:bottom w:val="single" w:sz="8" w:color="auto"/>
            </w:tcBorders>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296"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2019-12-24T08:30:58Z</dcterms:created>
  <dcterms:modified xsi:type="dcterms:W3CDTF">2019-12-24T08:30:58Z</dcterms:modified>
</cp:coreProperties>
</file>