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45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565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02/29/2024</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60" w:right="580" w:hanging="237"/>
        <w:spacing w:after="0" w:line="183"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79,105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02/29/2024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10,000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105.4766</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69,105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w w:val="77"/>
              </w:rPr>
              <w:t>(4)</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02/29/2024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10,000</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30, 2023.</w:t>
      </w:r>
    </w:p>
    <w:p>
      <w:pPr>
        <w:spacing w:after="0" w:line="44" w:lineRule="exact"/>
        <w:rPr>
          <w:rFonts w:ascii="Times New Roman" w:cs="Times New Roman" w:eastAsia="Times New Roman" w:hAnsi="Times New Roman"/>
          <w:sz w:val="13"/>
          <w:szCs w:val="13"/>
          <w:color w:val="008000"/>
        </w:rPr>
      </w:pPr>
    </w:p>
    <w:p>
      <w:pPr>
        <w:jc w:val="both"/>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3,371 restricted stock units ("RSUs") in respect of the issuer's Class A common stock ("Class A Common Stock") which are scheduled to vest on March 15, 2024, (ii) 6,409 RSUs in respect of Class A Common Stock which are scheduled to vest in equal installments on March 15, 2024 and March 15, 2025, (iii) 12,419 unvested RSUs in respect of Class A Common Stock that are scheduled to vest on January 1, 2025, and (iv) 13,729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$104.49 to $106.19,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946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03/04/2024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367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7665"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2024-03-04T15:12:24Z</dcterms:created>
  <dcterms:modified xsi:type="dcterms:W3CDTF">2024-03-04T15:12:24Z</dcterms:modified>
</cp:coreProperties>
</file>