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1880774.xml.htm"/>
      <w:bookmarkStart w:id="1" w:name="kswkform4_177188077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Bruni Enrico</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TRADEWEB MARKETS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245 PARK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10167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Tradeweb Markets Inc.</w:t>
              </w:r>
            </w:hyperlink>
            <w:r>
              <w:rPr/>
              <w:t xml:space="preserve"> [ </w:t>
            </w:r>
            <w:r>
              <w:rPr>
                <w:rFonts w:ascii="Times;serif" w:hAnsi="Times;serif"/>
                <w:color w:val="0000FF"/>
                <w:sz w:val="24"/>
                <w:shd w:fill="FFFFFF" w:val="clear"/>
              </w:rPr>
              <w:t>TW</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MD, Co-Head of Global Markets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02/20/2026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60"/>
        <w:gridCol w:w="900"/>
        <w:gridCol w:w="771"/>
        <w:gridCol w:w="598"/>
        <w:gridCol w:w="345"/>
        <w:gridCol w:w="922"/>
        <w:gridCol w:w="447"/>
        <w:gridCol w:w="878"/>
        <w:gridCol w:w="1181"/>
        <w:gridCol w:w="987"/>
        <w:gridCol w:w="91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02/20/2026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17,380</w:t>
            </w:r>
          </w:p>
        </w:tc>
        <w:tc>
          <w:tcPr>
            <w:tcW w:w="4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119.27</w:t>
            </w:r>
            <w:r>
              <w:rPr>
                <w:rFonts w:ascii="Times;serif" w:hAnsi="Times;serif"/>
                <w:color w:val="008000"/>
                <w:position w:val="7"/>
                <w:sz w:val="16"/>
                <w:sz w:val="20"/>
                <w:shd w:fill="FFFFFF" w:val="clear"/>
              </w:rPr>
              <w:t>(1)</w:t>
            </w:r>
            <w:r>
              <w:rPr/>
              <w:t xml:space="preserve"> </w:t>
            </w:r>
          </w:p>
        </w:tc>
        <w:tc>
          <w:tcPr>
            <w:tcW w:w="11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102,319</w:t>
            </w:r>
            <w:r>
              <w:rPr>
                <w:rFonts w:ascii="Times;serif" w:hAnsi="Times;serif"/>
                <w:color w:val="008000"/>
                <w:position w:val="7"/>
                <w:sz w:val="16"/>
                <w:sz w:val="20"/>
                <w:shd w:fill="FFFFFF" w:val="clear"/>
              </w:rPr>
              <w:t>(2)</w:t>
            </w:r>
            <w:r>
              <w:rPr/>
              <w:t xml:space="preserve"> </w:t>
            </w:r>
          </w:p>
        </w:tc>
        <w:tc>
          <w:tcPr>
            <w:tcW w:w="9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$118.99 to $119.63, inclusive. The reporting person undertakes to provide the issuer, any security holder of the issuer, or the staff of the Securities and Exchange Commission, upon request, full information regarding the number of shares sold at each separate price within the ranges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amount includes (i) 5,940 unvested restricted stock units ("RSUs") in respect of the issuer's Class A common stock ("Class A Common Stock") that are scheduled to vest on March 15, 2026, (ii) 6,741 unvested RSUs in respect of Class A Common Stock that are scheduled to vest in equal installments on March 15, 2026 and March 15, 2027, and (iii) 9,638 unvested RSUs in respect of Class A Common Stock that are scheduled to vest in equal installments on March 17, 2026, March 17, 2027 and March 17, 2028, in each case, subject to the reporting person's continued employment through the applicable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Douglas Friedman, Attorney-in-Fact for Enrico Bruni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02/23/2026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71187" TargetMode="External"/><Relationship Id="rId5" Type="http://schemas.openxmlformats.org/officeDocument/2006/relationships/hyperlink" Target="http://www.sec.gov/cgi-bin/browse-edgar?action=getcompany&amp;CIK=000175873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748</Words>
  <Characters>3987</Characters>
  <CharactersWithSpaces>4673</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