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2022</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On December 5, 2022, Tradeweb Markets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furnished as Exhibit 99.1 hereto, regarding the Share Repurchase Program (as defined below).</w:t>
      </w:r>
    </w:p>
    <w:p>
      <w:pPr>
        <w:spacing w:after="0" w:line="18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and set forth in Exhibit 99.1 attached hereto,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December 5, 2022, the Board of Directors of the Company approved a share repurchase program with an indefinite term under which the Company may purchase up to $300 million of its Class A common stock (the “</w:t>
      </w:r>
      <w:r>
        <w:rPr>
          <w:rFonts w:ascii="Times New Roman" w:cs="Times New Roman" w:eastAsia="Times New Roman" w:hAnsi="Times New Roman"/>
          <w:sz w:val="18"/>
          <w:szCs w:val="18"/>
          <w:u w:val="single" w:color="auto"/>
          <w:color w:val="auto"/>
        </w:rPr>
        <w:t>Share Repurchase Program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Pursuant to the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 10b5-1 plans. The Share Repurchase Program will be conducted in compliance with applicable legal requirements and shall be subject to market conditions and other factors.</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manner, timing and amount of any purchase will be based on an evaluation of market conditions, stock price and other factors. The Share Repurchase Program has no termination date, may be suspended or discontinued at any time and does not obligate the company to acquire any amount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00" w:type="dxa"/>
            <w:vAlign w:val="bottom"/>
          </w:tcPr>
          <w:p>
            <w:pPr>
              <w:ind w:left="40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25"/>
        </w:trPr>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9400" w:type="dxa"/>
            <w:vAlign w:val="bottom"/>
            <w:tcBorders>
              <w:bottom w:val="single" w:sz="8" w:color="auto"/>
            </w:tcBorders>
          </w:tcPr>
          <w:p>
            <w:pPr>
              <w:spacing w:after="0"/>
              <w:rPr>
                <w:sz w:val="19"/>
                <w:szCs w:val="19"/>
                <w:color w:val="auto"/>
              </w:rPr>
            </w:pPr>
          </w:p>
        </w:tc>
      </w:tr>
    </w:tbl>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0000FF"/>
        </w:rPr>
        <w:t>99.1  Press Release of Tradeweb Markets Inc., dated December 5, 2022.</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December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920"/>
          </w:cols>
          <w:pgMar w:left="320" w:top="1373" w:right="65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NEWS RELEASE</w:t>
      </w:r>
      <w:r>
        <w:rPr>
          <w:rFonts w:ascii="Arial" w:cs="Arial" w:eastAsia="Arial" w:hAnsi="Arial"/>
          <w:sz w:val="20"/>
          <w:szCs w:val="20"/>
          <w:color w:val="auto"/>
        </w:rPr>
        <w:t> </w:t>
      </w:r>
    </w:p>
    <w:p>
      <w:pPr>
        <w:spacing w:after="0" w:line="190"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Tradeweb Announces $300 Million Share Repurchase Program</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NEW YORK – December 5, 2022 – Tradeweb Markets Inc. (Nasdaq: TW), a leading, global operator of electronic marketplaces for rates, credit, equities and money markets, today announced that its Board of Directors has approved a share repurchase program. The company is authorized to repurchase up to $300 million in shares of its Class A common stock, either in the open market, through privately negotiated transactions, through accelerated share repurchases or through the use of trading plans, each in accordance with applicable securities laws and other restrictions. The manner, timing and amount of any purchase will be based on an evaluation of market conditions, stock price and other factors. The program has no termination date, may be suspended or discontinued at any time and does not obligate the company to acquire any amount of Class A common stock.</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Sara Furber, Chief Financial Officer, Tradeweb, commented: “We believe this share repurchase program is a timely and appropriate use of capital resources, reflecting the Board’s and management’s confidence in our business, the company’s strong balance sheet, and the strong cash-generative nature of our business. The new program will permit us to continue to offset annual dilution from stock-based compensation plans, as well as opportunistically repurchase our stock. The program is an important part of our overall capital management strategy to return value to shareholders, which includes investments in the business, M&amp;A opportunities, share repurchases, and our regular quarterly dividend.”</w:t>
      </w:r>
    </w:p>
    <w:p>
      <w:pPr>
        <w:spacing w:after="0" w:line="221" w:lineRule="auto"/>
        <w:rPr>
          <w:sz w:val="20"/>
          <w:szCs w:val="20"/>
          <w:color w:val="auto"/>
        </w:rPr>
      </w:pPr>
      <w:r>
        <w:rPr>
          <w:rFonts w:ascii="Arial" w:cs="Arial" w:eastAsia="Arial" w:hAnsi="Arial"/>
          <w:sz w:val="18"/>
          <w:szCs w:val="18"/>
          <w:color w:val="auto"/>
        </w:rPr>
        <w:t> </w:t>
      </w:r>
    </w:p>
    <w:p>
      <w:pPr>
        <w:spacing w:after="0"/>
        <w:rPr>
          <w:sz w:val="20"/>
          <w:szCs w:val="20"/>
          <w:color w:val="auto"/>
        </w:rPr>
      </w:pPr>
      <w:r>
        <w:rPr>
          <w:rFonts w:ascii="Arial" w:cs="Arial" w:eastAsia="Arial" w:hAnsi="Arial"/>
          <w:sz w:val="18"/>
          <w:szCs w:val="18"/>
          <w:b w:val="1"/>
          <w:bCs w:val="1"/>
          <w:color w:val="auto"/>
        </w:rPr>
        <w:t>About Tradeweb Markets</w:t>
      </w:r>
      <w:r>
        <w:rPr>
          <w:rFonts w:ascii="Arial" w:cs="Arial" w:eastAsia="Arial" w:hAnsi="Arial"/>
          <w:sz w:val="18"/>
          <w:szCs w:val="18"/>
          <w:color w:val="auto"/>
        </w:rPr>
        <w:t> </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$1.0 trillion in notional value traded per day over the past four quarters. For more information, please go to </w:t>
      </w:r>
      <w:r>
        <w:rPr>
          <w:rFonts w:ascii="Arial" w:cs="Arial" w:eastAsia="Arial" w:hAnsi="Arial"/>
          <w:sz w:val="18"/>
          <w:szCs w:val="18"/>
          <w:u w:val="single" w:color="auto"/>
          <w:color w:val="0000FF"/>
        </w:rPr>
        <w:t>www.tradeweb.com</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3" w:lineRule="auto"/>
        <w:rPr>
          <w:sz w:val="20"/>
          <w:szCs w:val="20"/>
          <w:color w:val="auto"/>
        </w:rPr>
      </w:pPr>
      <w:r>
        <w:rPr>
          <w:rFonts w:ascii="Arial" w:cs="Arial" w:eastAsia="Arial" w:hAnsi="Arial"/>
          <w:sz w:val="18"/>
          <w:szCs w:val="18"/>
          <w:color w:val="auto"/>
        </w:rPr>
        <w:t>Daniel Noonan, Tradeweb</w:t>
      </w:r>
    </w:p>
    <w:p>
      <w:pPr>
        <w:spacing w:after="0" w:line="219" w:lineRule="auto"/>
        <w:rPr>
          <w:sz w:val="20"/>
          <w:szCs w:val="20"/>
          <w:color w:val="auto"/>
        </w:rPr>
      </w:pPr>
      <w:r>
        <w:rPr>
          <w:rFonts w:ascii="Arial" w:cs="Arial" w:eastAsia="Arial" w:hAnsi="Arial"/>
          <w:sz w:val="18"/>
          <w:szCs w:val="18"/>
          <w:color w:val="auto"/>
        </w:rPr>
        <w:t>+1 646 767 4677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daniel.noonan@tradeweb.com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19" w:lineRule="auto"/>
        <w:rPr>
          <w:sz w:val="20"/>
          <w:szCs w:val="20"/>
          <w:color w:val="auto"/>
        </w:rPr>
      </w:pPr>
      <w:r>
        <w:rPr>
          <w:rFonts w:ascii="Arial" w:cs="Arial" w:eastAsia="Arial" w:hAnsi="Arial"/>
          <w:sz w:val="18"/>
          <w:szCs w:val="18"/>
          <w:color w:val="auto"/>
        </w:rPr>
        <w:t>Ashley Serrao, Tradeweb</w:t>
      </w:r>
    </w:p>
    <w:p>
      <w:pPr>
        <w:spacing w:after="0" w:line="203" w:lineRule="auto"/>
        <w:rPr>
          <w:sz w:val="20"/>
          <w:szCs w:val="20"/>
          <w:color w:val="auto"/>
        </w:rPr>
      </w:pPr>
      <w:r>
        <w:rPr>
          <w:rFonts w:ascii="Arial" w:cs="Arial" w:eastAsia="Arial" w:hAnsi="Arial"/>
          <w:sz w:val="18"/>
          <w:szCs w:val="18"/>
          <w:color w:val="auto"/>
        </w:rPr>
        <w:t>+1 646 430 6027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ashley.serrao@tradeweb.com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Sameer Murukutla, Tradeweb</w:t>
      </w:r>
    </w:p>
    <w:p>
      <w:pPr>
        <w:spacing w:after="0" w:line="203" w:lineRule="auto"/>
        <w:rPr>
          <w:sz w:val="20"/>
          <w:szCs w:val="20"/>
          <w:color w:val="auto"/>
        </w:rPr>
      </w:pPr>
      <w:r>
        <w:rPr>
          <w:rFonts w:ascii="Arial" w:cs="Arial" w:eastAsia="Arial" w:hAnsi="Arial"/>
          <w:sz w:val="18"/>
          <w:szCs w:val="18"/>
          <w:color w:val="auto"/>
        </w:rPr>
        <w:t>+1 646 767 4864</w:t>
      </w:r>
    </w:p>
    <w:p>
      <w:pPr>
        <w:spacing w:after="0"/>
        <w:rPr>
          <w:sz w:val="20"/>
          <w:szCs w:val="20"/>
          <w:color w:val="auto"/>
        </w:rPr>
      </w:pPr>
      <w:r>
        <w:rPr>
          <w:rFonts w:ascii="Arial" w:cs="Arial" w:eastAsia="Arial" w:hAnsi="Arial"/>
          <w:sz w:val="18"/>
          <w:szCs w:val="18"/>
          <w:u w:val="single" w:color="auto"/>
          <w:color w:val="0000FF"/>
        </w:rPr>
        <w:t>sameer.murukutla@tradeweb.com</w:t>
      </w:r>
    </w:p>
    <w:p>
      <w:pPr>
        <w:sectPr>
          <w:pgSz w:w="11900" w:h="16838" w:orient="portrait"/>
          <w:cols w:equalWidth="0" w:num="1">
            <w:col w:w="11180"/>
          </w:cols>
          <w:pgMar w:left="320" w:top="1394" w:right="39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Forward-Looking Statements</w:t>
      </w:r>
      <w:r>
        <w:rPr>
          <w:rFonts w:ascii="Arial" w:cs="Arial" w:eastAsia="Arial" w:hAnsi="Arial"/>
          <w:sz w:val="14"/>
          <w:szCs w:val="14"/>
          <w:color w:val="auto"/>
        </w:rPr>
        <w:t> </w:t>
      </w:r>
    </w:p>
    <w:p>
      <w:pPr>
        <w:spacing w:after="0" w:line="2" w:lineRule="exact"/>
        <w:rPr>
          <w:sz w:val="20"/>
          <w:szCs w:val="20"/>
          <w:color w:val="auto"/>
        </w:rPr>
      </w:pPr>
    </w:p>
    <w:p>
      <w:pPr>
        <w:ind w:right="180"/>
        <w:spacing w:after="0" w:line="211" w:lineRule="auto"/>
        <w:rPr>
          <w:sz w:val="20"/>
          <w:szCs w:val="20"/>
          <w:color w:val="auto"/>
        </w:rPr>
      </w:pPr>
      <w:r>
        <w:rPr>
          <w:rFonts w:ascii="Arial" w:cs="Arial" w:eastAsia="Arial" w:hAnsi="Arial"/>
          <w:sz w:val="14"/>
          <w:szCs w:val="14"/>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w:t>
      </w:r>
    </w:p>
    <w:p>
      <w:pPr>
        <w:spacing w:after="0" w:line="222" w:lineRule="auto"/>
        <w:rPr>
          <w:sz w:val="20"/>
          <w:szCs w:val="20"/>
          <w:color w:val="auto"/>
        </w:rPr>
      </w:pPr>
      <w:r>
        <w:rPr>
          <w:rFonts w:ascii="Arial" w:cs="Arial" w:eastAsia="Arial" w:hAnsi="Arial"/>
          <w:sz w:val="14"/>
          <w:szCs w:val="14"/>
          <w:color w:val="auto"/>
        </w:rPr>
        <w:t>looking statements. </w:t>
      </w:r>
    </w:p>
    <w:p>
      <w:pPr>
        <w:spacing w:after="0" w:line="201" w:lineRule="auto"/>
        <w:rPr>
          <w:sz w:val="20"/>
          <w:szCs w:val="20"/>
          <w:color w:val="auto"/>
        </w:rPr>
      </w:pPr>
      <w:r>
        <w:rPr>
          <w:rFonts w:ascii="Arial" w:cs="Arial" w:eastAsia="Arial" w:hAnsi="Arial"/>
          <w:sz w:val="14"/>
          <w:szCs w:val="14"/>
          <w:color w:val="auto"/>
        </w:rPr>
        <w:t> </w:t>
      </w:r>
    </w:p>
    <w:p>
      <w:pPr>
        <w:ind w:right="320"/>
        <w:spacing w:after="0" w:line="221" w:lineRule="auto"/>
        <w:rPr>
          <w:sz w:val="20"/>
          <w:szCs w:val="20"/>
          <w:color w:val="auto"/>
        </w:rPr>
      </w:pPr>
      <w:r>
        <w:rPr>
          <w:rFonts w:ascii="Arial" w:cs="Arial" w:eastAsia="Arial" w:hAnsi="Arial"/>
          <w:sz w:val="14"/>
          <w:szCs w:val="14"/>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w:t>
      </w:r>
    </w:p>
    <w:p>
      <w:pPr>
        <w:spacing w:after="0" w:line="1" w:lineRule="exact"/>
        <w:rPr>
          <w:sz w:val="20"/>
          <w:szCs w:val="20"/>
          <w:color w:val="auto"/>
        </w:rPr>
      </w:pPr>
    </w:p>
    <w:p>
      <w:pPr>
        <w:ind w:right="360"/>
        <w:spacing w:after="0" w:line="211" w:lineRule="auto"/>
        <w:rPr>
          <w:sz w:val="20"/>
          <w:szCs w:val="20"/>
          <w:color w:val="auto"/>
        </w:rPr>
      </w:pPr>
      <w:r>
        <w:rPr>
          <w:rFonts w:ascii="Arial" w:cs="Arial" w:eastAsia="Arial" w:hAnsi="Arial"/>
          <w:sz w:val="14"/>
          <w:szCs w:val="14"/>
          <w:color w:val="auto"/>
        </w:rPr>
        <w:t>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w:t>
      </w:r>
    </w:p>
    <w:p>
      <w:pPr>
        <w:spacing w:after="0" w:line="222" w:lineRule="auto"/>
        <w:rPr>
          <w:sz w:val="20"/>
          <w:szCs w:val="20"/>
          <w:color w:val="auto"/>
        </w:rPr>
      </w:pPr>
      <w:r>
        <w:rPr>
          <w:rFonts w:ascii="Arial" w:cs="Arial" w:eastAsia="Arial" w:hAnsi="Arial"/>
          <w:sz w:val="14"/>
          <w:szCs w:val="14"/>
          <w:color w:val="auto"/>
        </w:rPr>
        <w:t>Given these risks and uncertainties, you are cautioned not to place undue reliance on such forward-looking statements. The forward-looking statements contained in this release</w:t>
      </w:r>
    </w:p>
    <w:p>
      <w:pPr>
        <w:ind w:right="400"/>
        <w:spacing w:after="0" w:line="211" w:lineRule="auto"/>
        <w:rPr>
          <w:sz w:val="20"/>
          <w:szCs w:val="20"/>
          <w:color w:val="auto"/>
        </w:rPr>
      </w:pPr>
      <w:r>
        <w:rPr>
          <w:rFonts w:ascii="Arial" w:cs="Arial" w:eastAsia="Arial" w:hAnsi="Arial"/>
          <w:sz w:val="14"/>
          <w:szCs w:val="14"/>
          <w:color w:val="auto"/>
        </w:rPr>
        <w:t>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w:t>
      </w:r>
    </w:p>
    <w:p>
      <w:pPr>
        <w:ind w:right="300"/>
        <w:spacing w:after="0" w:line="211" w:lineRule="auto"/>
        <w:rPr>
          <w:sz w:val="20"/>
          <w:szCs w:val="20"/>
          <w:color w:val="auto"/>
        </w:rPr>
      </w:pPr>
      <w:r>
        <w:rPr>
          <w:rFonts w:ascii="Arial" w:cs="Arial" w:eastAsia="Arial" w:hAnsi="Arial"/>
          <w:sz w:val="14"/>
          <w:szCs w:val="14"/>
          <w:color w:val="auto"/>
        </w:rPr>
        <w:t>events in the industry and markets in which we operate, are consistent with the forward-looking statements contained in this release, they may not be predictive of results or developments in future periods.</w:t>
      </w:r>
    </w:p>
    <w:p>
      <w:pPr>
        <w:ind w:right="260"/>
        <w:spacing w:after="0" w:line="235" w:lineRule="auto"/>
        <w:rPr>
          <w:sz w:val="20"/>
          <w:szCs w:val="20"/>
          <w:color w:val="auto"/>
        </w:rPr>
      </w:pPr>
      <w:r>
        <w:rPr>
          <w:rFonts w:ascii="Arial" w:cs="Arial" w:eastAsia="Arial" w:hAnsi="Arial"/>
          <w:sz w:val="14"/>
          <w:szCs w:val="14"/>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2022-12-05T06:37:42Z</dcterms:created>
  <dcterms:modified xsi:type="dcterms:W3CDTF">2022-12-05T06:37:42Z</dcterms:modified>
</cp:coreProperties>
</file>